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jc w:val="center"/>
      </w:pPr>
      <w:r>
        <w:rPr>
          <w:rFonts w:hint="eastAsia"/>
        </w:rPr>
        <w:tab/>
      </w:r>
    </w:p>
    <w:p>
      <w:pPr>
        <w:topLinePunct/>
        <w:spacing w:line="360" w:lineRule="auto"/>
        <w:jc w:val="center"/>
      </w:pPr>
    </w:p>
    <w:p>
      <w:pPr>
        <w:topLinePunct/>
        <w:spacing w:line="360" w:lineRule="auto"/>
        <w:jc w:val="center"/>
      </w:pPr>
    </w:p>
    <w:p>
      <w:pPr>
        <w:topLinePunct/>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无锡市</w:t>
      </w:r>
      <w:r>
        <w:rPr>
          <w:rFonts w:hint="eastAsia" w:ascii="宋体" w:hAnsi="宋体" w:cs="宋体"/>
          <w:b/>
          <w:color w:val="auto"/>
          <w:sz w:val="52"/>
          <w:szCs w:val="52"/>
          <w:highlight w:val="none"/>
          <w:lang w:val="en-US" w:eastAsia="zh-CN"/>
        </w:rPr>
        <w:t>靖海小学</w:t>
      </w:r>
      <w:r>
        <w:rPr>
          <w:rFonts w:hint="eastAsia" w:ascii="宋体" w:hAnsi="宋体" w:cs="宋体"/>
          <w:b/>
          <w:color w:val="auto"/>
          <w:sz w:val="52"/>
          <w:szCs w:val="52"/>
          <w:highlight w:val="none"/>
          <w:lang w:eastAsia="zh-CN"/>
        </w:rPr>
        <w:t>维修</w:t>
      </w:r>
      <w:r>
        <w:rPr>
          <w:rFonts w:hint="eastAsia" w:ascii="宋体" w:hAnsi="宋体" w:cs="宋体"/>
          <w:b/>
          <w:color w:val="auto"/>
          <w:sz w:val="52"/>
          <w:szCs w:val="52"/>
          <w:highlight w:val="none"/>
        </w:rPr>
        <w:t>改造工程</w:t>
      </w:r>
    </w:p>
    <w:p>
      <w:pPr>
        <w:topLinePunct/>
        <w:spacing w:line="360" w:lineRule="auto"/>
        <w:rPr>
          <w:rFonts w:ascii="宋体" w:hAnsi="宋体" w:cs="宋体"/>
          <w:color w:val="auto"/>
          <w:kern w:val="0"/>
          <w:sz w:val="44"/>
          <w:szCs w:val="44"/>
          <w:highlight w:val="none"/>
        </w:rPr>
      </w:pPr>
    </w:p>
    <w:p>
      <w:pPr>
        <w:topLinePunct/>
        <w:spacing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竞争性磋商文件</w:t>
      </w:r>
    </w:p>
    <w:p>
      <w:pPr>
        <w:topLinePunct/>
        <w:spacing w:line="360" w:lineRule="auto"/>
        <w:jc w:val="center"/>
        <w:rPr>
          <w:rFonts w:ascii="宋体" w:hAnsi="宋体" w:cs="宋体"/>
          <w:b/>
          <w:color w:val="auto"/>
          <w:sz w:val="24"/>
          <w:highlight w:val="none"/>
        </w:rPr>
      </w:pPr>
    </w:p>
    <w:p>
      <w:pPr>
        <w:topLinePunct/>
        <w:spacing w:line="360" w:lineRule="auto"/>
        <w:jc w:val="center"/>
        <w:rPr>
          <w:rFonts w:ascii="宋体" w:hAnsi="宋体" w:cs="宋体"/>
          <w:b/>
          <w:color w:val="auto"/>
          <w:sz w:val="24"/>
          <w:highlight w:val="none"/>
        </w:rPr>
      </w:pPr>
    </w:p>
    <w:p>
      <w:pPr>
        <w:topLinePunct/>
        <w:spacing w:line="360" w:lineRule="auto"/>
        <w:jc w:val="center"/>
        <w:rPr>
          <w:rFonts w:ascii="宋体" w:hAnsi="宋体" w:cs="宋体"/>
          <w:b/>
          <w:color w:val="auto"/>
          <w:sz w:val="24"/>
          <w:highlight w:val="none"/>
        </w:rPr>
      </w:pPr>
    </w:p>
    <w:p>
      <w:pPr>
        <w:rPr>
          <w:rFonts w:ascii="宋体" w:hAnsi="宋体" w:cs="宋体"/>
          <w:b/>
          <w:color w:val="auto"/>
          <w:sz w:val="32"/>
          <w:szCs w:val="32"/>
          <w:highlight w:val="none"/>
        </w:rPr>
      </w:pPr>
    </w:p>
    <w:p>
      <w:pPr>
        <w:topLinePunct/>
        <w:spacing w:line="360" w:lineRule="auto"/>
        <w:ind w:firstLine="321" w:firstLineChars="100"/>
        <w:rPr>
          <w:rFonts w:hint="eastAsia" w:ascii="宋体" w:hAnsi="宋体" w:cs="宋体"/>
          <w:b/>
          <w:color w:val="auto"/>
          <w:sz w:val="32"/>
          <w:szCs w:val="32"/>
          <w:highlight w:val="none"/>
        </w:rPr>
      </w:pPr>
    </w:p>
    <w:p>
      <w:pPr>
        <w:topLinePunct/>
        <w:spacing w:line="360" w:lineRule="auto"/>
        <w:ind w:firstLine="321" w:firstLineChars="100"/>
        <w:rPr>
          <w:rFonts w:hint="eastAsia" w:ascii="宋体" w:hAnsi="宋体" w:cs="宋体"/>
          <w:b/>
          <w:color w:val="auto"/>
          <w:sz w:val="32"/>
          <w:szCs w:val="32"/>
          <w:highlight w:val="none"/>
        </w:rPr>
      </w:pPr>
    </w:p>
    <w:p>
      <w:pPr>
        <w:topLinePunct/>
        <w:spacing w:line="360" w:lineRule="auto"/>
        <w:ind w:firstLine="321" w:firstLineChars="100"/>
        <w:rPr>
          <w:rFonts w:hint="eastAsia" w:ascii="宋体" w:hAnsi="宋体" w:cs="宋体"/>
          <w:b/>
          <w:color w:val="auto"/>
          <w:sz w:val="32"/>
          <w:szCs w:val="32"/>
          <w:highlight w:val="none"/>
        </w:rPr>
      </w:pPr>
    </w:p>
    <w:p>
      <w:pPr>
        <w:topLinePunct/>
        <w:spacing w:line="360" w:lineRule="auto"/>
        <w:ind w:firstLine="321" w:firstLineChars="100"/>
        <w:rPr>
          <w:rFonts w:hint="eastAsia" w:ascii="宋体" w:hAnsi="宋体" w:cs="宋体"/>
          <w:b/>
          <w:color w:val="auto"/>
          <w:sz w:val="32"/>
          <w:szCs w:val="32"/>
          <w:highlight w:val="none"/>
        </w:rPr>
      </w:pPr>
    </w:p>
    <w:p>
      <w:pPr>
        <w:topLinePunct/>
        <w:spacing w:line="360" w:lineRule="auto"/>
        <w:ind w:firstLine="321" w:firstLineChars="100"/>
        <w:rPr>
          <w:rFonts w:hint="default" w:ascii="宋体" w:hAnsi="宋体" w:eastAsia="宋体" w:cs="宋体"/>
          <w:b/>
          <w:color w:val="auto"/>
          <w:sz w:val="32"/>
          <w:szCs w:val="32"/>
          <w:highlight w:val="none"/>
          <w:lang w:val="en-US"/>
        </w:rPr>
      </w:pPr>
      <w:r>
        <w:rPr>
          <w:rFonts w:hint="eastAsia" w:ascii="宋体" w:hAnsi="宋体" w:cs="宋体"/>
          <w:b/>
          <w:color w:val="auto"/>
          <w:sz w:val="32"/>
          <w:szCs w:val="32"/>
          <w:highlight w:val="none"/>
        </w:rPr>
        <w:t>政府采购编号：</w:t>
      </w:r>
      <w:r>
        <w:rPr>
          <w:rFonts w:hint="eastAsia" w:ascii="宋体" w:hAnsi="宋体" w:eastAsia="宋体" w:cs="宋体"/>
          <w:b/>
          <w:color w:val="auto"/>
          <w:sz w:val="32"/>
          <w:szCs w:val="32"/>
          <w:highlight w:val="none"/>
          <w:lang w:eastAsia="zh-CN"/>
        </w:rPr>
        <w:t>PXGJCG202</w:t>
      </w:r>
      <w:r>
        <w:rPr>
          <w:rFonts w:hint="default" w:ascii="宋体" w:hAnsi="宋体" w:eastAsia="宋体" w:cs="宋体"/>
          <w:b/>
          <w:color w:val="auto"/>
          <w:sz w:val="32"/>
          <w:szCs w:val="32"/>
          <w:highlight w:val="none"/>
          <w:lang w:val="en-US" w:eastAsia="zh-CN"/>
        </w:rPr>
        <w:t>2</w:t>
      </w:r>
      <w:r>
        <w:rPr>
          <w:rFonts w:hint="eastAsia" w:ascii="宋体" w:hAnsi="宋体" w:eastAsia="宋体" w:cs="宋体"/>
          <w:b/>
          <w:color w:val="auto"/>
          <w:sz w:val="32"/>
          <w:szCs w:val="32"/>
          <w:highlight w:val="none"/>
          <w:lang w:eastAsia="zh-CN"/>
        </w:rPr>
        <w:t>-</w:t>
      </w:r>
      <w:r>
        <w:rPr>
          <w:rFonts w:hint="default" w:ascii="宋体" w:hAnsi="宋体" w:cs="宋体"/>
          <w:b/>
          <w:color w:val="auto"/>
          <w:sz w:val="32"/>
          <w:szCs w:val="32"/>
          <w:highlight w:val="none"/>
          <w:lang w:val="en-US" w:eastAsia="zh-CN"/>
        </w:rPr>
        <w:t>115</w:t>
      </w:r>
    </w:p>
    <w:p>
      <w:pPr>
        <w:pStyle w:val="8"/>
        <w:rPr>
          <w:color w:val="auto"/>
          <w:highlight w:val="none"/>
        </w:rPr>
      </w:pPr>
    </w:p>
    <w:p>
      <w:pPr>
        <w:topLinePunct/>
        <w:ind w:left="2568" w:leftChars="152" w:hanging="2249" w:hangingChars="700"/>
        <w:rPr>
          <w:rFonts w:hint="eastAsia" w:ascii="宋体" w:hAnsi="宋体" w:cs="宋体"/>
          <w:b/>
          <w:color w:val="auto"/>
          <w:sz w:val="32"/>
          <w:szCs w:val="32"/>
          <w:highlight w:val="none"/>
          <w:lang w:eastAsia="zh-CN"/>
        </w:rPr>
      </w:pPr>
      <w:r>
        <w:rPr>
          <w:rFonts w:hint="eastAsia" w:ascii="宋体" w:hAnsi="宋体" w:cs="宋体"/>
          <w:b/>
          <w:color w:val="auto"/>
          <w:sz w:val="32"/>
          <w:szCs w:val="32"/>
          <w:highlight w:val="none"/>
        </w:rPr>
        <w:t>采购项目名称：</w:t>
      </w:r>
      <w:r>
        <w:rPr>
          <w:rFonts w:hint="eastAsia" w:ascii="宋体" w:hAnsi="宋体" w:cs="宋体"/>
          <w:b/>
          <w:color w:val="auto"/>
          <w:sz w:val="32"/>
          <w:szCs w:val="32"/>
          <w:highlight w:val="none"/>
          <w:lang w:eastAsia="zh-CN"/>
        </w:rPr>
        <w:t>无锡市</w:t>
      </w:r>
      <w:r>
        <w:rPr>
          <w:rFonts w:hint="eastAsia" w:ascii="宋体" w:hAnsi="宋体" w:cs="宋体"/>
          <w:b/>
          <w:color w:val="auto"/>
          <w:sz w:val="32"/>
          <w:szCs w:val="32"/>
          <w:highlight w:val="none"/>
          <w:lang w:val="en-US" w:eastAsia="zh-CN"/>
        </w:rPr>
        <w:t>靖海小学</w:t>
      </w:r>
      <w:r>
        <w:rPr>
          <w:rFonts w:hint="eastAsia" w:ascii="宋体" w:hAnsi="宋体" w:cs="宋体"/>
          <w:b/>
          <w:color w:val="auto"/>
          <w:sz w:val="32"/>
          <w:szCs w:val="32"/>
          <w:highlight w:val="none"/>
          <w:lang w:eastAsia="zh-CN"/>
        </w:rPr>
        <w:t>维修改造工程</w:t>
      </w:r>
    </w:p>
    <w:p>
      <w:pPr>
        <w:pStyle w:val="8"/>
        <w:rPr>
          <w:rFonts w:hint="eastAsia"/>
          <w:color w:val="auto"/>
          <w:highlight w:val="none"/>
          <w:lang w:val="en-US" w:eastAsia="zh-CN"/>
        </w:rPr>
      </w:pPr>
    </w:p>
    <w:p>
      <w:pPr>
        <w:widowControl/>
        <w:topLinePunct/>
        <w:spacing w:line="360" w:lineRule="auto"/>
        <w:ind w:firstLine="321" w:firstLineChars="100"/>
        <w:rPr>
          <w:rFonts w:hint="default" w:ascii="宋体" w:hAnsi="宋体" w:cs="宋体"/>
          <w:b/>
          <w:color w:val="auto"/>
          <w:sz w:val="32"/>
          <w:szCs w:val="32"/>
          <w:highlight w:val="none"/>
          <w:lang w:val="en-US" w:eastAsia="zh-CN"/>
        </w:rPr>
      </w:pPr>
      <w:r>
        <w:rPr>
          <w:rFonts w:hint="eastAsia" w:ascii="宋体" w:hAnsi="宋体" w:cs="宋体"/>
          <w:b/>
          <w:color w:val="auto"/>
          <w:sz w:val="32"/>
          <w:szCs w:val="32"/>
          <w:highlight w:val="none"/>
        </w:rPr>
        <w:t>采购人：</w:t>
      </w:r>
      <w:r>
        <w:rPr>
          <w:rFonts w:hint="eastAsia" w:ascii="宋体" w:hAnsi="宋体" w:cs="宋体"/>
          <w:b/>
          <w:color w:val="auto"/>
          <w:sz w:val="32"/>
          <w:szCs w:val="32"/>
          <w:highlight w:val="none"/>
          <w:lang w:eastAsia="zh-CN"/>
        </w:rPr>
        <w:t>无锡市</w:t>
      </w:r>
      <w:r>
        <w:rPr>
          <w:rFonts w:hint="eastAsia" w:ascii="宋体" w:hAnsi="宋体" w:cs="宋体"/>
          <w:b/>
          <w:color w:val="auto"/>
          <w:sz w:val="32"/>
          <w:szCs w:val="32"/>
          <w:highlight w:val="none"/>
          <w:lang w:val="en-US" w:eastAsia="zh-CN"/>
        </w:rPr>
        <w:t>靖海小学</w:t>
      </w:r>
    </w:p>
    <w:p>
      <w:pPr>
        <w:pStyle w:val="8"/>
        <w:rPr>
          <w:rFonts w:hint="eastAsia"/>
          <w:color w:val="auto"/>
          <w:highlight w:val="none"/>
          <w:lang w:eastAsia="zh-CN"/>
        </w:rPr>
      </w:pPr>
    </w:p>
    <w:p>
      <w:pPr>
        <w:topLinePunct/>
        <w:spacing w:line="360" w:lineRule="auto"/>
        <w:ind w:firstLine="321" w:firstLineChars="100"/>
        <w:rPr>
          <w:rFonts w:ascii="宋体" w:hAnsi="宋体" w:cs="宋体"/>
          <w:b/>
          <w:color w:val="auto"/>
          <w:sz w:val="32"/>
          <w:szCs w:val="32"/>
          <w:highlight w:val="none"/>
        </w:rPr>
      </w:pPr>
      <w:r>
        <w:rPr>
          <w:rFonts w:hint="eastAsia" w:ascii="宋体" w:hAnsi="宋体" w:cs="宋体"/>
          <w:b/>
          <w:color w:val="auto"/>
          <w:sz w:val="32"/>
          <w:szCs w:val="32"/>
          <w:highlight w:val="none"/>
        </w:rPr>
        <w:t>采购代理机构：</w:t>
      </w:r>
      <w:r>
        <w:rPr>
          <w:rFonts w:hint="eastAsia" w:ascii="宋体" w:hAnsi="宋体" w:cs="宋体"/>
          <w:b/>
          <w:color w:val="auto"/>
          <w:sz w:val="32"/>
          <w:szCs w:val="32"/>
          <w:highlight w:val="none"/>
          <w:lang w:val="en-US" w:eastAsia="zh-CN"/>
        </w:rPr>
        <w:t>普信国际工程咨询有限公司</w:t>
      </w:r>
    </w:p>
    <w:p>
      <w:pPr>
        <w:topLinePunct/>
        <w:spacing w:line="360" w:lineRule="auto"/>
        <w:jc w:val="center"/>
        <w:rPr>
          <w:rFonts w:ascii="宋体" w:hAnsi="宋体" w:cs="宋体"/>
          <w:b/>
          <w:color w:val="auto"/>
          <w:sz w:val="32"/>
          <w:szCs w:val="32"/>
          <w:highlight w:val="none"/>
        </w:rPr>
      </w:pPr>
    </w:p>
    <w:p>
      <w:pPr>
        <w:topLinePunct/>
        <w:spacing w:line="360" w:lineRule="auto"/>
        <w:jc w:val="center"/>
        <w:rPr>
          <w:rFonts w:hint="eastAsia" w:ascii="宋体" w:hAnsi="宋体" w:cs="宋体"/>
          <w:b/>
          <w:color w:val="auto"/>
          <w:sz w:val="44"/>
          <w:szCs w:val="44"/>
          <w:highlight w:val="none"/>
        </w:rPr>
      </w:pPr>
      <w:r>
        <w:rPr>
          <w:rFonts w:hint="eastAsia" w:ascii="宋体" w:hAnsi="宋体" w:cs="宋体"/>
          <w:b/>
          <w:color w:val="auto"/>
          <w:sz w:val="32"/>
          <w:szCs w:val="32"/>
          <w:highlight w:val="none"/>
        </w:rPr>
        <w:t>二〇二二年</w:t>
      </w:r>
      <w:r>
        <w:rPr>
          <w:rFonts w:hint="eastAsia" w:ascii="宋体" w:hAnsi="宋体" w:cs="宋体"/>
          <w:b/>
          <w:color w:val="auto"/>
          <w:sz w:val="32"/>
          <w:szCs w:val="32"/>
          <w:highlight w:val="none"/>
          <w:lang w:val="en-US" w:eastAsia="zh-CN"/>
        </w:rPr>
        <w:t>五</w:t>
      </w:r>
      <w:r>
        <w:rPr>
          <w:rFonts w:hint="eastAsia" w:ascii="宋体" w:hAnsi="宋体" w:cs="宋体"/>
          <w:b/>
          <w:color w:val="auto"/>
          <w:sz w:val="32"/>
          <w:szCs w:val="32"/>
          <w:highlight w:val="none"/>
        </w:rPr>
        <w:t>月</w:t>
      </w:r>
    </w:p>
    <w:p>
      <w:pPr>
        <w:topLinePunct/>
        <w:snapToGrid w:val="0"/>
        <w:spacing w:line="360" w:lineRule="auto"/>
        <w:jc w:val="center"/>
        <w:rPr>
          <w:rFonts w:ascii="宋体" w:hAnsi="宋体" w:cs="宋体"/>
          <w:b/>
          <w:color w:val="auto"/>
          <w:sz w:val="30"/>
          <w:szCs w:val="30"/>
          <w:highlight w:val="none"/>
        </w:rPr>
      </w:pPr>
      <w:r>
        <w:rPr>
          <w:rFonts w:hint="eastAsia" w:ascii="宋体" w:hAnsi="宋体" w:cs="宋体"/>
          <w:b/>
          <w:color w:val="auto"/>
          <w:sz w:val="44"/>
          <w:szCs w:val="44"/>
          <w:highlight w:val="none"/>
        </w:rPr>
        <w:t>目  录</w:t>
      </w:r>
    </w:p>
    <w:p>
      <w:pPr>
        <w:tabs>
          <w:tab w:val="left" w:pos="8000"/>
        </w:tabs>
        <w:topLinePunct/>
        <w:snapToGrid w:val="0"/>
        <w:spacing w:line="1000" w:lineRule="exact"/>
        <w:rPr>
          <w:rFonts w:ascii="宋体" w:hAnsi="宋体" w:cs="宋体"/>
          <w:b/>
          <w:color w:val="auto"/>
          <w:sz w:val="30"/>
          <w:szCs w:val="30"/>
          <w:highlight w:val="none"/>
        </w:rPr>
      </w:pPr>
      <w:r>
        <w:rPr>
          <w:rFonts w:hint="eastAsia" w:ascii="宋体" w:hAnsi="宋体" w:cs="宋体"/>
          <w:b/>
          <w:color w:val="auto"/>
          <w:sz w:val="30"/>
          <w:szCs w:val="30"/>
          <w:highlight w:val="none"/>
        </w:rPr>
        <w:t xml:space="preserve">第一部分   磋商邀请 </w:t>
      </w:r>
    </w:p>
    <w:p>
      <w:pPr>
        <w:topLinePunct/>
        <w:snapToGrid w:val="0"/>
        <w:spacing w:line="1000" w:lineRule="exact"/>
        <w:rPr>
          <w:rFonts w:ascii="宋体" w:hAnsi="宋体" w:cs="宋体"/>
          <w:b/>
          <w:color w:val="auto"/>
          <w:sz w:val="30"/>
          <w:szCs w:val="30"/>
          <w:highlight w:val="none"/>
        </w:rPr>
      </w:pPr>
      <w:r>
        <w:rPr>
          <w:rFonts w:hint="eastAsia" w:ascii="宋体" w:hAnsi="宋体" w:cs="宋体"/>
          <w:b/>
          <w:color w:val="auto"/>
          <w:sz w:val="30"/>
          <w:szCs w:val="30"/>
          <w:highlight w:val="none"/>
        </w:rPr>
        <w:t xml:space="preserve">第二部分   供应商须知 </w:t>
      </w:r>
    </w:p>
    <w:p>
      <w:pPr>
        <w:topLinePunct/>
        <w:snapToGrid w:val="0"/>
        <w:spacing w:line="1000" w:lineRule="exact"/>
        <w:rPr>
          <w:rFonts w:ascii="宋体" w:hAnsi="宋体" w:cs="宋体"/>
          <w:b/>
          <w:color w:val="auto"/>
          <w:sz w:val="30"/>
          <w:szCs w:val="30"/>
          <w:highlight w:val="none"/>
        </w:rPr>
      </w:pPr>
      <w:r>
        <w:rPr>
          <w:rFonts w:hint="eastAsia" w:ascii="宋体" w:hAnsi="宋体" w:cs="宋体"/>
          <w:b/>
          <w:color w:val="auto"/>
          <w:sz w:val="30"/>
          <w:szCs w:val="30"/>
          <w:highlight w:val="none"/>
        </w:rPr>
        <w:t xml:space="preserve">第三部分   采购需求 </w:t>
      </w:r>
    </w:p>
    <w:p>
      <w:pPr>
        <w:topLinePunct/>
        <w:snapToGrid w:val="0"/>
        <w:spacing w:line="1000" w:lineRule="exact"/>
        <w:rPr>
          <w:rFonts w:ascii="宋体" w:hAnsi="宋体" w:cs="宋体"/>
          <w:b/>
          <w:color w:val="auto"/>
          <w:sz w:val="30"/>
          <w:szCs w:val="30"/>
          <w:highlight w:val="none"/>
        </w:rPr>
      </w:pPr>
      <w:r>
        <w:rPr>
          <w:rFonts w:hint="eastAsia" w:ascii="宋体" w:hAnsi="宋体" w:cs="宋体"/>
          <w:b/>
          <w:color w:val="auto"/>
          <w:sz w:val="30"/>
          <w:szCs w:val="30"/>
          <w:highlight w:val="none"/>
        </w:rPr>
        <w:t xml:space="preserve">第四部分   </w:t>
      </w:r>
      <w:r>
        <w:rPr>
          <w:rFonts w:hint="eastAsia" w:ascii="宋体" w:hAnsi="宋体" w:cs="宋体"/>
          <w:b/>
          <w:color w:val="auto"/>
          <w:sz w:val="30"/>
          <w:szCs w:val="30"/>
          <w:highlight w:val="none"/>
          <w:lang w:val="en-US" w:eastAsia="zh-CN"/>
        </w:rPr>
        <w:t>合同条款</w:t>
      </w:r>
      <w:r>
        <w:rPr>
          <w:rFonts w:hint="eastAsia" w:ascii="宋体" w:hAnsi="宋体" w:cs="宋体"/>
          <w:b/>
          <w:color w:val="auto"/>
          <w:sz w:val="30"/>
          <w:szCs w:val="30"/>
          <w:highlight w:val="none"/>
        </w:rPr>
        <w:t xml:space="preserve"> </w:t>
      </w:r>
    </w:p>
    <w:p>
      <w:pPr>
        <w:topLinePunct/>
        <w:snapToGrid w:val="0"/>
        <w:spacing w:line="1000" w:lineRule="exact"/>
        <w:rPr>
          <w:rFonts w:ascii="宋体" w:hAnsi="宋体" w:cs="宋体"/>
          <w:b/>
          <w:color w:val="auto"/>
          <w:sz w:val="30"/>
          <w:szCs w:val="30"/>
          <w:highlight w:val="none"/>
        </w:rPr>
      </w:pPr>
      <w:r>
        <w:rPr>
          <w:rFonts w:hint="eastAsia" w:ascii="宋体" w:hAnsi="宋体" w:cs="宋体"/>
          <w:b/>
          <w:color w:val="auto"/>
          <w:sz w:val="30"/>
          <w:szCs w:val="30"/>
          <w:highlight w:val="none"/>
        </w:rPr>
        <w:t xml:space="preserve">第五部分   附件 </w:t>
      </w:r>
    </w:p>
    <w:p>
      <w:pPr>
        <w:widowControl/>
        <w:topLinePunct/>
        <w:snapToGrid w:val="0"/>
        <w:spacing w:line="360" w:lineRule="auto"/>
        <w:rPr>
          <w:rFonts w:ascii="宋体" w:hAnsi="宋体" w:cs="宋体"/>
          <w:b/>
          <w:color w:val="auto"/>
          <w:sz w:val="30"/>
          <w:szCs w:val="30"/>
          <w:highlight w:val="none"/>
        </w:rPr>
      </w:pPr>
    </w:p>
    <w:p>
      <w:pPr>
        <w:widowControl/>
        <w:topLinePunct/>
        <w:snapToGrid w:val="0"/>
        <w:spacing w:line="360" w:lineRule="auto"/>
        <w:rPr>
          <w:rFonts w:ascii="宋体" w:hAnsi="宋体" w:cs="宋体"/>
          <w:b/>
          <w:color w:val="auto"/>
          <w:sz w:val="24"/>
          <w:highlight w:val="none"/>
        </w:rPr>
      </w:pPr>
    </w:p>
    <w:p>
      <w:pPr>
        <w:widowControl/>
        <w:topLinePunct/>
        <w:snapToGrid w:val="0"/>
        <w:spacing w:line="360" w:lineRule="auto"/>
        <w:rPr>
          <w:rFonts w:ascii="宋体" w:hAnsi="宋体" w:cs="宋体"/>
          <w:b/>
          <w:color w:val="auto"/>
          <w:sz w:val="24"/>
          <w:highlight w:val="none"/>
        </w:rPr>
      </w:pPr>
    </w:p>
    <w:p>
      <w:pPr>
        <w:widowControl/>
        <w:topLinePunct/>
        <w:snapToGrid w:val="0"/>
        <w:spacing w:line="360" w:lineRule="auto"/>
        <w:rPr>
          <w:rFonts w:ascii="宋体" w:hAnsi="宋体" w:cs="宋体"/>
          <w:b/>
          <w:color w:val="auto"/>
          <w:sz w:val="24"/>
          <w:highlight w:val="none"/>
        </w:rPr>
      </w:pPr>
    </w:p>
    <w:p>
      <w:pPr>
        <w:widowControl/>
        <w:topLinePunct/>
        <w:spacing w:before="470"/>
        <w:rPr>
          <w:rFonts w:ascii="宋体" w:hAnsi="宋体" w:cs="宋体"/>
          <w:b/>
          <w:color w:val="auto"/>
          <w:sz w:val="24"/>
          <w:highlight w:val="none"/>
        </w:rPr>
      </w:pPr>
    </w:p>
    <w:p>
      <w:pPr>
        <w:widowControl/>
        <w:topLinePunct/>
        <w:spacing w:before="470"/>
        <w:rPr>
          <w:rFonts w:ascii="宋体" w:hAnsi="宋体" w:cs="宋体"/>
          <w:b/>
          <w:color w:val="auto"/>
          <w:sz w:val="24"/>
          <w:highlight w:val="none"/>
        </w:rPr>
      </w:pPr>
    </w:p>
    <w:p>
      <w:pPr>
        <w:widowControl/>
        <w:topLinePunct/>
        <w:spacing w:before="470"/>
        <w:jc w:val="center"/>
        <w:rPr>
          <w:rFonts w:ascii="宋体" w:hAnsi="宋体" w:cs="宋体"/>
          <w:b/>
          <w:color w:val="auto"/>
          <w:sz w:val="44"/>
          <w:szCs w:val="44"/>
          <w:highlight w:val="none"/>
        </w:rPr>
        <w:sectPr>
          <w:footerReference r:id="rId3" w:type="first"/>
          <w:pgSz w:w="11906" w:h="16838"/>
          <w:pgMar w:top="1418" w:right="1555" w:bottom="1418" w:left="1531" w:header="851" w:footer="992" w:gutter="0"/>
          <w:pgNumType w:start="1"/>
          <w:cols w:space="720" w:num="1"/>
          <w:docGrid w:type="lines" w:linePitch="312" w:charSpace="0"/>
        </w:sectPr>
      </w:pPr>
    </w:p>
    <w:p>
      <w:pPr>
        <w:widowControl/>
        <w:topLinePunct/>
        <w:spacing w:line="480" w:lineRule="auto"/>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t>第一部分.磋商邀请</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59" w:type="dxa"/>
            <w:vAlign w:val="center"/>
          </w:tcPr>
          <w:p>
            <w:pPr>
              <w:widowControl/>
              <w:topLinePunct/>
              <w:spacing w:line="44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8329" w:type="dxa"/>
            <w:vAlign w:val="center"/>
          </w:tcPr>
          <w:p>
            <w:pPr>
              <w:widowControl/>
              <w:topLinePunct/>
              <w:spacing w:line="440" w:lineRule="exact"/>
              <w:jc w:val="center"/>
              <w:rPr>
                <w:rFonts w:ascii="宋体" w:hAnsi="宋体" w:cs="宋体"/>
                <w:color w:val="auto"/>
                <w:sz w:val="24"/>
                <w:highlight w:val="none"/>
              </w:rPr>
            </w:pPr>
            <w:r>
              <w:rPr>
                <w:rFonts w:hint="eastAsia" w:ascii="宋体" w:hAnsi="宋体" w:cs="宋体"/>
                <w:color w:val="auto"/>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8329" w:type="dxa"/>
            <w:vAlign w:val="center"/>
          </w:tcPr>
          <w:p>
            <w:pPr>
              <w:spacing w:line="440" w:lineRule="exact"/>
              <w:rPr>
                <w:rFonts w:hint="eastAsia" w:ascii="宋体" w:hAnsi="宋体" w:cs="宋体"/>
                <w:color w:val="auto"/>
                <w:sz w:val="24"/>
                <w:highlight w:val="none"/>
                <w:lang w:eastAsia="zh-CN"/>
              </w:rPr>
            </w:pPr>
            <w:r>
              <w:rPr>
                <w:rFonts w:hint="eastAsia" w:ascii="宋体" w:hAnsi="宋体" w:cs="宋体"/>
                <w:color w:val="auto"/>
                <w:sz w:val="24"/>
                <w:highlight w:val="none"/>
              </w:rPr>
              <w:t>项目名称：无锡市</w:t>
            </w:r>
            <w:r>
              <w:rPr>
                <w:rFonts w:hint="eastAsia" w:ascii="宋体" w:hAnsi="宋体" w:cs="宋体"/>
                <w:color w:val="auto"/>
                <w:sz w:val="24"/>
                <w:highlight w:val="none"/>
                <w:lang w:val="en-US" w:eastAsia="zh-CN"/>
              </w:rPr>
              <w:t>靖海小学</w:t>
            </w:r>
            <w:r>
              <w:rPr>
                <w:rFonts w:hint="eastAsia" w:ascii="宋体" w:hAnsi="宋体" w:cs="宋体"/>
                <w:color w:val="auto"/>
                <w:sz w:val="24"/>
                <w:highlight w:val="none"/>
                <w:lang w:eastAsia="zh-CN"/>
              </w:rPr>
              <w:t>维修改造工程</w:t>
            </w:r>
          </w:p>
          <w:p>
            <w:pPr>
              <w:spacing w:line="440" w:lineRule="exact"/>
              <w:rPr>
                <w:rFonts w:hint="eastAsia" w:ascii="宋体" w:hAnsi="宋体" w:cs="宋体"/>
                <w:color w:val="auto"/>
                <w:sz w:val="24"/>
                <w:highlight w:val="none"/>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PXGJCG202</w:t>
            </w:r>
            <w:r>
              <w:rPr>
                <w:rFonts w:hint="default"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default" w:ascii="宋体" w:hAnsi="宋体" w:cs="宋体"/>
                <w:color w:val="auto"/>
                <w:sz w:val="24"/>
                <w:highlight w:val="none"/>
                <w:lang w:val="en-US" w:eastAsia="zh-CN"/>
              </w:rPr>
              <w:t>115</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采购方式：竞争性磋商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8329" w:type="dxa"/>
            <w:vAlign w:val="center"/>
          </w:tcPr>
          <w:p>
            <w:pPr>
              <w:spacing w:line="44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无锡市</w:t>
            </w:r>
            <w:r>
              <w:rPr>
                <w:rFonts w:hint="eastAsia" w:ascii="宋体" w:hAnsi="宋体" w:eastAsia="宋体" w:cs="宋体"/>
                <w:color w:val="auto"/>
                <w:sz w:val="24"/>
                <w:highlight w:val="none"/>
                <w:lang w:val="en-US" w:eastAsia="zh-CN"/>
              </w:rPr>
              <w:t>靖海小学</w:t>
            </w:r>
          </w:p>
          <w:p>
            <w:pPr>
              <w:spacing w:line="44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采购人地址：</w:t>
            </w:r>
            <w:r>
              <w:rPr>
                <w:rFonts w:hint="eastAsia" w:ascii="宋体" w:hAnsi="宋体" w:eastAsia="宋体" w:cs="宋体"/>
                <w:color w:val="auto"/>
                <w:sz w:val="24"/>
                <w:highlight w:val="none"/>
                <w:lang w:eastAsia="zh-CN"/>
              </w:rPr>
              <w:t>无锡市</w:t>
            </w:r>
            <w:r>
              <w:rPr>
                <w:rFonts w:hint="eastAsia" w:ascii="宋体" w:hAnsi="宋体" w:eastAsia="宋体" w:cs="宋体"/>
                <w:color w:val="auto"/>
                <w:sz w:val="24"/>
                <w:highlight w:val="none"/>
                <w:lang w:val="en-US" w:eastAsia="zh-CN"/>
              </w:rPr>
              <w:t>靖海新村82号</w:t>
            </w:r>
          </w:p>
          <w:p>
            <w:pPr>
              <w:spacing w:line="44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采购代理机构：</w:t>
            </w:r>
            <w:r>
              <w:rPr>
                <w:rFonts w:hint="eastAsia" w:ascii="宋体" w:hAnsi="宋体" w:eastAsia="宋体" w:cs="宋体"/>
                <w:color w:val="auto"/>
                <w:sz w:val="24"/>
                <w:highlight w:val="none"/>
                <w:lang w:val="en-US" w:eastAsia="zh-CN"/>
              </w:rPr>
              <w:t>普信国际工程咨询有限公司</w:t>
            </w:r>
          </w:p>
          <w:p>
            <w:pPr>
              <w:spacing w:line="440" w:lineRule="exact"/>
              <w:rPr>
                <w:rFonts w:ascii="宋体" w:hAnsi="宋体" w:cs="宋体"/>
                <w:color w:val="auto"/>
                <w:kern w:val="0"/>
                <w:sz w:val="24"/>
                <w:highlight w:val="none"/>
              </w:rPr>
            </w:pPr>
            <w:r>
              <w:rPr>
                <w:rFonts w:hint="eastAsia" w:ascii="宋体" w:hAnsi="宋体" w:eastAsia="宋体" w:cs="宋体"/>
                <w:color w:val="auto"/>
                <w:sz w:val="24"/>
                <w:highlight w:val="none"/>
              </w:rPr>
              <w:t>采购机构地址：无锡市</w:t>
            </w:r>
            <w:r>
              <w:rPr>
                <w:rFonts w:hint="eastAsia" w:ascii="宋体" w:hAnsi="宋体" w:eastAsia="宋体" w:cs="宋体"/>
                <w:color w:val="auto"/>
                <w:sz w:val="24"/>
                <w:highlight w:val="none"/>
                <w:lang w:val="en-US" w:eastAsia="zh-CN"/>
              </w:rPr>
              <w:t>滨湖区</w:t>
            </w:r>
            <w:r>
              <w:rPr>
                <w:rFonts w:hint="eastAsia" w:ascii="宋体" w:hAnsi="宋体" w:eastAsia="宋体" w:cs="宋体"/>
                <w:color w:val="auto"/>
                <w:sz w:val="24"/>
                <w:highlight w:val="none"/>
              </w:rPr>
              <w:t>蠡湖大道2018号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8329" w:type="dxa"/>
            <w:vAlign w:val="center"/>
          </w:tcPr>
          <w:p>
            <w:pPr>
              <w:spacing w:line="440" w:lineRule="exact"/>
              <w:rPr>
                <w:rFonts w:ascii="宋体" w:hAnsi="宋体" w:cs="宋体"/>
                <w:color w:val="auto"/>
                <w:sz w:val="24"/>
                <w:highlight w:val="none"/>
              </w:rPr>
            </w:pPr>
            <w:r>
              <w:rPr>
                <w:rFonts w:hint="eastAsia" w:ascii="宋体" w:hAnsi="宋体" w:cs="宋体"/>
                <w:color w:val="auto"/>
                <w:sz w:val="24"/>
                <w:highlight w:val="none"/>
              </w:rPr>
              <w:t>项目基本概况：</w:t>
            </w:r>
            <w:r>
              <w:rPr>
                <w:rFonts w:hint="eastAsia" w:ascii="宋体" w:hAnsi="宋体" w:cs="宋体"/>
                <w:color w:val="auto"/>
                <w:sz w:val="24"/>
                <w:highlight w:val="none"/>
                <w:lang w:eastAsia="zh-CN"/>
              </w:rPr>
              <w:t>无锡市靖海小学维修改造工程</w:t>
            </w:r>
            <w:r>
              <w:rPr>
                <w:rFonts w:hint="eastAsia" w:ascii="宋体" w:hAnsi="宋体" w:cs="宋体"/>
                <w:color w:val="auto"/>
                <w:sz w:val="24"/>
                <w:highlight w:val="none"/>
              </w:rPr>
              <w:t>，本次招标范围为</w:t>
            </w:r>
            <w:r>
              <w:rPr>
                <w:rFonts w:hint="eastAsia" w:ascii="宋体" w:hAnsi="宋体" w:cs="宋体"/>
                <w:color w:val="auto"/>
                <w:sz w:val="24"/>
                <w:highlight w:val="none"/>
                <w:lang w:eastAsia="zh-CN"/>
              </w:rPr>
              <w:t>装饰工程、修缮土建、</w:t>
            </w:r>
            <w:r>
              <w:rPr>
                <w:rFonts w:hint="eastAsia" w:ascii="宋体" w:hAnsi="宋体" w:cs="宋体"/>
                <w:color w:val="auto"/>
                <w:sz w:val="24"/>
                <w:highlight w:val="none"/>
                <w:lang w:val="en-US" w:eastAsia="zh-CN"/>
              </w:rPr>
              <w:t>景观工程、</w:t>
            </w:r>
            <w:r>
              <w:rPr>
                <w:rFonts w:hint="eastAsia" w:ascii="宋体" w:hAnsi="宋体" w:cs="宋体"/>
                <w:color w:val="auto"/>
                <w:sz w:val="24"/>
                <w:highlight w:val="none"/>
                <w:lang w:eastAsia="zh-CN"/>
              </w:rPr>
              <w:t>绿化工程、安装工程</w:t>
            </w:r>
            <w:r>
              <w:rPr>
                <w:rFonts w:hint="eastAsia" w:ascii="宋体" w:hAnsi="宋体" w:cs="宋体"/>
                <w:color w:val="auto"/>
                <w:sz w:val="24"/>
                <w:highlight w:val="none"/>
              </w:rPr>
              <w:t>。工作内容：包括</w:t>
            </w:r>
            <w:r>
              <w:rPr>
                <w:rFonts w:hint="eastAsia" w:ascii="宋体" w:hAnsi="宋体" w:cs="宋体"/>
                <w:color w:val="auto"/>
                <w:sz w:val="24"/>
                <w:highlight w:val="none"/>
                <w:lang w:val="en-US" w:eastAsia="zh-CN"/>
              </w:rPr>
              <w:t>门卫</w:t>
            </w:r>
            <w:r>
              <w:rPr>
                <w:rFonts w:hint="eastAsia" w:ascii="宋体" w:hAnsi="宋体" w:cs="宋体"/>
                <w:color w:val="auto"/>
                <w:sz w:val="24"/>
                <w:highlight w:val="none"/>
                <w:lang w:eastAsia="zh-CN"/>
              </w:rPr>
              <w:t>出新、</w:t>
            </w:r>
            <w:r>
              <w:rPr>
                <w:rFonts w:hint="eastAsia" w:ascii="宋体" w:hAnsi="宋体" w:cs="宋体"/>
                <w:color w:val="auto"/>
                <w:sz w:val="24"/>
                <w:highlight w:val="none"/>
                <w:lang w:val="en-US" w:eastAsia="zh-CN"/>
              </w:rPr>
              <w:t>外立面出新、铲除涂料、铲除块料面层、新做吊顶</w:t>
            </w:r>
            <w:r>
              <w:rPr>
                <w:rFonts w:hint="eastAsia" w:ascii="宋体" w:hAnsi="宋体" w:cs="宋体"/>
                <w:color w:val="auto"/>
                <w:sz w:val="24"/>
                <w:highlight w:val="none"/>
                <w:lang w:eastAsia="zh-CN"/>
              </w:rPr>
              <w:t>等。</w:t>
            </w:r>
          </w:p>
          <w:p>
            <w:pPr>
              <w:spacing w:line="440" w:lineRule="exact"/>
              <w:rPr>
                <w:rFonts w:ascii="宋体" w:hAnsi="宋体" w:cs="宋体"/>
                <w:color w:val="auto"/>
                <w:sz w:val="24"/>
                <w:highlight w:val="none"/>
              </w:rPr>
            </w:pPr>
            <w:r>
              <w:rPr>
                <w:rFonts w:hint="eastAsia" w:ascii="宋体" w:hAnsi="宋体" w:cs="宋体"/>
                <w:color w:val="auto"/>
                <w:sz w:val="24"/>
                <w:highlight w:val="none"/>
              </w:rPr>
              <w:t>采购预算:</w:t>
            </w:r>
            <w:r>
              <w:rPr>
                <w:rFonts w:hint="eastAsia" w:ascii="宋体" w:hAnsi="宋体" w:cs="宋体"/>
                <w:color w:val="auto"/>
                <w:sz w:val="24"/>
                <w:highlight w:val="none"/>
                <w:lang w:val="en-US" w:eastAsia="zh-CN"/>
              </w:rPr>
              <w:t>285</w:t>
            </w:r>
            <w:r>
              <w:rPr>
                <w:rFonts w:hint="eastAsia" w:ascii="宋体" w:hAnsi="宋体" w:cs="宋体"/>
                <w:color w:val="auto"/>
                <w:sz w:val="24"/>
                <w:highlight w:val="none"/>
              </w:rPr>
              <w:t>万元；</w:t>
            </w:r>
          </w:p>
          <w:p>
            <w:pPr>
              <w:spacing w:line="440" w:lineRule="exact"/>
              <w:rPr>
                <w:rFonts w:hint="default" w:eastAsia="宋体"/>
                <w:color w:val="auto"/>
                <w:highlight w:val="none"/>
                <w:lang w:val="en-US" w:eastAsia="zh-CN"/>
              </w:rPr>
            </w:pPr>
            <w:r>
              <w:rPr>
                <w:rFonts w:hint="eastAsia" w:ascii="宋体" w:hAnsi="宋体" w:cs="宋体"/>
                <w:color w:val="auto"/>
                <w:sz w:val="24"/>
                <w:highlight w:val="none"/>
                <w:lang w:val="zh-CN"/>
              </w:rPr>
              <w:t>最高限价：</w:t>
            </w:r>
            <w:r>
              <w:rPr>
                <w:rFonts w:hint="default" w:ascii="宋体" w:hAnsi="宋体" w:cs="宋体"/>
                <w:color w:val="auto"/>
                <w:sz w:val="24"/>
                <w:highlight w:val="none"/>
                <w:lang w:val="en-US"/>
              </w:rPr>
              <w:t>225.</w:t>
            </w:r>
            <w:r>
              <w:rPr>
                <w:rFonts w:hint="eastAsia" w:ascii="宋体" w:hAnsi="宋体" w:cs="宋体"/>
                <w:color w:val="auto"/>
                <w:sz w:val="24"/>
                <w:highlight w:val="none"/>
                <w:lang w:val="en-US" w:eastAsia="zh-CN"/>
              </w:rPr>
              <w:t>617473万元</w:t>
            </w:r>
          </w:p>
          <w:p>
            <w:pPr>
              <w:spacing w:line="440" w:lineRule="exact"/>
              <w:rPr>
                <w:rFonts w:ascii="宋体" w:hAnsi="宋体" w:cs="宋体"/>
                <w:color w:val="auto"/>
                <w:sz w:val="24"/>
                <w:highlight w:val="none"/>
              </w:rPr>
            </w:pPr>
            <w:r>
              <w:rPr>
                <w:rFonts w:hint="eastAsia" w:ascii="宋体" w:hAnsi="宋体" w:cs="宋体"/>
                <w:color w:val="auto"/>
                <w:sz w:val="24"/>
                <w:highlight w:val="none"/>
                <w:lang w:val="zh-CN"/>
              </w:rPr>
              <w:t>合同履约期限：</w:t>
            </w:r>
            <w:r>
              <w:rPr>
                <w:rFonts w:hint="eastAsia" w:ascii="宋体" w:hAnsi="宋体" w:cs="宋体"/>
                <w:color w:val="auto"/>
                <w:sz w:val="24"/>
                <w:highlight w:val="none"/>
                <w:lang w:val="en-US" w:eastAsia="zh-CN"/>
              </w:rPr>
              <w:t>50</w:t>
            </w:r>
            <w:r>
              <w:rPr>
                <w:rFonts w:hint="eastAsia" w:ascii="宋体" w:hAnsi="宋体" w:cs="宋体"/>
                <w:color w:val="auto"/>
                <w:sz w:val="24"/>
                <w:highlight w:val="none"/>
                <w:lang w:val="zh-CN"/>
              </w:rPr>
              <w:t>日历天</w:t>
            </w:r>
            <w:r>
              <w:rPr>
                <w:rFonts w:hint="eastAsia" w:ascii="宋体" w:hAnsi="宋体" w:eastAsia="宋体" w:cs="宋体"/>
                <w:color w:val="auto"/>
                <w:sz w:val="24"/>
                <w:szCs w:val="24"/>
                <w:highlight w:val="none"/>
                <w:lang w:eastAsia="zh-CN"/>
              </w:rPr>
              <w:t>；</w:t>
            </w:r>
          </w:p>
          <w:p>
            <w:pPr>
              <w:spacing w:line="440" w:lineRule="exact"/>
              <w:rPr>
                <w:rFonts w:ascii="宋体" w:hAnsi="宋体" w:cs="宋体"/>
                <w:color w:val="auto"/>
                <w:sz w:val="24"/>
                <w:highlight w:val="none"/>
                <w:lang w:val="zh-CN"/>
              </w:rPr>
            </w:pPr>
            <w:r>
              <w:rPr>
                <w:rFonts w:hint="eastAsia" w:ascii="宋体" w:hAnsi="宋体" w:cs="宋体"/>
                <w:color w:val="auto"/>
                <w:sz w:val="24"/>
                <w:highlight w:val="none"/>
              </w:rPr>
              <w:t>误期违约金：万分之五/天；</w:t>
            </w:r>
          </w:p>
          <w:p>
            <w:pPr>
              <w:spacing w:line="440" w:lineRule="exact"/>
              <w:rPr>
                <w:rFonts w:ascii="宋体" w:hAnsi="宋体" w:cs="宋体"/>
                <w:color w:val="auto"/>
                <w:sz w:val="24"/>
                <w:highlight w:val="none"/>
              </w:rPr>
            </w:pPr>
            <w:r>
              <w:rPr>
                <w:rFonts w:hint="eastAsia" w:ascii="宋体" w:hAnsi="宋体" w:cs="宋体"/>
                <w:color w:val="auto"/>
                <w:sz w:val="24"/>
                <w:highlight w:val="none"/>
              </w:rPr>
              <w:t>本工程质量标准：一次性验收通过，100%合格；</w:t>
            </w:r>
          </w:p>
          <w:p>
            <w:pPr>
              <w:spacing w:line="440" w:lineRule="exact"/>
              <w:rPr>
                <w:rFonts w:ascii="宋体" w:hAnsi="宋体" w:cs="宋体"/>
                <w:color w:val="auto"/>
                <w:sz w:val="24"/>
                <w:highlight w:val="none"/>
              </w:rPr>
            </w:pPr>
            <w:r>
              <w:rPr>
                <w:rFonts w:hint="eastAsia" w:ascii="宋体" w:hAnsi="宋体" w:cs="宋体"/>
                <w:color w:val="auto"/>
                <w:sz w:val="24"/>
                <w:highlight w:val="none"/>
              </w:rPr>
              <w:t>质量违约金：合同价款的5%</w:t>
            </w:r>
            <w:r>
              <w:rPr>
                <w:rFonts w:hint="eastAsia" w:ascii="宋体" w:hAnsi="宋体" w:cs="宋体"/>
                <w:color w:val="auto"/>
                <w:sz w:val="24"/>
                <w:highlight w:val="none"/>
                <w:lang w:val="zh-CN"/>
              </w:rPr>
              <w:t>；</w:t>
            </w:r>
          </w:p>
          <w:p>
            <w:pPr>
              <w:spacing w:line="44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本项目标的所属行业：</w:t>
            </w:r>
            <w:r>
              <w:rPr>
                <w:rFonts w:hint="eastAsia" w:ascii="宋体" w:hAnsi="宋体" w:cs="宋体"/>
                <w:color w:val="auto"/>
                <w:sz w:val="24"/>
                <w:highlight w:val="none"/>
              </w:rPr>
              <w:t>建筑业。</w:t>
            </w:r>
            <w:r>
              <w:rPr>
                <w:rFonts w:hint="eastAsia" w:ascii="宋体" w:hAnsi="宋体" w:cs="宋体"/>
                <w:color w:val="auto"/>
                <w:sz w:val="24"/>
                <w:szCs w:val="24"/>
                <w:highlight w:val="none"/>
                <w:lang w:val="en-US" w:eastAsia="zh-CN"/>
              </w:rPr>
              <w:t>根据《中小企业划型标准规定》工信部联企业[201</w:t>
            </w:r>
            <w:r>
              <w:rPr>
                <w:rFonts w:hint="eastAsia" w:ascii="宋体" w:hAnsi="宋体" w:eastAsia="宋体" w:cs="宋体"/>
                <w:color w:val="auto"/>
                <w:sz w:val="24"/>
                <w:szCs w:val="24"/>
                <w:highlight w:val="none"/>
                <w:lang w:val="en-US" w:eastAsia="zh-CN"/>
              </w:rPr>
              <w:t>1]300号规定，建筑业</w:t>
            </w:r>
            <w:r>
              <w:rPr>
                <w:rFonts w:hint="default" w:ascii="宋体" w:hAnsi="宋体" w:eastAsia="宋体" w:cs="宋体"/>
                <w:color w:val="auto"/>
                <w:sz w:val="24"/>
                <w:szCs w:val="24"/>
                <w:highlight w:val="none"/>
                <w:lang w:val="en-US" w:eastAsia="zh-CN"/>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440" w:lineRule="exac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本项目是否专门面向中小企业：</w:t>
            </w:r>
            <w:r>
              <w:rPr>
                <w:rFonts w:hint="eastAsia" w:ascii="宋体" w:hAnsi="宋体" w:cs="宋体"/>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8329" w:type="dxa"/>
            <w:vAlign w:val="center"/>
          </w:tcPr>
          <w:p>
            <w:pPr>
              <w:tabs>
                <w:tab w:val="left" w:pos="0"/>
              </w:tabs>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投标供应商参加本次政府采购活动除应当符合《中华人民共和国政府采购法》第二十二条的规定外，还必须具备以下条件：</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（1）报价供应商应为中国大陆境内合法注册，具有独立法人资格的法人；</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（2）未处于被责令停业、投标资格被取消或者财产被接管、冻结和破产状态；</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（3）报价供应商具备建筑工程施工总承包三级及以上资质；</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（4）报价供应商具备有效安全生产许可证；</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（5）报价供应商拟派项目负责人具备二级及以上注册建造师（房屋建筑工程专业）和有效期内的《建筑施工企业项目负责人安全生产考核合格证书》（B证）；</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6）授权委托人和项目负责人应具备与本企业签订的劳动合同和《职工养老保险手册》（内附2021年11月-2022年4月的缴费清单）或由社保机构出具本企业的2021年11月-2022年4月的缴费证明；（如报价供应商成立时间迟于要求开始的时间，则提供成立时间至磋商文件中社保要求的截止时间内的社保缴费证明）；</w:t>
            </w:r>
          </w:p>
          <w:p>
            <w:pPr>
              <w:tabs>
                <w:tab w:val="left" w:pos="0"/>
              </w:tabs>
              <w:spacing w:line="360" w:lineRule="auto"/>
              <w:rPr>
                <w:rFonts w:hint="eastAsia" w:ascii="宋体" w:hAnsi="宋体" w:eastAsia="宋体"/>
                <w:bCs/>
                <w:color w:val="auto"/>
                <w:sz w:val="24"/>
                <w:highlight w:val="none"/>
                <w:lang w:eastAsia="zh-CN"/>
              </w:rPr>
            </w:pPr>
            <w:r>
              <w:rPr>
                <w:rFonts w:hint="eastAsia" w:ascii="宋体" w:hAnsi="宋体"/>
                <w:bCs/>
                <w:color w:val="auto"/>
                <w:sz w:val="24"/>
                <w:highlight w:val="none"/>
              </w:rPr>
              <w:t>（7）拟派项目负责人无在建工程（提供承诺书）</w:t>
            </w:r>
            <w:r>
              <w:rPr>
                <w:rFonts w:hint="eastAsia" w:ascii="宋体" w:hAnsi="宋体"/>
                <w:bCs/>
                <w:color w:val="auto"/>
                <w:sz w:val="24"/>
                <w:highlight w:val="none"/>
                <w:lang w:eastAsia="zh-CN"/>
              </w:rPr>
              <w:t>；</w:t>
            </w:r>
          </w:p>
          <w:p>
            <w:pPr>
              <w:tabs>
                <w:tab w:val="left" w:pos="0"/>
              </w:tabs>
              <w:spacing w:line="360" w:lineRule="auto"/>
              <w:rPr>
                <w:rFonts w:hint="eastAsia" w:ascii="宋体" w:hAnsi="宋体"/>
                <w:bCs/>
                <w:color w:val="auto"/>
                <w:sz w:val="24"/>
                <w:highlight w:val="none"/>
              </w:rPr>
            </w:pPr>
            <w:r>
              <w:rPr>
                <w:rFonts w:hint="eastAsia" w:ascii="宋体" w:hAnsi="宋体"/>
                <w:bCs/>
                <w:color w:val="auto"/>
                <w:sz w:val="24"/>
                <w:highlight w:val="none"/>
              </w:rPr>
              <w:t>（8）本项目不接受联合体磋商；</w:t>
            </w:r>
          </w:p>
          <w:p>
            <w:pPr>
              <w:pStyle w:val="2"/>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宋体" w:hAnsi="宋体"/>
                <w:bCs/>
                <w:color w:val="auto"/>
                <w:sz w:val="24"/>
                <w:highlight w:val="none"/>
              </w:rPr>
            </w:pPr>
            <w:r>
              <w:rPr>
                <w:rFonts w:hint="eastAsia" w:ascii="宋体" w:hAnsi="宋体" w:eastAsia="宋体" w:cs="黑体"/>
                <w:bCs/>
                <w:color w:val="auto"/>
                <w:kern w:val="2"/>
                <w:sz w:val="24"/>
                <w:szCs w:val="24"/>
                <w:highlight w:val="none"/>
                <w:lang w:val="en-US" w:eastAsia="zh-CN" w:bidi="ar-SA"/>
              </w:rPr>
              <w:t>（9）其他规定：具有投资参股关系的关联企业，或具有直接管理和被管理关系的母子公司，或同一母公司的子公司，或法定代表人为同一个人的两个及两个以上企业，不得同时参加本项目投标，否则其投标均作为无效投标处理。</w:t>
            </w:r>
          </w:p>
          <w:p>
            <w:pPr>
              <w:tabs>
                <w:tab w:val="left" w:pos="0"/>
              </w:tabs>
              <w:autoSpaceDE w:val="0"/>
              <w:autoSpaceDN w:val="0"/>
              <w:spacing w:line="360" w:lineRule="auto"/>
              <w:rPr>
                <w:rFonts w:ascii="宋体" w:hAnsi="宋体" w:cs="宋体"/>
                <w:color w:val="auto"/>
                <w:kern w:val="0"/>
                <w:sz w:val="24"/>
                <w:highlight w:val="none"/>
              </w:rPr>
            </w:pPr>
            <w:r>
              <w:rPr>
                <w:rFonts w:hint="eastAsia" w:ascii="宋体" w:hAnsi="宋体" w:eastAsia="宋体" w:cs="宋体"/>
                <w:b/>
                <w:bCs/>
                <w:color w:val="auto"/>
                <w:sz w:val="24"/>
                <w:szCs w:val="24"/>
                <w:highlight w:val="none"/>
                <w:lang w:val="en-US" w:eastAsia="zh-CN"/>
              </w:rPr>
              <w:t>注：根据疫情防控要求，磋商现场只能一人参加，因此授权代表与项目经理需为同一人。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8329" w:type="dxa"/>
            <w:vAlign w:val="center"/>
          </w:tcPr>
          <w:p>
            <w:pPr>
              <w:widowControl/>
              <w:topLinePunct/>
              <w:spacing w:line="440" w:lineRule="exact"/>
              <w:rPr>
                <w:rFonts w:ascii="宋体" w:hAnsi="宋体" w:cs="宋体"/>
                <w:color w:val="auto"/>
                <w:sz w:val="24"/>
                <w:highlight w:val="none"/>
              </w:rPr>
            </w:pPr>
            <w:r>
              <w:rPr>
                <w:rFonts w:hint="eastAsia" w:ascii="宋体" w:hAnsi="宋体" w:cs="宋体"/>
                <w:color w:val="auto"/>
                <w:sz w:val="24"/>
                <w:highlight w:val="none"/>
              </w:rPr>
              <w:t>提供磋商文件时间：</w:t>
            </w:r>
            <w:r>
              <w:rPr>
                <w:rFonts w:hint="eastAsia" w:ascii="宋体" w:hAnsi="宋体" w:cs="宋体"/>
                <w:color w:val="auto"/>
                <w:kern w:val="0"/>
                <w:sz w:val="24"/>
                <w:highlight w:val="none"/>
              </w:rPr>
              <w:t>本项目竞争性磋商公告发布之日起五个工作日内（法定假日除外）</w:t>
            </w:r>
            <w:r>
              <w:rPr>
                <w:rFonts w:hint="eastAsia" w:ascii="宋体" w:hAnsi="宋体" w:cs="宋体"/>
                <w:color w:val="auto"/>
                <w:sz w:val="24"/>
                <w:highlight w:val="none"/>
                <w:lang w:val="zh-CN"/>
              </w:rPr>
              <w:t>，每天上午9:00-11:30，下午13:30-16：00。</w:t>
            </w:r>
            <w:r>
              <w:rPr>
                <w:rFonts w:hint="eastAsia" w:ascii="宋体" w:hAnsi="宋体" w:cs="宋体"/>
                <w:color w:val="auto"/>
                <w:sz w:val="24"/>
                <w:highlight w:val="none"/>
              </w:rPr>
              <w:t>售价：</w:t>
            </w:r>
            <w:r>
              <w:rPr>
                <w:rFonts w:hint="eastAsia" w:ascii="宋体" w:hAnsi="宋体" w:cs="宋体"/>
                <w:color w:val="auto"/>
                <w:sz w:val="24"/>
                <w:highlight w:val="none"/>
                <w:lang w:val="zh-CN"/>
              </w:rPr>
              <w:t>捌佰元</w:t>
            </w:r>
            <w:r>
              <w:rPr>
                <w:rFonts w:hint="eastAsia" w:ascii="宋体" w:hAnsi="宋体" w:cs="宋体"/>
                <w:color w:val="auto"/>
                <w:sz w:val="24"/>
                <w:highlight w:val="none"/>
              </w:rPr>
              <w:t>/份，现金支付，磋商文件售后不退。</w:t>
            </w:r>
          </w:p>
          <w:p>
            <w:pPr>
              <w:widowControl/>
              <w:topLinePunct/>
              <w:spacing w:line="440" w:lineRule="exact"/>
              <w:rPr>
                <w:rFonts w:ascii="宋体" w:hAnsi="宋体" w:cs="宋体"/>
                <w:b/>
                <w:color w:val="auto"/>
                <w:sz w:val="24"/>
                <w:highlight w:val="none"/>
              </w:rPr>
            </w:pPr>
            <w:r>
              <w:rPr>
                <w:rFonts w:hint="eastAsia" w:ascii="宋体" w:hAnsi="宋体" w:cs="宋体"/>
                <w:color w:val="auto"/>
                <w:sz w:val="24"/>
                <w:highlight w:val="none"/>
              </w:rPr>
              <w:t>提供磋商文件地点：</w:t>
            </w:r>
            <w:r>
              <w:rPr>
                <w:rFonts w:hint="eastAsia" w:ascii="宋体" w:hAnsi="宋体" w:cs="宋体"/>
                <w:color w:val="auto"/>
                <w:sz w:val="24"/>
                <w:szCs w:val="24"/>
                <w:highlight w:val="none"/>
                <w:lang w:eastAsia="zh-CN"/>
              </w:rPr>
              <w:t>无锡市滨湖区蠡湖大道2018号8号楼6楼8603</w:t>
            </w:r>
          </w:p>
          <w:p>
            <w:pPr>
              <w:widowControl/>
              <w:topLinePunct/>
              <w:spacing w:line="440" w:lineRule="exact"/>
              <w:rPr>
                <w:rFonts w:ascii="宋体" w:hAnsi="宋体" w:cs="宋体"/>
                <w:color w:val="auto"/>
                <w:sz w:val="24"/>
                <w:highlight w:val="none"/>
              </w:rPr>
            </w:pPr>
            <w:r>
              <w:rPr>
                <w:rFonts w:hint="eastAsia" w:ascii="宋体" w:hAnsi="宋体" w:cs="宋体"/>
                <w:color w:val="auto"/>
                <w:sz w:val="24"/>
                <w:highlight w:val="none"/>
              </w:rPr>
              <w:t>供应商应承担其编制响应文件以及递交响应文件所涉及的一切费用。无论投标结果如何，采购人对上述费用不负任何责任。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6</w:t>
            </w:r>
          </w:p>
        </w:tc>
        <w:tc>
          <w:tcPr>
            <w:tcW w:w="8329" w:type="dxa"/>
            <w:vAlign w:val="center"/>
          </w:tcPr>
          <w:p>
            <w:pPr>
              <w:widowControl/>
              <w:topLinePunct/>
              <w:spacing w:line="360" w:lineRule="auto"/>
              <w:rPr>
                <w:rFonts w:ascii="宋体" w:hAnsi="宋体"/>
                <w:color w:val="auto"/>
                <w:sz w:val="24"/>
                <w:highlight w:val="none"/>
              </w:rPr>
            </w:pPr>
            <w:r>
              <w:rPr>
                <w:rFonts w:hint="eastAsia" w:ascii="宋体" w:hAnsi="宋体"/>
                <w:color w:val="auto"/>
                <w:sz w:val="24"/>
                <w:highlight w:val="none"/>
              </w:rPr>
              <w:t>提疑截止时间：202</w:t>
            </w:r>
            <w:r>
              <w:rPr>
                <w:rFonts w:ascii="宋体" w:hAnsi="宋体"/>
                <w:color w:val="auto"/>
                <w:sz w:val="24"/>
                <w:highlight w:val="none"/>
              </w:rPr>
              <w:t>2</w:t>
            </w:r>
            <w:r>
              <w:rPr>
                <w:rFonts w:hint="eastAsia" w:ascii="宋体" w:hAnsi="宋体"/>
                <w:color w:val="auto"/>
                <w:sz w:val="24"/>
                <w:highlight w:val="none"/>
              </w:rPr>
              <w:t>年</w:t>
            </w:r>
            <w:r>
              <w:rPr>
                <w:rFonts w:hint="default" w:ascii="宋体" w:hAnsi="宋体"/>
                <w:color w:val="auto"/>
                <w:sz w:val="24"/>
                <w:highlight w:val="none"/>
                <w:lang w:val="en-US"/>
              </w:rPr>
              <w:t>6</w:t>
            </w:r>
            <w:r>
              <w:rPr>
                <w:rFonts w:hint="eastAsia" w:ascii="宋体" w:hAnsi="宋体"/>
                <w:color w:val="auto"/>
                <w:sz w:val="24"/>
                <w:highlight w:val="none"/>
              </w:rPr>
              <w:t>月</w:t>
            </w:r>
            <w:r>
              <w:rPr>
                <w:rFonts w:hint="default" w:ascii="宋体" w:hAnsi="宋体"/>
                <w:color w:val="auto"/>
                <w:sz w:val="24"/>
                <w:highlight w:val="none"/>
                <w:lang w:val="en-US"/>
              </w:rPr>
              <w:t>1</w:t>
            </w:r>
            <w:r>
              <w:rPr>
                <w:rFonts w:hint="eastAsia" w:ascii="宋体" w:hAnsi="宋体"/>
                <w:color w:val="auto"/>
                <w:sz w:val="24"/>
                <w:highlight w:val="none"/>
                <w:lang w:val="en-US" w:eastAsia="zh-CN"/>
              </w:rPr>
              <w:t>3</w:t>
            </w:r>
            <w:r>
              <w:rPr>
                <w:rFonts w:hint="eastAsia" w:ascii="宋体" w:hAnsi="宋体"/>
                <w:color w:val="auto"/>
                <w:sz w:val="24"/>
                <w:highlight w:val="none"/>
              </w:rPr>
              <w:t>日</w:t>
            </w:r>
            <w:r>
              <w:rPr>
                <w:rFonts w:hint="default" w:ascii="宋体" w:hAnsi="宋体"/>
                <w:color w:val="auto"/>
                <w:sz w:val="24"/>
                <w:highlight w:val="none"/>
                <w:lang w:val="en-US"/>
              </w:rPr>
              <w:t>10</w:t>
            </w:r>
            <w:r>
              <w:rPr>
                <w:rFonts w:hint="eastAsia" w:ascii="宋体" w:hAnsi="宋体"/>
                <w:color w:val="auto"/>
                <w:sz w:val="24"/>
                <w:highlight w:val="none"/>
              </w:rPr>
              <w:t>时，以书面形式和电子邮件形式发送给采购代理机构。</w:t>
            </w:r>
          </w:p>
          <w:p>
            <w:pPr>
              <w:widowControl/>
              <w:topLinePunct/>
              <w:spacing w:line="440" w:lineRule="exact"/>
              <w:jc w:val="left"/>
              <w:rPr>
                <w:rFonts w:ascii="宋体" w:hAnsi="宋体" w:cs="宋体"/>
                <w:color w:val="auto"/>
                <w:sz w:val="24"/>
                <w:highlight w:val="none"/>
              </w:rPr>
            </w:pPr>
            <w:r>
              <w:rPr>
                <w:rFonts w:hint="eastAsia" w:ascii="宋体" w:hAnsi="宋体"/>
                <w:color w:val="auto"/>
                <w:sz w:val="24"/>
                <w:highlight w:val="none"/>
              </w:rPr>
              <w:t>答疑时间：202</w:t>
            </w:r>
            <w:r>
              <w:rPr>
                <w:rFonts w:ascii="宋体" w:hAnsi="宋体"/>
                <w:color w:val="auto"/>
                <w:sz w:val="24"/>
                <w:highlight w:val="none"/>
              </w:rPr>
              <w:t>2</w:t>
            </w:r>
            <w:r>
              <w:rPr>
                <w:rFonts w:hint="eastAsia" w:ascii="宋体" w:hAnsi="宋体"/>
                <w:color w:val="auto"/>
                <w:sz w:val="24"/>
                <w:highlight w:val="none"/>
              </w:rPr>
              <w:t>年</w:t>
            </w:r>
            <w:r>
              <w:rPr>
                <w:rFonts w:hint="default" w:ascii="宋体" w:hAnsi="宋体"/>
                <w:color w:val="auto"/>
                <w:sz w:val="24"/>
                <w:highlight w:val="none"/>
                <w:lang w:val="en-US"/>
              </w:rPr>
              <w:t>6</w:t>
            </w:r>
            <w:r>
              <w:rPr>
                <w:rFonts w:hint="eastAsia" w:ascii="宋体" w:hAnsi="宋体"/>
                <w:color w:val="auto"/>
                <w:sz w:val="24"/>
                <w:highlight w:val="none"/>
              </w:rPr>
              <w:t>月</w:t>
            </w:r>
            <w:r>
              <w:rPr>
                <w:rFonts w:hint="default" w:ascii="宋体" w:hAnsi="宋体"/>
                <w:color w:val="auto"/>
                <w:sz w:val="24"/>
                <w:highlight w:val="none"/>
                <w:lang w:val="en-US"/>
              </w:rPr>
              <w:t>1</w:t>
            </w:r>
            <w:r>
              <w:rPr>
                <w:rFonts w:hint="eastAsia" w:ascii="宋体" w:hAnsi="宋体"/>
                <w:color w:val="auto"/>
                <w:sz w:val="24"/>
                <w:highlight w:val="none"/>
                <w:lang w:val="en-US" w:eastAsia="zh-CN"/>
              </w:rPr>
              <w:t>3</w:t>
            </w:r>
            <w:r>
              <w:rPr>
                <w:rFonts w:hint="eastAsia" w:ascii="宋体" w:hAnsi="宋体"/>
                <w:color w:val="auto"/>
                <w:sz w:val="24"/>
                <w:highlight w:val="none"/>
              </w:rPr>
              <w:t>日</w:t>
            </w:r>
            <w:r>
              <w:rPr>
                <w:rFonts w:hint="default" w:ascii="宋体" w:hAnsi="宋体"/>
                <w:color w:val="auto"/>
                <w:sz w:val="24"/>
                <w:highlight w:val="none"/>
                <w:lang w:val="en-US"/>
              </w:rPr>
              <w:t>16</w:t>
            </w:r>
            <w:r>
              <w:rPr>
                <w:rFonts w:hint="eastAsia" w:ascii="宋体" w:hAnsi="宋体"/>
                <w:color w:val="auto"/>
                <w:sz w:val="24"/>
                <w:highlight w:val="none"/>
              </w:rPr>
              <w:t>时前，以书面（或电子稿）形式发送给各报价供应商。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7</w:t>
            </w:r>
          </w:p>
        </w:tc>
        <w:tc>
          <w:tcPr>
            <w:tcW w:w="8329" w:type="dxa"/>
            <w:vAlign w:val="center"/>
          </w:tcPr>
          <w:p>
            <w:pPr>
              <w:widowControl/>
              <w:topLinePunct/>
              <w:spacing w:line="360" w:lineRule="auto"/>
              <w:rPr>
                <w:rFonts w:ascii="宋体" w:hAnsi="宋体" w:cs="宋体"/>
                <w:color w:val="auto"/>
                <w:sz w:val="24"/>
                <w:highlight w:val="none"/>
              </w:rPr>
            </w:pPr>
            <w:r>
              <w:rPr>
                <w:rFonts w:hint="eastAsia" w:ascii="宋体" w:hAnsi="宋体" w:cs="宋体"/>
                <w:color w:val="auto"/>
                <w:sz w:val="24"/>
                <w:highlight w:val="none"/>
              </w:rPr>
              <w:t xml:space="preserve">本项目不需缴纳磋商保证金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8</w:t>
            </w:r>
          </w:p>
        </w:tc>
        <w:tc>
          <w:tcPr>
            <w:tcW w:w="8329" w:type="dxa"/>
            <w:vAlign w:val="center"/>
          </w:tcPr>
          <w:p>
            <w:pPr>
              <w:widowControl/>
              <w:topLinePunct/>
              <w:spacing w:line="440" w:lineRule="exact"/>
              <w:jc w:val="left"/>
              <w:rPr>
                <w:rFonts w:ascii="宋体" w:hAnsi="宋体" w:cs="宋体"/>
                <w:color w:val="auto"/>
                <w:sz w:val="24"/>
                <w:highlight w:val="none"/>
              </w:rPr>
            </w:pPr>
            <w:r>
              <w:rPr>
                <w:rFonts w:hint="eastAsia" w:ascii="宋体" w:hAnsi="宋体" w:cs="宋体"/>
                <w:color w:val="auto"/>
                <w:sz w:val="24"/>
                <w:highlight w:val="none"/>
              </w:rPr>
              <w:t>磋商有效期：</w:t>
            </w:r>
            <w:r>
              <w:rPr>
                <w:rFonts w:hint="eastAsia" w:ascii="宋体" w:hAnsi="宋体"/>
                <w:color w:val="auto"/>
                <w:sz w:val="24"/>
                <w:highlight w:val="none"/>
              </w:rPr>
              <w:t>磋商之日起90天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9</w:t>
            </w:r>
          </w:p>
        </w:tc>
        <w:tc>
          <w:tcPr>
            <w:tcW w:w="8329" w:type="dxa"/>
            <w:vAlign w:val="center"/>
          </w:tcPr>
          <w:p>
            <w:pPr>
              <w:tabs>
                <w:tab w:val="left" w:pos="0"/>
              </w:tabs>
              <w:autoSpaceDE w:val="0"/>
              <w:autoSpaceDN w:val="0"/>
              <w:adjustRightInd w:val="0"/>
              <w:spacing w:line="440" w:lineRule="exact"/>
              <w:rPr>
                <w:rFonts w:ascii="宋体" w:hAnsi="宋体" w:cs="宋体"/>
                <w:color w:val="auto"/>
                <w:sz w:val="24"/>
                <w:highlight w:val="none"/>
              </w:rPr>
            </w:pPr>
            <w:r>
              <w:rPr>
                <w:rFonts w:hint="eastAsia" w:ascii="宋体" w:hAnsi="宋体" w:cs="宋体"/>
                <w:color w:val="auto"/>
                <w:sz w:val="24"/>
                <w:highlight w:val="none"/>
                <w:lang w:val="zh-CN"/>
              </w:rPr>
              <w:t>响应文件开始接收时间</w:t>
            </w:r>
            <w:r>
              <w:rPr>
                <w:rFonts w:hint="eastAsia" w:ascii="宋体" w:hAnsi="宋体" w:cs="宋体"/>
                <w:color w:val="auto"/>
                <w:sz w:val="24"/>
                <w:highlight w:val="none"/>
              </w:rPr>
              <w:t>：202</w:t>
            </w:r>
            <w:r>
              <w:rPr>
                <w:rFonts w:ascii="宋体" w:hAnsi="宋体" w:cs="宋体"/>
                <w:color w:val="auto"/>
                <w:sz w:val="24"/>
                <w:highlight w:val="none"/>
              </w:rPr>
              <w:t>2</w:t>
            </w:r>
            <w:r>
              <w:rPr>
                <w:rFonts w:hint="eastAsia" w:ascii="宋体" w:hAnsi="宋体" w:cs="宋体"/>
                <w:color w:val="auto"/>
                <w:sz w:val="24"/>
                <w:highlight w:val="none"/>
              </w:rPr>
              <w:t>年</w:t>
            </w:r>
            <w:r>
              <w:rPr>
                <w:rFonts w:hint="default" w:ascii="宋体" w:hAnsi="宋体" w:cs="宋体"/>
                <w:color w:val="auto"/>
                <w:sz w:val="24"/>
                <w:highlight w:val="none"/>
                <w:lang w:val="en-US"/>
              </w:rPr>
              <w:t>6</w:t>
            </w:r>
            <w:r>
              <w:rPr>
                <w:rFonts w:hint="eastAsia" w:ascii="宋体" w:hAnsi="宋体" w:cs="宋体"/>
                <w:color w:val="auto"/>
                <w:sz w:val="24"/>
                <w:highlight w:val="none"/>
              </w:rPr>
              <w:t>月</w:t>
            </w:r>
            <w:r>
              <w:rPr>
                <w:rFonts w:hint="default" w:ascii="宋体" w:hAnsi="宋体" w:cs="宋体"/>
                <w:color w:val="auto"/>
                <w:sz w:val="24"/>
                <w:highlight w:val="none"/>
                <w:lang w:val="en-US"/>
              </w:rPr>
              <w:t>17</w:t>
            </w:r>
            <w:r>
              <w:rPr>
                <w:rFonts w:hint="eastAsia" w:ascii="宋体" w:hAnsi="宋体" w:cs="宋体"/>
                <w:color w:val="auto"/>
                <w:sz w:val="24"/>
                <w:highlight w:val="none"/>
              </w:rPr>
              <w:t>日9：00始</w:t>
            </w:r>
          </w:p>
          <w:p>
            <w:pPr>
              <w:widowControl/>
              <w:topLinePunct/>
              <w:spacing w:line="440" w:lineRule="exact"/>
              <w:rPr>
                <w:rFonts w:ascii="宋体" w:hAnsi="宋体" w:cs="宋体"/>
                <w:color w:val="auto"/>
                <w:sz w:val="24"/>
                <w:highlight w:val="none"/>
              </w:rPr>
            </w:pPr>
            <w:r>
              <w:rPr>
                <w:rFonts w:hint="eastAsia" w:ascii="宋体" w:hAnsi="宋体" w:cs="宋体"/>
                <w:color w:val="auto"/>
                <w:sz w:val="24"/>
                <w:highlight w:val="none"/>
              </w:rPr>
              <w:t>响应文件接收截止时间：202</w:t>
            </w:r>
            <w:r>
              <w:rPr>
                <w:rFonts w:ascii="宋体" w:hAnsi="宋体" w:cs="宋体"/>
                <w:color w:val="auto"/>
                <w:sz w:val="24"/>
                <w:highlight w:val="none"/>
              </w:rPr>
              <w:t>2</w:t>
            </w:r>
            <w:r>
              <w:rPr>
                <w:rFonts w:hint="eastAsia" w:ascii="宋体" w:hAnsi="宋体" w:cs="宋体"/>
                <w:color w:val="auto"/>
                <w:sz w:val="24"/>
                <w:highlight w:val="none"/>
              </w:rPr>
              <w:t>年</w:t>
            </w:r>
            <w:r>
              <w:rPr>
                <w:rFonts w:hint="default" w:ascii="宋体" w:hAnsi="宋体" w:cs="宋体"/>
                <w:color w:val="auto"/>
                <w:sz w:val="24"/>
                <w:highlight w:val="none"/>
                <w:lang w:val="en-US"/>
              </w:rPr>
              <w:t>6</w:t>
            </w:r>
            <w:r>
              <w:rPr>
                <w:rFonts w:hint="eastAsia" w:ascii="宋体" w:hAnsi="宋体" w:cs="宋体"/>
                <w:color w:val="auto"/>
                <w:sz w:val="24"/>
                <w:highlight w:val="none"/>
              </w:rPr>
              <w:t>月</w:t>
            </w:r>
            <w:r>
              <w:rPr>
                <w:rFonts w:hint="default" w:ascii="宋体" w:hAnsi="宋体" w:cs="宋体"/>
                <w:color w:val="auto"/>
                <w:sz w:val="24"/>
                <w:highlight w:val="none"/>
                <w:lang w:val="en-US"/>
              </w:rPr>
              <w:t>17</w:t>
            </w:r>
            <w:r>
              <w:rPr>
                <w:rFonts w:hint="eastAsia" w:ascii="宋体" w:hAnsi="宋体" w:cs="宋体"/>
                <w:color w:val="auto"/>
                <w:sz w:val="24"/>
                <w:highlight w:val="none"/>
              </w:rPr>
              <w:t>日9：30截止，截止期后的响应文件恕不接受。</w:t>
            </w:r>
          </w:p>
          <w:p>
            <w:pPr>
              <w:widowControl/>
              <w:topLinePunct/>
              <w:spacing w:line="360" w:lineRule="auto"/>
              <w:rPr>
                <w:rFonts w:ascii="宋体" w:hAnsi="宋体" w:cs="宋体"/>
                <w:color w:val="auto"/>
                <w:sz w:val="24"/>
                <w:highlight w:val="none"/>
              </w:rPr>
            </w:pPr>
            <w:r>
              <w:rPr>
                <w:rFonts w:hint="eastAsia" w:ascii="宋体" w:hAnsi="宋体" w:cs="宋体"/>
                <w:color w:val="auto"/>
                <w:sz w:val="24"/>
                <w:highlight w:val="none"/>
              </w:rPr>
              <w:t>响应文件接受地点：</w:t>
            </w:r>
            <w:r>
              <w:rPr>
                <w:rFonts w:hint="eastAsia" w:ascii="宋体" w:hAnsi="宋体" w:cs="宋体"/>
                <w:color w:val="auto"/>
                <w:sz w:val="24"/>
                <w:szCs w:val="24"/>
                <w:highlight w:val="none"/>
              </w:rPr>
              <w:t>普信国际工程咨询有限公司</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无锡市</w:t>
            </w:r>
            <w:r>
              <w:rPr>
                <w:rFonts w:hint="eastAsia" w:ascii="宋体" w:hAnsi="宋体" w:cs="宋体"/>
                <w:color w:val="auto"/>
                <w:sz w:val="24"/>
                <w:szCs w:val="24"/>
                <w:highlight w:val="none"/>
                <w:lang w:val="en-US" w:eastAsia="zh-CN"/>
              </w:rPr>
              <w:t>滨湖区</w:t>
            </w:r>
            <w:r>
              <w:rPr>
                <w:rFonts w:hint="eastAsia" w:ascii="宋体" w:hAnsi="宋体" w:cs="宋体"/>
                <w:color w:val="auto"/>
                <w:sz w:val="24"/>
                <w:szCs w:val="24"/>
                <w:highlight w:val="none"/>
              </w:rPr>
              <w:t>蠡湖大道</w:t>
            </w:r>
            <w:r>
              <w:rPr>
                <w:rFonts w:ascii="宋体" w:hAnsi="宋体" w:cs="宋体"/>
                <w:color w:val="auto"/>
                <w:sz w:val="24"/>
                <w:szCs w:val="24"/>
                <w:highlight w:val="none"/>
              </w:rPr>
              <w:t>2018</w:t>
            </w:r>
            <w:r>
              <w:rPr>
                <w:rFonts w:hint="eastAsia" w:ascii="宋体" w:hAnsi="宋体" w:cs="宋体"/>
                <w:color w:val="auto"/>
                <w:sz w:val="24"/>
                <w:szCs w:val="24"/>
                <w:highlight w:val="none"/>
              </w:rPr>
              <w:t>号</w:t>
            </w:r>
            <w:r>
              <w:rPr>
                <w:rFonts w:ascii="宋体" w:hAnsi="宋体" w:cs="宋体"/>
                <w:color w:val="auto"/>
                <w:sz w:val="24"/>
                <w:szCs w:val="24"/>
                <w:highlight w:val="none"/>
              </w:rPr>
              <w:t>2</w:t>
            </w:r>
            <w:r>
              <w:rPr>
                <w:rFonts w:hint="eastAsia" w:ascii="宋体" w:hAnsi="宋体" w:cs="宋体"/>
                <w:color w:val="auto"/>
                <w:sz w:val="24"/>
                <w:szCs w:val="24"/>
                <w:highlight w:val="none"/>
              </w:rPr>
              <w:t>号楼</w:t>
            </w:r>
            <w:r>
              <w:rPr>
                <w:rFonts w:ascii="宋体" w:hAnsi="宋体" w:cs="宋体"/>
                <w:color w:val="auto"/>
                <w:sz w:val="24"/>
                <w:szCs w:val="24"/>
                <w:highlight w:val="none"/>
              </w:rPr>
              <w:t>1</w:t>
            </w:r>
            <w:r>
              <w:rPr>
                <w:rFonts w:hint="eastAsia" w:ascii="宋体" w:hAnsi="宋体" w:cs="宋体"/>
                <w:color w:val="auto"/>
                <w:sz w:val="24"/>
                <w:szCs w:val="24"/>
                <w:highlight w:val="none"/>
              </w:rPr>
              <w:t>楼</w:t>
            </w:r>
            <w:r>
              <w:rPr>
                <w:rFonts w:ascii="宋体" w:hAnsi="宋体" w:cs="宋体"/>
                <w:color w:val="auto"/>
                <w:sz w:val="24"/>
                <w:szCs w:val="24"/>
                <w:highlight w:val="none"/>
              </w:rPr>
              <w:t>10</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10</w:t>
            </w:r>
          </w:p>
        </w:tc>
        <w:tc>
          <w:tcPr>
            <w:tcW w:w="8329" w:type="dxa"/>
            <w:vAlign w:val="center"/>
          </w:tcPr>
          <w:p>
            <w:pPr>
              <w:widowControl/>
              <w:topLinePunct/>
              <w:spacing w:line="440" w:lineRule="exact"/>
              <w:rPr>
                <w:rFonts w:ascii="宋体" w:hAnsi="宋体" w:cs="宋体"/>
                <w:color w:val="auto"/>
                <w:sz w:val="24"/>
                <w:highlight w:val="none"/>
              </w:rPr>
            </w:pPr>
            <w:r>
              <w:rPr>
                <w:rFonts w:hint="eastAsia" w:ascii="宋体" w:hAnsi="宋体" w:cs="宋体"/>
                <w:color w:val="auto"/>
                <w:sz w:val="24"/>
                <w:highlight w:val="none"/>
              </w:rPr>
              <w:t>磋商开始时间：202</w:t>
            </w:r>
            <w:r>
              <w:rPr>
                <w:rFonts w:ascii="宋体" w:hAnsi="宋体" w:cs="宋体"/>
                <w:color w:val="auto"/>
                <w:sz w:val="24"/>
                <w:highlight w:val="none"/>
              </w:rPr>
              <w:t>2</w:t>
            </w:r>
            <w:r>
              <w:rPr>
                <w:rFonts w:hint="eastAsia" w:ascii="宋体" w:hAnsi="宋体" w:cs="宋体"/>
                <w:color w:val="auto"/>
                <w:sz w:val="24"/>
                <w:highlight w:val="none"/>
              </w:rPr>
              <w:t>年</w:t>
            </w:r>
            <w:r>
              <w:rPr>
                <w:rFonts w:hint="default" w:ascii="宋体" w:hAnsi="宋体" w:cs="宋体"/>
                <w:color w:val="auto"/>
                <w:sz w:val="24"/>
                <w:highlight w:val="none"/>
                <w:lang w:val="en-US"/>
              </w:rPr>
              <w:t>6</w:t>
            </w:r>
            <w:r>
              <w:rPr>
                <w:rFonts w:hint="eastAsia" w:ascii="宋体" w:hAnsi="宋体" w:cs="宋体"/>
                <w:color w:val="auto"/>
                <w:sz w:val="24"/>
                <w:highlight w:val="none"/>
              </w:rPr>
              <w:t>月</w:t>
            </w:r>
            <w:r>
              <w:rPr>
                <w:rFonts w:hint="default" w:ascii="宋体" w:hAnsi="宋体" w:cs="宋体"/>
                <w:color w:val="auto"/>
                <w:sz w:val="24"/>
                <w:highlight w:val="none"/>
                <w:lang w:val="en-US"/>
              </w:rPr>
              <w:t>17</w:t>
            </w:r>
            <w:r>
              <w:rPr>
                <w:rFonts w:hint="eastAsia" w:ascii="宋体" w:hAnsi="宋体" w:cs="宋体"/>
                <w:color w:val="auto"/>
                <w:sz w:val="24"/>
                <w:highlight w:val="none"/>
              </w:rPr>
              <w:t>日9：30</w:t>
            </w:r>
          </w:p>
          <w:p>
            <w:pPr>
              <w:widowControl/>
              <w:topLinePunct/>
              <w:spacing w:line="360" w:lineRule="auto"/>
              <w:rPr>
                <w:rFonts w:ascii="宋体" w:hAnsi="宋体" w:cs="宋体"/>
                <w:color w:val="auto"/>
                <w:sz w:val="24"/>
                <w:highlight w:val="none"/>
              </w:rPr>
            </w:pPr>
            <w:r>
              <w:rPr>
                <w:rFonts w:hint="eastAsia" w:ascii="宋体" w:hAnsi="宋体" w:cs="宋体"/>
                <w:color w:val="auto"/>
                <w:sz w:val="24"/>
                <w:highlight w:val="none"/>
              </w:rPr>
              <w:t>磋商地点：</w:t>
            </w:r>
            <w:r>
              <w:rPr>
                <w:rFonts w:hint="eastAsia" w:ascii="宋体" w:hAnsi="宋体" w:cs="宋体"/>
                <w:color w:val="auto"/>
                <w:sz w:val="24"/>
                <w:szCs w:val="24"/>
                <w:highlight w:val="none"/>
              </w:rPr>
              <w:t>普信国际工程咨询有限公司</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无锡市</w:t>
            </w:r>
            <w:r>
              <w:rPr>
                <w:rFonts w:hint="eastAsia" w:ascii="宋体" w:hAnsi="宋体" w:cs="宋体"/>
                <w:color w:val="auto"/>
                <w:sz w:val="24"/>
                <w:szCs w:val="24"/>
                <w:highlight w:val="none"/>
                <w:lang w:val="en-US" w:eastAsia="zh-CN"/>
              </w:rPr>
              <w:t>滨湖区</w:t>
            </w:r>
            <w:r>
              <w:rPr>
                <w:rFonts w:hint="eastAsia" w:ascii="宋体" w:hAnsi="宋体" w:cs="宋体"/>
                <w:color w:val="auto"/>
                <w:sz w:val="24"/>
                <w:szCs w:val="24"/>
                <w:highlight w:val="none"/>
              </w:rPr>
              <w:t>蠡湖大道</w:t>
            </w:r>
            <w:r>
              <w:rPr>
                <w:rFonts w:ascii="宋体" w:hAnsi="宋体" w:cs="宋体"/>
                <w:color w:val="auto"/>
                <w:sz w:val="24"/>
                <w:szCs w:val="24"/>
                <w:highlight w:val="none"/>
              </w:rPr>
              <w:t>2018</w:t>
            </w:r>
            <w:r>
              <w:rPr>
                <w:rFonts w:hint="eastAsia" w:ascii="宋体" w:hAnsi="宋体" w:cs="宋体"/>
                <w:color w:val="auto"/>
                <w:sz w:val="24"/>
                <w:szCs w:val="24"/>
                <w:highlight w:val="none"/>
              </w:rPr>
              <w:t>号</w:t>
            </w:r>
            <w:bookmarkStart w:id="622" w:name="_GoBack"/>
            <w:bookmarkEnd w:id="622"/>
            <w:r>
              <w:rPr>
                <w:rFonts w:ascii="宋体" w:hAnsi="宋体" w:cs="宋体"/>
                <w:color w:val="auto"/>
                <w:sz w:val="24"/>
                <w:szCs w:val="24"/>
                <w:highlight w:val="none"/>
              </w:rPr>
              <w:t>2</w:t>
            </w:r>
            <w:r>
              <w:rPr>
                <w:rFonts w:hint="eastAsia" w:ascii="宋体" w:hAnsi="宋体" w:cs="宋体"/>
                <w:color w:val="auto"/>
                <w:sz w:val="24"/>
                <w:szCs w:val="24"/>
                <w:highlight w:val="none"/>
              </w:rPr>
              <w:t>号楼</w:t>
            </w:r>
            <w:r>
              <w:rPr>
                <w:rFonts w:ascii="宋体" w:hAnsi="宋体" w:cs="宋体"/>
                <w:color w:val="auto"/>
                <w:sz w:val="24"/>
                <w:szCs w:val="24"/>
                <w:highlight w:val="none"/>
              </w:rPr>
              <w:t>1</w:t>
            </w:r>
            <w:r>
              <w:rPr>
                <w:rFonts w:hint="eastAsia" w:ascii="宋体" w:hAnsi="宋体" w:cs="宋体"/>
                <w:color w:val="auto"/>
                <w:sz w:val="24"/>
                <w:szCs w:val="24"/>
                <w:highlight w:val="none"/>
              </w:rPr>
              <w:t>楼</w:t>
            </w:r>
            <w:r>
              <w:rPr>
                <w:rFonts w:ascii="宋体" w:hAnsi="宋体" w:cs="宋体"/>
                <w:color w:val="auto"/>
                <w:sz w:val="24"/>
                <w:szCs w:val="24"/>
                <w:highlight w:val="none"/>
              </w:rPr>
              <w:t>10</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11</w:t>
            </w:r>
          </w:p>
        </w:tc>
        <w:tc>
          <w:tcPr>
            <w:tcW w:w="8329" w:type="dxa"/>
            <w:vAlign w:val="center"/>
          </w:tcPr>
          <w:p>
            <w:pPr>
              <w:widowControl/>
              <w:topLinePunct/>
              <w:spacing w:line="440" w:lineRule="exact"/>
              <w:rPr>
                <w:rFonts w:ascii="宋体" w:hAnsi="宋体" w:cs="宋体"/>
                <w:color w:val="auto"/>
                <w:sz w:val="24"/>
                <w:highlight w:val="none"/>
              </w:rPr>
            </w:pPr>
            <w:r>
              <w:rPr>
                <w:rFonts w:hint="eastAsia" w:ascii="宋体" w:hAnsi="宋体" w:cs="宋体"/>
                <w:color w:val="auto"/>
                <w:sz w:val="24"/>
                <w:highlight w:val="none"/>
              </w:rPr>
              <w:t>确定成交单位时间：202</w:t>
            </w:r>
            <w:r>
              <w:rPr>
                <w:rFonts w:ascii="宋体" w:hAnsi="宋体" w:cs="宋体"/>
                <w:color w:val="auto"/>
                <w:sz w:val="24"/>
                <w:highlight w:val="none"/>
              </w:rPr>
              <w:t>2</w:t>
            </w:r>
            <w:r>
              <w:rPr>
                <w:rFonts w:hint="eastAsia" w:ascii="宋体" w:hAnsi="宋体" w:cs="宋体"/>
                <w:color w:val="auto"/>
                <w:sz w:val="24"/>
                <w:highlight w:val="none"/>
              </w:rPr>
              <w:t>年</w:t>
            </w:r>
            <w:r>
              <w:rPr>
                <w:rFonts w:hint="default" w:ascii="宋体" w:hAnsi="宋体" w:cs="宋体"/>
                <w:color w:val="auto"/>
                <w:sz w:val="24"/>
                <w:highlight w:val="none"/>
                <w:lang w:val="en-US"/>
              </w:rPr>
              <w:t>6</w:t>
            </w:r>
            <w:r>
              <w:rPr>
                <w:rFonts w:hint="eastAsia" w:ascii="宋体" w:hAnsi="宋体" w:cs="宋体"/>
                <w:color w:val="auto"/>
                <w:sz w:val="24"/>
                <w:highlight w:val="none"/>
              </w:rPr>
              <w:t>月</w:t>
            </w:r>
            <w:r>
              <w:rPr>
                <w:rFonts w:hint="default" w:ascii="宋体" w:hAnsi="宋体" w:cs="宋体"/>
                <w:color w:val="auto"/>
                <w:sz w:val="24"/>
                <w:highlight w:val="none"/>
                <w:lang w:val="en-US"/>
              </w:rPr>
              <w:t>17</w:t>
            </w:r>
            <w:r>
              <w:rPr>
                <w:rFonts w:hint="eastAsia" w:ascii="宋体" w:hAnsi="宋体" w:cs="宋体"/>
                <w:color w:val="auto"/>
                <w:sz w:val="24"/>
                <w:highlight w:val="none"/>
              </w:rPr>
              <w:t>日评审结束</w:t>
            </w:r>
          </w:p>
          <w:p>
            <w:pPr>
              <w:widowControl/>
              <w:topLinePunct/>
              <w:spacing w:line="360" w:lineRule="auto"/>
              <w:rPr>
                <w:rFonts w:ascii="宋体" w:hAnsi="宋体" w:cs="宋体"/>
                <w:color w:val="auto"/>
                <w:sz w:val="24"/>
                <w:highlight w:val="none"/>
              </w:rPr>
            </w:pPr>
            <w:r>
              <w:rPr>
                <w:rFonts w:hint="eastAsia" w:ascii="宋体" w:hAnsi="宋体" w:cs="宋体"/>
                <w:color w:val="auto"/>
                <w:sz w:val="24"/>
                <w:highlight w:val="none"/>
              </w:rPr>
              <w:t>确定成交单位地点：</w:t>
            </w:r>
            <w:r>
              <w:rPr>
                <w:rFonts w:hint="eastAsia" w:ascii="宋体" w:hAnsi="宋体" w:cs="宋体"/>
                <w:color w:val="auto"/>
                <w:sz w:val="24"/>
                <w:szCs w:val="24"/>
                <w:highlight w:val="none"/>
              </w:rPr>
              <w:t>普信国际工程咨询有限公司</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无锡市</w:t>
            </w:r>
            <w:r>
              <w:rPr>
                <w:rFonts w:hint="eastAsia" w:ascii="宋体" w:hAnsi="宋体" w:cs="宋体"/>
                <w:color w:val="auto"/>
                <w:sz w:val="24"/>
                <w:szCs w:val="24"/>
                <w:highlight w:val="none"/>
                <w:lang w:val="en-US" w:eastAsia="zh-CN"/>
              </w:rPr>
              <w:t>滨湖区</w:t>
            </w:r>
            <w:r>
              <w:rPr>
                <w:rFonts w:hint="eastAsia" w:ascii="宋体" w:hAnsi="宋体" w:cs="宋体"/>
                <w:color w:val="auto"/>
                <w:sz w:val="24"/>
                <w:szCs w:val="24"/>
                <w:highlight w:val="none"/>
              </w:rPr>
              <w:t>蠡湖大道</w:t>
            </w:r>
            <w:r>
              <w:rPr>
                <w:rFonts w:ascii="宋体" w:hAnsi="宋体" w:cs="宋体"/>
                <w:color w:val="auto"/>
                <w:sz w:val="24"/>
                <w:szCs w:val="24"/>
                <w:highlight w:val="none"/>
              </w:rPr>
              <w:t>2018</w:t>
            </w:r>
            <w:r>
              <w:rPr>
                <w:rFonts w:hint="eastAsia" w:ascii="宋体" w:hAnsi="宋体" w:cs="宋体"/>
                <w:color w:val="auto"/>
                <w:sz w:val="24"/>
                <w:szCs w:val="24"/>
                <w:highlight w:val="none"/>
              </w:rPr>
              <w:t>号</w:t>
            </w:r>
            <w:r>
              <w:rPr>
                <w:rFonts w:ascii="宋体" w:hAnsi="宋体" w:cs="宋体"/>
                <w:color w:val="auto"/>
                <w:sz w:val="24"/>
                <w:szCs w:val="24"/>
                <w:highlight w:val="none"/>
              </w:rPr>
              <w:t>2</w:t>
            </w:r>
            <w:r>
              <w:rPr>
                <w:rFonts w:hint="eastAsia" w:ascii="宋体" w:hAnsi="宋体" w:cs="宋体"/>
                <w:color w:val="auto"/>
                <w:sz w:val="24"/>
                <w:szCs w:val="24"/>
                <w:highlight w:val="none"/>
              </w:rPr>
              <w:t>号楼</w:t>
            </w:r>
            <w:r>
              <w:rPr>
                <w:rFonts w:ascii="宋体" w:hAnsi="宋体" w:cs="宋体"/>
                <w:color w:val="auto"/>
                <w:sz w:val="24"/>
                <w:szCs w:val="24"/>
                <w:highlight w:val="none"/>
              </w:rPr>
              <w:t>1</w:t>
            </w:r>
            <w:r>
              <w:rPr>
                <w:rFonts w:hint="eastAsia" w:ascii="宋体" w:hAnsi="宋体" w:cs="宋体"/>
                <w:color w:val="auto"/>
                <w:sz w:val="24"/>
                <w:szCs w:val="24"/>
                <w:highlight w:val="none"/>
              </w:rPr>
              <w:t>楼</w:t>
            </w:r>
            <w:r>
              <w:rPr>
                <w:rFonts w:ascii="宋体" w:hAnsi="宋体" w:cs="宋体"/>
                <w:color w:val="auto"/>
                <w:sz w:val="24"/>
                <w:szCs w:val="24"/>
                <w:highlight w:val="none"/>
              </w:rPr>
              <w:t>10</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c>
          <w:tcPr>
            <w:tcW w:w="8329" w:type="dxa"/>
            <w:vAlign w:val="center"/>
          </w:tcPr>
          <w:p>
            <w:pPr>
              <w:widowControl/>
              <w:topLinePunct/>
              <w:spacing w:line="440" w:lineRule="exact"/>
              <w:rPr>
                <w:rFonts w:ascii="宋体" w:hAnsi="宋体" w:cs="宋体"/>
                <w:color w:val="auto"/>
                <w:sz w:val="24"/>
                <w:highlight w:val="none"/>
              </w:rPr>
            </w:pPr>
            <w:r>
              <w:rPr>
                <w:rFonts w:hint="eastAsia" w:ascii="宋体" w:hAnsi="宋体"/>
                <w:color w:val="auto"/>
                <w:sz w:val="24"/>
                <w:highlight w:val="none"/>
              </w:rPr>
              <w:t>响应文件份数：</w:t>
            </w:r>
            <w:r>
              <w:rPr>
                <w:rFonts w:hint="eastAsia" w:ascii="宋体" w:hAnsi="宋体" w:eastAsia="宋体" w:cs="宋体"/>
                <w:bCs/>
                <w:color w:val="auto"/>
                <w:sz w:val="24"/>
                <w:highlight w:val="none"/>
              </w:rPr>
              <w:t>正本一份，副本</w:t>
            </w:r>
            <w:r>
              <w:rPr>
                <w:rFonts w:hint="eastAsia" w:ascii="宋体" w:hAnsi="宋体" w:cs="宋体"/>
                <w:bCs/>
                <w:color w:val="auto"/>
                <w:sz w:val="24"/>
                <w:highlight w:val="none"/>
                <w:lang w:val="en-US" w:eastAsia="zh-CN"/>
              </w:rPr>
              <w:t>二</w:t>
            </w:r>
            <w:r>
              <w:rPr>
                <w:rFonts w:hint="eastAsia" w:ascii="宋体" w:hAnsi="宋体" w:eastAsia="宋体" w:cs="宋体"/>
                <w:bCs/>
                <w:color w:val="auto"/>
                <w:sz w:val="24"/>
                <w:highlight w:val="none"/>
              </w:rPr>
              <w:t>份，响应文件电子光盘一份（光盘上清楚的标明报价供应商名称、工程名称、光盘内容名称）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r>
              <w:rPr>
                <w:rFonts w:ascii="宋体" w:hAnsi="宋体" w:cs="宋体"/>
                <w:color w:val="auto"/>
                <w:kern w:val="0"/>
                <w:sz w:val="24"/>
                <w:highlight w:val="none"/>
              </w:rPr>
              <w:t>3</w:t>
            </w:r>
          </w:p>
        </w:tc>
        <w:tc>
          <w:tcPr>
            <w:tcW w:w="8329" w:type="dxa"/>
            <w:vAlign w:val="center"/>
          </w:tcPr>
          <w:p>
            <w:pPr>
              <w:widowControl/>
              <w:topLinePunct/>
              <w:spacing w:line="360" w:lineRule="auto"/>
              <w:rPr>
                <w:rFonts w:ascii="宋体" w:hAnsi="宋体" w:cs="宋体"/>
                <w:color w:val="auto"/>
                <w:sz w:val="24"/>
                <w:highlight w:val="none"/>
              </w:rPr>
            </w:pPr>
            <w:r>
              <w:rPr>
                <w:rFonts w:hint="eastAsia" w:ascii="宋体" w:hAnsi="宋体" w:cs="宋体"/>
                <w:b/>
                <w:bCs/>
                <w:color w:val="auto"/>
                <w:sz w:val="24"/>
                <w:highlight w:val="none"/>
              </w:rPr>
              <w:t>本项目最高限价为</w:t>
            </w:r>
            <w:r>
              <w:rPr>
                <w:rFonts w:hint="default" w:ascii="宋体" w:hAnsi="宋体" w:cs="宋体"/>
                <w:b/>
                <w:bCs/>
                <w:color w:val="auto"/>
                <w:sz w:val="24"/>
                <w:highlight w:val="none"/>
                <w:lang w:val="en-US"/>
              </w:rPr>
              <w:t>225.</w:t>
            </w:r>
            <w:r>
              <w:rPr>
                <w:rFonts w:hint="eastAsia" w:ascii="宋体" w:hAnsi="宋体" w:cs="宋体"/>
                <w:b/>
                <w:bCs/>
                <w:color w:val="auto"/>
                <w:sz w:val="24"/>
                <w:highlight w:val="none"/>
                <w:lang w:val="en-US" w:eastAsia="zh-CN"/>
              </w:rPr>
              <w:t>617473</w:t>
            </w:r>
            <w:r>
              <w:rPr>
                <w:rFonts w:hint="eastAsia" w:ascii="宋体" w:hAnsi="宋体" w:cs="宋体"/>
                <w:b/>
                <w:bCs/>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r>
              <w:rPr>
                <w:rFonts w:ascii="宋体" w:hAnsi="宋体" w:cs="宋体"/>
                <w:color w:val="auto"/>
                <w:kern w:val="0"/>
                <w:sz w:val="24"/>
                <w:highlight w:val="none"/>
              </w:rPr>
              <w:t>4</w:t>
            </w:r>
          </w:p>
        </w:tc>
        <w:tc>
          <w:tcPr>
            <w:tcW w:w="8329" w:type="dxa"/>
            <w:vAlign w:val="center"/>
          </w:tcPr>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采购人：</w:t>
            </w:r>
            <w:r>
              <w:rPr>
                <w:rFonts w:hint="eastAsia" w:ascii="宋体" w:hAnsi="宋体" w:cs="宋体"/>
                <w:color w:val="auto"/>
                <w:sz w:val="24"/>
                <w:highlight w:val="none"/>
                <w:lang w:eastAsia="zh-CN"/>
              </w:rPr>
              <w:t>无锡市</w:t>
            </w:r>
            <w:r>
              <w:rPr>
                <w:rFonts w:hint="eastAsia" w:ascii="宋体" w:hAnsi="宋体" w:cs="宋体"/>
                <w:color w:val="auto"/>
                <w:sz w:val="24"/>
                <w:highlight w:val="none"/>
                <w:lang w:val="en-US" w:eastAsia="zh-CN"/>
              </w:rPr>
              <w:t>靖海小学</w:t>
            </w:r>
          </w:p>
          <w:p>
            <w:pPr>
              <w:widowControl/>
              <w:topLinePunct/>
              <w:spacing w:line="360" w:lineRule="auto"/>
              <w:rPr>
                <w:rFonts w:hint="eastAsia" w:ascii="宋体" w:hAnsi="宋体" w:cs="宋体"/>
                <w:color w:val="auto"/>
                <w:sz w:val="24"/>
                <w:szCs w:val="22"/>
                <w:highlight w:val="none"/>
                <w:lang w:val="en-US" w:eastAsia="zh-CN"/>
              </w:rPr>
            </w:pPr>
            <w:r>
              <w:rPr>
                <w:rFonts w:hint="eastAsia" w:ascii="宋体" w:hAnsi="宋体" w:cs="宋体"/>
                <w:color w:val="auto"/>
                <w:sz w:val="24"/>
                <w:szCs w:val="22"/>
                <w:highlight w:val="none"/>
                <w:lang w:val="en-US" w:eastAsia="zh-CN"/>
              </w:rPr>
              <w:t xml:space="preserve">采购人预算代码：802017  </w:t>
            </w:r>
          </w:p>
          <w:p>
            <w:pPr>
              <w:spacing w:line="360" w:lineRule="auto"/>
              <w:rPr>
                <w:rFonts w:hint="eastAsia" w:ascii="宋体" w:hAnsi="宋体" w:cs="宋体"/>
                <w:color w:val="auto"/>
                <w:sz w:val="24"/>
                <w:highlight w:val="none"/>
              </w:rPr>
            </w:pPr>
            <w:r>
              <w:rPr>
                <w:rFonts w:hint="eastAsia" w:ascii="宋体" w:hAnsi="宋体" w:cs="宋体"/>
                <w:color w:val="auto"/>
                <w:sz w:val="24"/>
                <w:szCs w:val="22"/>
                <w:highlight w:val="none"/>
              </w:rPr>
              <w:t>统一社会信用代码：123202004662901504</w:t>
            </w:r>
            <w:r>
              <w:rPr>
                <w:rFonts w:hint="eastAsia" w:ascii="宋体" w:hAnsi="宋体" w:cs="宋体"/>
                <w:color w:val="auto"/>
                <w:sz w:val="24"/>
                <w:szCs w:val="22"/>
                <w:highlight w:val="none"/>
                <w:lang w:val="en-US" w:eastAsia="zh-CN"/>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采购人地址：</w:t>
            </w:r>
            <w:r>
              <w:rPr>
                <w:rFonts w:hint="eastAsia" w:ascii="宋体" w:hAnsi="宋体" w:cs="宋体"/>
                <w:color w:val="auto"/>
                <w:sz w:val="24"/>
                <w:highlight w:val="none"/>
                <w:lang w:eastAsia="zh-CN"/>
              </w:rPr>
              <w:t>无锡市</w:t>
            </w:r>
            <w:r>
              <w:rPr>
                <w:rFonts w:hint="eastAsia" w:ascii="宋体" w:hAnsi="宋体" w:cs="宋体"/>
                <w:color w:val="auto"/>
                <w:sz w:val="24"/>
                <w:highlight w:val="none"/>
                <w:lang w:val="en-US" w:eastAsia="zh-CN"/>
              </w:rPr>
              <w:t>靖海新村82号</w:t>
            </w:r>
          </w:p>
          <w:p>
            <w:pPr>
              <w:widowControl/>
              <w:topLinePunct/>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汪妍</w:t>
            </w:r>
          </w:p>
          <w:p>
            <w:pPr>
              <w:widowControl/>
              <w:topLinePunct/>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0510-83159003</w:t>
            </w:r>
          </w:p>
          <w:p>
            <w:pPr>
              <w:widowControl/>
              <w:topLinePunct/>
              <w:spacing w:line="360" w:lineRule="auto"/>
              <w:rPr>
                <w:rFonts w:ascii="宋体" w:hAnsi="宋体"/>
                <w:color w:val="auto"/>
                <w:sz w:val="24"/>
                <w:highlight w:val="none"/>
              </w:rPr>
            </w:pPr>
            <w:r>
              <w:rPr>
                <w:rFonts w:hint="eastAsia" w:ascii="宋体" w:hAnsi="宋体" w:cs="宋体"/>
                <w:color w:val="auto"/>
                <w:sz w:val="24"/>
                <w:highlight w:val="none"/>
              </w:rPr>
              <w:t>采购代理机构：</w:t>
            </w:r>
            <w:r>
              <w:rPr>
                <w:rFonts w:hint="eastAsia" w:ascii="宋体" w:hAnsi="宋体"/>
                <w:color w:val="auto"/>
                <w:sz w:val="24"/>
                <w:highlight w:val="none"/>
                <w:lang w:val="en-US" w:eastAsia="zh-CN"/>
              </w:rPr>
              <w:t>普信国际工程咨询有限</w:t>
            </w:r>
            <w:r>
              <w:rPr>
                <w:rFonts w:hint="eastAsia" w:ascii="宋体" w:hAnsi="宋体"/>
                <w:color w:val="auto"/>
                <w:sz w:val="24"/>
                <w:highlight w:val="none"/>
              </w:rPr>
              <w:t>公司</w:t>
            </w:r>
          </w:p>
          <w:p>
            <w:pPr>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eastAsia="宋体" w:cs="宋体"/>
                <w:color w:val="auto"/>
                <w:sz w:val="24"/>
                <w:highlight w:val="none"/>
                <w:lang w:val="en-US" w:eastAsia="zh-CN"/>
              </w:rPr>
              <w:t xml:space="preserve">：顾昱昂、吕红菲  </w:t>
            </w:r>
          </w:p>
          <w:p>
            <w:pPr>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0510-82830057</w:t>
            </w:r>
            <w:r>
              <w:rPr>
                <w:rFonts w:hint="eastAsia" w:ascii="宋体" w:hAnsi="宋体"/>
                <w:color w:val="auto"/>
                <w:sz w:val="24"/>
                <w:szCs w:val="22"/>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联系地址：</w:t>
            </w:r>
            <w:r>
              <w:rPr>
                <w:rFonts w:hint="eastAsia" w:ascii="宋体" w:hAnsi="宋体" w:cs="Times New Roman"/>
                <w:color w:val="auto"/>
                <w:sz w:val="24"/>
                <w:szCs w:val="21"/>
                <w:highlight w:val="none"/>
              </w:rPr>
              <w:t>无锡市</w:t>
            </w:r>
            <w:r>
              <w:rPr>
                <w:rFonts w:hint="eastAsia" w:ascii="宋体" w:hAnsi="宋体" w:cs="Times New Roman"/>
                <w:color w:val="auto"/>
                <w:sz w:val="24"/>
                <w:szCs w:val="21"/>
                <w:highlight w:val="none"/>
                <w:lang w:val="en-US" w:eastAsia="zh-CN"/>
              </w:rPr>
              <w:t>滨湖区</w:t>
            </w:r>
            <w:r>
              <w:rPr>
                <w:rFonts w:hint="eastAsia" w:ascii="宋体" w:hAnsi="宋体" w:cs="Times New Roman"/>
                <w:color w:val="auto"/>
                <w:sz w:val="24"/>
                <w:szCs w:val="21"/>
                <w:highlight w:val="none"/>
              </w:rPr>
              <w:t>蠡湖大道2018号</w:t>
            </w:r>
            <w:r>
              <w:rPr>
                <w:rFonts w:hint="eastAsia" w:ascii="宋体" w:hAnsi="宋体" w:cs="宋体"/>
                <w:color w:val="auto"/>
                <w:sz w:val="24"/>
                <w:highlight w:val="none"/>
              </w:rPr>
              <w:t xml:space="preserve">  </w:t>
            </w:r>
          </w:p>
          <w:p>
            <w:pPr>
              <w:spacing w:line="360" w:lineRule="auto"/>
              <w:rPr>
                <w:rFonts w:ascii="宋体" w:hAnsi="宋体" w:cs="宋体"/>
                <w:b/>
                <w:color w:val="auto"/>
                <w:sz w:val="24"/>
                <w:highlight w:val="none"/>
              </w:rPr>
            </w:pPr>
            <w:r>
              <w:rPr>
                <w:rFonts w:hint="eastAsia" w:ascii="宋体" w:hAnsi="宋体" w:cs="宋体"/>
                <w:color w:val="auto"/>
                <w:sz w:val="24"/>
                <w:highlight w:val="none"/>
              </w:rPr>
              <w:t>电子邮件地址：</w:t>
            </w:r>
            <w:r>
              <w:rPr>
                <w:rFonts w:hint="eastAsia" w:ascii="宋体" w:hAnsi="宋体" w:cs="宋体"/>
                <w:color w:val="auto"/>
                <w:sz w:val="24"/>
                <w:highlight w:val="none"/>
                <w:lang w:val="en-US" w:eastAsia="zh-CN"/>
              </w:rPr>
              <w:t>gc97662@126.com</w:t>
            </w:r>
            <w:r>
              <w:rPr>
                <w:rFonts w:hint="eastAsia" w:ascii="宋体" w:hAnsi="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59"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r>
              <w:rPr>
                <w:rFonts w:ascii="宋体" w:hAnsi="宋体" w:cs="宋体"/>
                <w:color w:val="auto"/>
                <w:kern w:val="0"/>
                <w:sz w:val="24"/>
                <w:highlight w:val="none"/>
              </w:rPr>
              <w:t>5</w:t>
            </w:r>
          </w:p>
        </w:tc>
        <w:tc>
          <w:tcPr>
            <w:tcW w:w="8329" w:type="dxa"/>
            <w:vAlign w:val="center"/>
          </w:tcPr>
          <w:p>
            <w:pPr>
              <w:widowControl/>
              <w:topLinePunct/>
              <w:spacing w:line="360" w:lineRule="auto"/>
              <w:rPr>
                <w:rFonts w:ascii="宋体" w:hAnsi="宋体" w:cs="宋体"/>
                <w:color w:val="auto"/>
                <w:sz w:val="24"/>
                <w:highlight w:val="none"/>
              </w:rPr>
            </w:pPr>
            <w:r>
              <w:rPr>
                <w:rFonts w:hint="eastAsia" w:ascii="宋体" w:hAnsi="宋体" w:cs="宋体"/>
                <w:color w:val="auto"/>
                <w:sz w:val="24"/>
                <w:highlight w:val="none"/>
              </w:rPr>
              <w:t>（1）根据疫情防控要求，为减少人群聚集，按照无锡市财政局《关于疫情防控期间开展政府采购活动有关事项的公告》（锡财购告【2020】2号）（http://cz.wuxi.gov.cn/doc/2020/02/25/2837679.shtml）、《关于近期政府采购领域疫情防控有关要求的通知》（锡财购函【2021】3号）等规定，投标（报价）供应商进入开标现场人数只允许1人，开标当日投标（报价）供应商代表必须携带本人身份证、戴口罩并出示 “苏康码”、“行程码”， 接受本项目采购代理机构 “测温+扫码”并登记，“苏康码”、“行程码”验证结果为黄色或红色、体温≥37.3℃的，严禁进场。“苏康码”、“行程码”为绿码，但行程中有涉及中高风险地区的（中高风险地区根据“国务院客户端”APP对全国疫情中高风险地区目录调整的情况更新查询）的，应持48小时内核酸检测阴性证明进场。进场后请保持安全距离，分散等候，不得扎堆聚集，不配合工作人员管理的，工作人员有权拒绝其入场。（“苏康码”可通过江苏政务服务APP或在支付宝首页搜索“江苏政务服务（官方）”申报获取。行程码可通过微信小程序“通信行程卡”获取。）</w:t>
            </w:r>
          </w:p>
          <w:p>
            <w:pPr>
              <w:widowControl/>
              <w:topLinePunct/>
              <w:spacing w:line="360" w:lineRule="auto"/>
              <w:jc w:val="left"/>
              <w:rPr>
                <w:rFonts w:ascii="宋体" w:hAnsi="宋体" w:cs="宋体"/>
                <w:color w:val="auto"/>
                <w:sz w:val="24"/>
                <w:highlight w:val="none"/>
              </w:rPr>
            </w:pPr>
            <w:r>
              <w:rPr>
                <w:rFonts w:hint="eastAsia" w:ascii="宋体" w:hAnsi="宋体" w:cs="宋体"/>
                <w:color w:val="auto"/>
                <w:sz w:val="24"/>
                <w:highlight w:val="none"/>
              </w:rPr>
              <w:t>（2）请各报价供应商位按照上述要求提前做好准备，未按上述要求而影响投标（报价）的，责任由投标（报价）供应商自行承担。新冠肺炎疫情防控政策如有变化的，以最新通知为准。</w:t>
            </w:r>
          </w:p>
        </w:tc>
      </w:tr>
    </w:tbl>
    <w:p>
      <w:pPr>
        <w:widowControl/>
        <w:topLinePunct/>
        <w:spacing w:line="360" w:lineRule="auto"/>
        <w:jc w:val="center"/>
        <w:outlineLvl w:val="0"/>
        <w:rPr>
          <w:rFonts w:ascii="黑体" w:hAnsi="黑体" w:eastAsia="黑体"/>
          <w:b/>
          <w:color w:val="auto"/>
          <w:sz w:val="44"/>
          <w:szCs w:val="44"/>
          <w:highlight w:val="none"/>
        </w:rPr>
      </w:pPr>
      <w:r>
        <w:rPr>
          <w:rFonts w:hint="eastAsia" w:ascii="宋体" w:hAnsi="宋体" w:cs="宋体"/>
          <w:b/>
          <w:color w:val="auto"/>
          <w:sz w:val="24"/>
          <w:highlight w:val="none"/>
        </w:rPr>
        <w:br w:type="page"/>
      </w:r>
      <w:r>
        <w:rPr>
          <w:rFonts w:hint="eastAsia" w:ascii="宋体" w:hAnsi="宋体" w:cs="宋体"/>
          <w:b/>
          <w:color w:val="auto"/>
          <w:sz w:val="44"/>
          <w:szCs w:val="44"/>
          <w:highlight w:val="none"/>
        </w:rPr>
        <w:t>第二部分.供应商须知</w:t>
      </w:r>
    </w:p>
    <w:p>
      <w:pPr>
        <w:numPr>
          <w:ilvl w:val="0"/>
          <w:numId w:val="2"/>
        </w:numPr>
        <w:tabs>
          <w:tab w:val="left" w:pos="735"/>
          <w:tab w:val="left" w:pos="85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遵循原则：</w:t>
      </w:r>
    </w:p>
    <w:p>
      <w:pPr>
        <w:spacing w:line="360" w:lineRule="auto"/>
        <w:ind w:firstLine="480" w:firstLineChars="200"/>
        <w:rPr>
          <w:rFonts w:ascii="黑体" w:hAnsi="宋体" w:eastAsia="黑体"/>
          <w:bCs/>
          <w:color w:val="auto"/>
          <w:sz w:val="24"/>
          <w:highlight w:val="none"/>
        </w:rPr>
      </w:pPr>
      <w:r>
        <w:rPr>
          <w:rFonts w:hint="eastAsia" w:ascii="宋体" w:hAnsi="宋体"/>
          <w:bCs/>
          <w:color w:val="auto"/>
          <w:sz w:val="24"/>
          <w:highlight w:val="none"/>
        </w:rPr>
        <w:t>公开透明原则、公平竞争原则、公正原则和诚实信用原则。</w:t>
      </w:r>
    </w:p>
    <w:p>
      <w:pPr>
        <w:numPr>
          <w:ilvl w:val="0"/>
          <w:numId w:val="2"/>
        </w:numPr>
        <w:tabs>
          <w:tab w:val="left" w:pos="735"/>
          <w:tab w:val="left" w:pos="85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磋商文件：</w:t>
      </w:r>
    </w:p>
    <w:p>
      <w:pPr>
        <w:numPr>
          <w:ilvl w:val="0"/>
          <w:numId w:val="3"/>
        </w:numPr>
        <w:tabs>
          <w:tab w:val="left" w:pos="-1260"/>
          <w:tab w:val="left" w:pos="525"/>
          <w:tab w:val="left" w:pos="945"/>
          <w:tab w:val="left" w:pos="1050"/>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磋商文件包括本文件目录所列全部内容，供应商应仔细阅读，并在响应文件中充分响应磋商文件的所有要求。</w:t>
      </w:r>
    </w:p>
    <w:p>
      <w:pPr>
        <w:numPr>
          <w:ilvl w:val="0"/>
          <w:numId w:val="3"/>
        </w:numPr>
        <w:tabs>
          <w:tab w:val="left" w:pos="0"/>
          <w:tab w:val="left" w:pos="525"/>
          <w:tab w:val="left" w:pos="945"/>
          <w:tab w:val="left" w:pos="1050"/>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磋商文件中的“营业执照” 是指供应商的营业执照或相关部门的登记证明文件,“法定代表人”是指供应商的营业执照或相关部门的登记证明文件中的“法定代表人”或“负责人”。</w:t>
      </w:r>
    </w:p>
    <w:p>
      <w:pPr>
        <w:numPr>
          <w:ilvl w:val="0"/>
          <w:numId w:val="3"/>
        </w:numPr>
        <w:tabs>
          <w:tab w:val="left" w:pos="0"/>
          <w:tab w:val="left" w:pos="525"/>
          <w:tab w:val="left" w:pos="945"/>
          <w:tab w:val="left" w:pos="1050"/>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供应商应获取磋商文件及有关资料，按磋商文件要求提交全部资料并对磋商文件各项内容做出实质性响应，否则报价无效。</w:t>
      </w:r>
    </w:p>
    <w:p>
      <w:pPr>
        <w:numPr>
          <w:ilvl w:val="0"/>
          <w:numId w:val="3"/>
        </w:numPr>
        <w:tabs>
          <w:tab w:val="left" w:pos="0"/>
          <w:tab w:val="left" w:pos="525"/>
          <w:tab w:val="left" w:pos="945"/>
          <w:tab w:val="left" w:pos="1050"/>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磋商文件仅作为本次采购使用。</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磋商文件的解释：</w:t>
      </w:r>
    </w:p>
    <w:p>
      <w:pPr>
        <w:spacing w:line="360" w:lineRule="auto"/>
        <w:ind w:left="-2" w:firstLine="523" w:firstLineChars="218"/>
        <w:rPr>
          <w:rFonts w:ascii="宋体" w:hAnsi="宋体"/>
          <w:bCs/>
          <w:color w:val="auto"/>
          <w:sz w:val="24"/>
          <w:highlight w:val="none"/>
        </w:rPr>
      </w:pPr>
      <w:r>
        <w:rPr>
          <w:rFonts w:hint="eastAsia" w:ascii="宋体" w:hAnsi="宋体"/>
          <w:bCs/>
          <w:color w:val="auto"/>
          <w:sz w:val="24"/>
          <w:highlight w:val="none"/>
        </w:rPr>
        <w:t>1．供应商如有需要对磋商文件要求澄清的问题，请以书面方式提出，并按“磋商邀请”第6项规定的时间发送至指定地点，联系方式详见“磋商邀请”第14项。</w:t>
      </w:r>
    </w:p>
    <w:p>
      <w:pPr>
        <w:spacing w:line="360" w:lineRule="auto"/>
        <w:ind w:left="-2" w:firstLine="523" w:firstLineChars="218"/>
        <w:rPr>
          <w:rFonts w:ascii="宋体" w:hAnsi="宋体"/>
          <w:bCs/>
          <w:color w:val="auto"/>
          <w:sz w:val="24"/>
          <w:highlight w:val="none"/>
        </w:rPr>
      </w:pPr>
      <w:r>
        <w:rPr>
          <w:rFonts w:hint="eastAsia" w:ascii="宋体" w:hAnsi="宋体"/>
          <w:bCs/>
          <w:color w:val="auto"/>
          <w:sz w:val="24"/>
          <w:highlight w:val="none"/>
        </w:rPr>
        <w:t>2．采购人、采购代理机构将按“磋商邀请”第6项规定的时间对供应商针对磋商文件书面提出的要求澄清的问题进行答疑。</w:t>
      </w:r>
    </w:p>
    <w:p>
      <w:pPr>
        <w:spacing w:line="360" w:lineRule="auto"/>
        <w:ind w:left="-2" w:firstLine="523" w:firstLineChars="218"/>
        <w:rPr>
          <w:rFonts w:ascii="宋体" w:hAnsi="宋体"/>
          <w:bCs/>
          <w:color w:val="auto"/>
          <w:sz w:val="24"/>
          <w:highlight w:val="none"/>
        </w:rPr>
      </w:pPr>
      <w:r>
        <w:rPr>
          <w:rFonts w:hint="eastAsia" w:ascii="宋体" w:hAnsi="宋体"/>
          <w:bCs/>
          <w:color w:val="auto"/>
          <w:sz w:val="24"/>
          <w:highlight w:val="none"/>
        </w:rPr>
        <w:t>3．本文件的最终解释权归采购人。</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 xml:space="preserve">磋商文件的补充或修正： </w:t>
      </w:r>
    </w:p>
    <w:p>
      <w:pPr>
        <w:spacing w:line="360" w:lineRule="auto"/>
        <w:ind w:firstLine="525" w:firstLineChars="219"/>
        <w:rPr>
          <w:rFonts w:ascii="宋体" w:hAnsi="宋体"/>
          <w:bCs/>
          <w:color w:val="auto"/>
          <w:sz w:val="24"/>
          <w:highlight w:val="none"/>
        </w:rPr>
      </w:pPr>
      <w:r>
        <w:rPr>
          <w:rFonts w:hint="eastAsia" w:ascii="宋体" w:hAnsi="宋体"/>
          <w:bCs/>
          <w:color w:val="auto"/>
          <w:sz w:val="24"/>
          <w:highlight w:val="none"/>
        </w:rPr>
        <w:t>1．采购人或者采购代理机构可以对已发出的磋商文件进行必要的澄清或者修改，澄清或者修改将在江苏政府采购、无锡政府采购网上发布澄清公告。澄清或者修改的内容为磋商文件组成部分，与磋商文件具有同等约束力。</w:t>
      </w:r>
    </w:p>
    <w:p>
      <w:pPr>
        <w:spacing w:line="360" w:lineRule="auto"/>
        <w:ind w:firstLine="525" w:firstLineChars="219"/>
        <w:rPr>
          <w:rFonts w:ascii="宋体" w:hAnsi="宋体"/>
          <w:bCs/>
          <w:color w:val="auto"/>
          <w:sz w:val="24"/>
          <w:highlight w:val="none"/>
        </w:rPr>
      </w:pPr>
      <w:r>
        <w:rPr>
          <w:rFonts w:hint="eastAsia" w:ascii="宋体" w:hAnsi="宋体"/>
          <w:bCs/>
          <w:color w:val="auto"/>
          <w:sz w:val="24"/>
          <w:highlight w:val="none"/>
        </w:rPr>
        <w:t>2．澄清或者修改的内容可能影响响应文件编制的，采购人或者采购代理机构将在</w:t>
      </w:r>
      <w:r>
        <w:rPr>
          <w:rFonts w:hint="eastAsia" w:ascii="宋体" w:hAnsi="宋体" w:cs="宋体"/>
          <w:color w:val="auto"/>
          <w:sz w:val="24"/>
          <w:highlight w:val="none"/>
        </w:rPr>
        <w:t>磋商</w:t>
      </w:r>
      <w:r>
        <w:rPr>
          <w:rFonts w:hint="eastAsia" w:ascii="宋体" w:hAnsi="宋体"/>
          <w:bCs/>
          <w:color w:val="auto"/>
          <w:sz w:val="24"/>
          <w:highlight w:val="none"/>
        </w:rPr>
        <w:t>截止时间至少5日前，发布澄清公告；不足5日的，采购人或者采购代理机构将顺延提交响应文件的截止时间。</w:t>
      </w:r>
    </w:p>
    <w:p>
      <w:pPr>
        <w:spacing w:line="360" w:lineRule="auto"/>
        <w:ind w:firstLine="480" w:firstLineChars="200"/>
        <w:rPr>
          <w:rFonts w:ascii="宋体" w:hAnsi="宋体" w:cs="宋体"/>
          <w:color w:val="auto"/>
          <w:sz w:val="24"/>
          <w:highlight w:val="none"/>
        </w:rPr>
      </w:pPr>
      <w:r>
        <w:rPr>
          <w:rFonts w:hint="eastAsia" w:ascii="宋体" w:hAnsi="宋体"/>
          <w:bCs/>
          <w:color w:val="auto"/>
          <w:sz w:val="24"/>
          <w:highlight w:val="none"/>
        </w:rPr>
        <w:t>3．</w:t>
      </w:r>
      <w:r>
        <w:rPr>
          <w:rFonts w:hint="eastAsia" w:ascii="宋体" w:hAnsi="宋体"/>
          <w:color w:val="auto"/>
          <w:sz w:val="24"/>
          <w:szCs w:val="20"/>
          <w:highlight w:val="none"/>
        </w:rPr>
        <w:t>供应商应在</w:t>
      </w:r>
      <w:r>
        <w:rPr>
          <w:rFonts w:hint="eastAsia" w:ascii="宋体" w:hAnsi="宋体" w:cs="宋体"/>
          <w:color w:val="auto"/>
          <w:sz w:val="24"/>
          <w:highlight w:val="none"/>
        </w:rPr>
        <w:t>磋商</w:t>
      </w:r>
      <w:r>
        <w:rPr>
          <w:rFonts w:hint="eastAsia" w:ascii="宋体" w:hAnsi="宋体"/>
          <w:color w:val="auto"/>
          <w:sz w:val="24"/>
          <w:szCs w:val="20"/>
          <w:highlight w:val="none"/>
        </w:rPr>
        <w:t>截止时间前关注原采购公告媒体上发布的相关更正公告。因供应商未尽注意义务，未及时全面地关注更正公告导致其提交的</w:t>
      </w:r>
      <w:r>
        <w:rPr>
          <w:rFonts w:hint="eastAsia" w:ascii="宋体" w:hAnsi="宋体" w:cs="宋体"/>
          <w:color w:val="auto"/>
          <w:sz w:val="24"/>
          <w:highlight w:val="none"/>
        </w:rPr>
        <w:t>磋商</w:t>
      </w:r>
      <w:r>
        <w:rPr>
          <w:rFonts w:hint="eastAsia" w:ascii="宋体" w:hAnsi="宋体"/>
          <w:color w:val="auto"/>
          <w:sz w:val="24"/>
          <w:szCs w:val="20"/>
          <w:highlight w:val="none"/>
        </w:rPr>
        <w:t>材料不符合磋商要求，而造成的损失及风险（包括但不限于未成交）由供应商自行承担。</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响应文件的组成：</w:t>
      </w:r>
    </w:p>
    <w:p>
      <w:pPr>
        <w:spacing w:line="360" w:lineRule="auto"/>
        <w:ind w:firstLine="482" w:firstLineChars="200"/>
        <w:rPr>
          <w:rFonts w:ascii="宋体" w:hAnsi="宋体" w:cs="Times New Roman"/>
          <w:b/>
          <w:color w:val="auto"/>
          <w:sz w:val="24"/>
          <w:highlight w:val="none"/>
        </w:rPr>
      </w:pPr>
      <w:r>
        <w:rPr>
          <w:rFonts w:hint="eastAsia" w:ascii="宋体" w:hAnsi="宋体" w:cs="Times New Roman"/>
          <w:b/>
          <w:color w:val="auto"/>
          <w:sz w:val="24"/>
          <w:highlight w:val="none"/>
        </w:rPr>
        <w:t>响应文件由证明文件、响应函、报价部分、技术文件四部分组成（装订成一册），</w:t>
      </w:r>
      <w:r>
        <w:rPr>
          <w:rFonts w:hint="eastAsia" w:ascii="宋体" w:hAnsi="宋体" w:cs="宋体"/>
          <w:b/>
          <w:color w:val="auto"/>
          <w:sz w:val="24"/>
          <w:szCs w:val="24"/>
          <w:highlight w:val="none"/>
        </w:rPr>
        <w:t>同时还需提供</w:t>
      </w:r>
      <w:r>
        <w:rPr>
          <w:rFonts w:hint="eastAsia" w:ascii="宋体" w:hAnsi="宋体" w:cs="Times New Roman"/>
          <w:b/>
          <w:color w:val="auto"/>
          <w:sz w:val="24"/>
          <w:highlight w:val="none"/>
        </w:rPr>
        <w:t>包括所有</w:t>
      </w:r>
      <w:r>
        <w:rPr>
          <w:rFonts w:hint="eastAsia" w:ascii="宋体" w:hAnsi="宋体" w:cs="Times New Roman"/>
          <w:b/>
          <w:color w:val="auto"/>
          <w:sz w:val="24"/>
          <w:highlight w:val="none"/>
          <w:lang w:val="en-US" w:eastAsia="zh-CN"/>
        </w:rPr>
        <w:t>响应</w:t>
      </w:r>
      <w:r>
        <w:rPr>
          <w:rFonts w:hint="eastAsia" w:ascii="宋体" w:hAnsi="宋体" w:cs="宋体"/>
          <w:b/>
          <w:color w:val="auto"/>
          <w:sz w:val="24"/>
          <w:szCs w:val="24"/>
          <w:highlight w:val="none"/>
        </w:rPr>
        <w:t>文件</w:t>
      </w:r>
      <w:r>
        <w:rPr>
          <w:rFonts w:hint="eastAsia" w:ascii="宋体" w:hAnsi="宋体" w:cs="Times New Roman"/>
          <w:b/>
          <w:color w:val="auto"/>
          <w:sz w:val="24"/>
          <w:highlight w:val="none"/>
        </w:rPr>
        <w:t>内容</w:t>
      </w:r>
      <w:r>
        <w:rPr>
          <w:rFonts w:hint="eastAsia" w:ascii="宋体" w:hAnsi="宋体" w:cs="Times New Roman"/>
          <w:b/>
          <w:color w:val="auto"/>
          <w:sz w:val="24"/>
          <w:highlight w:val="none"/>
          <w:lang w:val="en-US" w:eastAsia="zh-CN"/>
        </w:rPr>
        <w:t>的</w:t>
      </w:r>
      <w:r>
        <w:rPr>
          <w:rFonts w:hint="eastAsia" w:ascii="宋体" w:hAnsi="宋体" w:cs="宋体"/>
          <w:b/>
          <w:color w:val="auto"/>
          <w:sz w:val="24"/>
          <w:szCs w:val="24"/>
          <w:highlight w:val="none"/>
        </w:rPr>
        <w:t>电子光盘一份（光盘上清楚的标明报价供应商名称、工程名称、光盘内容名称）</w:t>
      </w:r>
    </w:p>
    <w:p>
      <w:pPr>
        <w:spacing w:line="360" w:lineRule="auto"/>
        <w:ind w:firstLine="480" w:firstLineChars="200"/>
        <w:rPr>
          <w:rFonts w:ascii="宋体" w:hAnsi="宋体"/>
          <w:b/>
          <w:bCs/>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ab/>
      </w:r>
      <w:r>
        <w:rPr>
          <w:rFonts w:hint="eastAsia" w:ascii="宋体" w:hAnsi="宋体"/>
          <w:color w:val="auto"/>
          <w:sz w:val="24"/>
          <w:highlight w:val="none"/>
        </w:rPr>
        <w:t>证明文件部分：</w:t>
      </w:r>
    </w:p>
    <w:p>
      <w:pPr>
        <w:numPr>
          <w:ilvl w:val="0"/>
          <w:numId w:val="4"/>
        </w:numPr>
        <w:tabs>
          <w:tab w:val="left" w:pos="525"/>
          <w:tab w:val="left" w:pos="945"/>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1资格、资信证明文件：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（1）关于资格的声明函（格式见附件）；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（2）供应商法定代表人授权委托书；</w:t>
      </w:r>
      <w:r>
        <w:rPr>
          <w:rFonts w:hint="eastAsia" w:ascii="宋体" w:hAnsi="宋体"/>
          <w:b/>
          <w:color w:val="auto"/>
          <w:sz w:val="24"/>
          <w:highlight w:val="none"/>
        </w:rPr>
        <w:t>（法定代表人亲自参与投标的除外，格式见附件）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（3）供应商法定代表人身份证复印件及法定代表人授权代表身份证复印件并加盖公章；</w:t>
      </w:r>
      <w:r>
        <w:rPr>
          <w:rFonts w:hint="eastAsia" w:ascii="宋体" w:hAnsi="宋体"/>
          <w:b/>
          <w:color w:val="auto"/>
          <w:sz w:val="24"/>
          <w:highlight w:val="none"/>
        </w:rPr>
        <w:t>（磋商时必须提交参加磋商会议的法定代表人或法定代表人授权代表有效身份证明原件）</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（4）</w:t>
      </w:r>
      <w:r>
        <w:rPr>
          <w:rFonts w:hint="eastAsia" w:ascii="宋体" w:hAnsi="宋体" w:cs="宋体"/>
          <w:bCs/>
          <w:color w:val="auto"/>
          <w:sz w:val="24"/>
          <w:highlight w:val="none"/>
        </w:rPr>
        <w:t>报价供应商</w:t>
      </w:r>
      <w:r>
        <w:rPr>
          <w:rFonts w:hint="eastAsia" w:ascii="宋体" w:hAnsi="宋体"/>
          <w:color w:val="auto"/>
          <w:sz w:val="24"/>
          <w:highlight w:val="none"/>
        </w:rPr>
        <w:t>有效期内企业法人营业执照或事业单位法人证书、组织机构代码证、税务登记证副本复印件加盖公章</w:t>
      </w:r>
      <w:r>
        <w:rPr>
          <w:rFonts w:hint="eastAsia" w:ascii="宋体" w:hAnsi="宋体"/>
          <w:b/>
          <w:color w:val="auto"/>
          <w:sz w:val="24"/>
          <w:highlight w:val="none"/>
        </w:rPr>
        <w:t>（磋商时必须提交原件或公证件或可查询二维码的扫描件并加盖公章，要求清晰、可扫描认证核查，</w:t>
      </w:r>
      <w:bookmarkStart w:id="0" w:name="OLE_LINK7"/>
      <w:r>
        <w:rPr>
          <w:rFonts w:hint="eastAsia" w:ascii="宋体" w:hAnsi="宋体"/>
          <w:b/>
          <w:color w:val="auto"/>
          <w:sz w:val="24"/>
          <w:highlight w:val="none"/>
        </w:rPr>
        <w:t>三证合一的报价供应商只需提供营业执照</w:t>
      </w:r>
      <w:bookmarkEnd w:id="0"/>
      <w:r>
        <w:rPr>
          <w:rFonts w:hint="eastAsia" w:ascii="宋体" w:hAnsi="宋体"/>
          <w:b/>
          <w:color w:val="auto"/>
          <w:sz w:val="24"/>
          <w:highlight w:val="none"/>
        </w:rPr>
        <w:t>副本）；</w:t>
      </w:r>
    </w:p>
    <w:p>
      <w:pPr>
        <w:tabs>
          <w:tab w:val="left" w:pos="0"/>
        </w:tabs>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（5）供应商【建筑工程施工总承包三级】 (含)以上资质和有效的安全生产许可证</w:t>
      </w:r>
      <w:r>
        <w:rPr>
          <w:rFonts w:hint="eastAsia" w:ascii="宋体" w:hAnsi="宋体"/>
          <w:color w:val="auto"/>
          <w:sz w:val="24"/>
          <w:highlight w:val="none"/>
        </w:rPr>
        <w:t>复印件加盖公章</w:t>
      </w:r>
      <w:r>
        <w:rPr>
          <w:rFonts w:hint="eastAsia" w:ascii="宋体" w:hAnsi="宋体" w:cs="宋体"/>
          <w:b/>
          <w:bCs/>
          <w:color w:val="auto"/>
          <w:sz w:val="24"/>
          <w:highlight w:val="none"/>
        </w:rPr>
        <w:t>（磋商时提交原件或公证件或网上查询带有二维码/验证码的打印件）</w:t>
      </w:r>
      <w:r>
        <w:rPr>
          <w:rFonts w:hint="eastAsia" w:ascii="宋体" w:hAnsi="宋体" w:cs="宋体"/>
          <w:color w:val="auto"/>
          <w:sz w:val="24"/>
          <w:highlight w:val="none"/>
        </w:rPr>
        <w:t>；；</w:t>
      </w:r>
    </w:p>
    <w:p>
      <w:pPr>
        <w:tabs>
          <w:tab w:val="left" w:pos="0"/>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（6）项目负责人二级及以上注册建造师（房屋建筑工程专业）和有效期内的《建筑施工企业项目负责人安全生产考核合格证书》（B证）证书复印件加盖公章</w:t>
      </w:r>
      <w:r>
        <w:rPr>
          <w:rFonts w:hint="eastAsia" w:ascii="宋体" w:hAnsi="宋体" w:cs="宋体"/>
          <w:b/>
          <w:bCs/>
          <w:color w:val="auto"/>
          <w:sz w:val="24"/>
          <w:highlight w:val="none"/>
        </w:rPr>
        <w:t>（磋商时提供原件或公证件或网上查询带有二维码/验证码的打印件）；</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（7）</w:t>
      </w:r>
      <w:r>
        <w:rPr>
          <w:rFonts w:hint="eastAsia" w:ascii="宋体" w:hAnsi="宋体"/>
          <w:bCs/>
          <w:color w:val="auto"/>
          <w:sz w:val="24"/>
          <w:highlight w:val="none"/>
        </w:rPr>
        <w:t>供应商近三个月中任意一个月份(不含磋商当月)的财务状况报告（资产负债表和利润表）或由会计师事务所出具的近两年中任意一年度的审计报告和所附已审财务报告复印件并加盖公章；</w:t>
      </w:r>
    </w:p>
    <w:p>
      <w:pPr>
        <w:tabs>
          <w:tab w:val="left" w:pos="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（8）供应商近三个月中任意一个月份(不含磋商当月)的依法缴纳税收的相关材料（提供相关主管部门证明或银行代扣证明）复印件并加盖公章；</w:t>
      </w:r>
    </w:p>
    <w:p>
      <w:pPr>
        <w:tabs>
          <w:tab w:val="left" w:pos="0"/>
        </w:tabs>
        <w:spacing w:line="360" w:lineRule="auto"/>
        <w:ind w:firstLine="480" w:firstLineChars="200"/>
        <w:rPr>
          <w:rFonts w:ascii="宋体" w:hAnsi="宋体"/>
          <w:bCs/>
          <w:color w:val="auto"/>
          <w:sz w:val="24"/>
          <w:highlight w:val="none"/>
        </w:rPr>
      </w:pPr>
      <w:r>
        <w:rPr>
          <w:rFonts w:hint="eastAsia" w:ascii="宋体" w:cs="宋体"/>
          <w:color w:val="auto"/>
          <w:kern w:val="0"/>
          <w:sz w:val="24"/>
          <w:highlight w:val="none"/>
          <w:lang w:val="zh-CN"/>
        </w:rPr>
        <w:t>（</w:t>
      </w:r>
      <w:r>
        <w:rPr>
          <w:rFonts w:hint="eastAsia" w:ascii="宋体" w:cs="宋体"/>
          <w:color w:val="auto"/>
          <w:kern w:val="0"/>
          <w:sz w:val="24"/>
          <w:highlight w:val="none"/>
        </w:rPr>
        <w:t>9</w:t>
      </w:r>
      <w:r>
        <w:rPr>
          <w:rFonts w:hint="eastAsia" w:ascii="宋体" w:cs="宋体"/>
          <w:color w:val="auto"/>
          <w:kern w:val="0"/>
          <w:sz w:val="24"/>
          <w:highlight w:val="none"/>
          <w:lang w:val="zh-CN"/>
        </w:rPr>
        <w:t>）</w:t>
      </w:r>
      <w:r>
        <w:rPr>
          <w:rFonts w:hint="eastAsia" w:ascii="宋体" w:hAnsi="宋体"/>
          <w:bCs/>
          <w:color w:val="auto"/>
          <w:sz w:val="24"/>
          <w:highlight w:val="none"/>
        </w:rPr>
        <w:t>供应商近三个月中任意一个月份(不含磋商当月)的依法缴纳社会保障资金的相关材料（提供相关主管部门证明或银行代扣证明）复印件并加盖公章；</w:t>
      </w:r>
    </w:p>
    <w:p>
      <w:pPr>
        <w:widowControl/>
        <w:shd w:val="clear" w:color="auto" w:fill="FFFFFF"/>
        <w:spacing w:line="360" w:lineRule="auto"/>
        <w:rPr>
          <w:rFonts w:ascii="宋体" w:hAnsi="宋体"/>
          <w:b/>
          <w:bCs/>
          <w:color w:val="auto"/>
          <w:sz w:val="24"/>
          <w:highlight w:val="none"/>
        </w:rPr>
      </w:pPr>
      <w:r>
        <w:rPr>
          <w:rFonts w:hint="eastAsia" w:ascii="宋体" w:hAnsi="宋体"/>
          <w:color w:val="auto"/>
          <w:sz w:val="24"/>
          <w:highlight w:val="none"/>
        </w:rPr>
        <w:t>（10）</w:t>
      </w:r>
      <w:r>
        <w:rPr>
          <w:rFonts w:hint="eastAsia" w:ascii="宋体" w:cs="宋体"/>
          <w:color w:val="auto"/>
          <w:sz w:val="24"/>
          <w:highlight w:val="none"/>
          <w:lang w:val="zh-CN"/>
        </w:rPr>
        <w:t>授权委托人</w:t>
      </w:r>
      <w:r>
        <w:rPr>
          <w:rFonts w:hint="eastAsia" w:ascii="宋体" w:hAnsi="宋体"/>
          <w:color w:val="auto"/>
          <w:sz w:val="24"/>
          <w:highlight w:val="none"/>
        </w:rPr>
        <w:t>、</w:t>
      </w:r>
      <w:r>
        <w:rPr>
          <w:rFonts w:hint="eastAsia" w:ascii="宋体" w:cs="宋体"/>
          <w:color w:val="auto"/>
          <w:sz w:val="24"/>
          <w:highlight w:val="none"/>
          <w:lang w:val="zh-CN"/>
        </w:rPr>
        <w:t>项目负责人应具备与企业签订的劳动合同和【《职工养老保险手册》（内附2021年</w:t>
      </w:r>
      <w:r>
        <w:rPr>
          <w:rFonts w:hint="eastAsia" w:ascii="宋体" w:cs="宋体"/>
          <w:color w:val="auto"/>
          <w:sz w:val="24"/>
          <w:highlight w:val="none"/>
        </w:rPr>
        <w:t>1</w:t>
      </w:r>
      <w:r>
        <w:rPr>
          <w:rFonts w:hint="eastAsia" w:ascii="宋体" w:cs="宋体"/>
          <w:color w:val="auto"/>
          <w:sz w:val="24"/>
          <w:highlight w:val="none"/>
          <w:lang w:val="en-US" w:eastAsia="zh-CN"/>
        </w:rPr>
        <w:t>1</w:t>
      </w:r>
      <w:r>
        <w:rPr>
          <w:rFonts w:hint="eastAsia" w:ascii="宋体" w:cs="宋体"/>
          <w:color w:val="auto"/>
          <w:sz w:val="24"/>
          <w:highlight w:val="none"/>
          <w:lang w:val="zh-CN"/>
        </w:rPr>
        <w:t>月～202</w:t>
      </w:r>
      <w:r>
        <w:rPr>
          <w:rFonts w:ascii="宋体" w:cs="宋体"/>
          <w:color w:val="auto"/>
          <w:sz w:val="24"/>
          <w:highlight w:val="none"/>
          <w:lang w:val="zh-CN"/>
        </w:rPr>
        <w:t>2</w:t>
      </w:r>
      <w:r>
        <w:rPr>
          <w:rFonts w:hint="eastAsia" w:ascii="宋体" w:cs="宋体"/>
          <w:color w:val="auto"/>
          <w:sz w:val="24"/>
          <w:highlight w:val="none"/>
          <w:lang w:val="zh-CN"/>
        </w:rPr>
        <w:t>年</w:t>
      </w:r>
      <w:r>
        <w:rPr>
          <w:rFonts w:hint="eastAsia" w:ascii="宋体" w:cs="宋体"/>
          <w:color w:val="auto"/>
          <w:sz w:val="24"/>
          <w:highlight w:val="none"/>
          <w:lang w:val="en-US" w:eastAsia="zh-CN"/>
        </w:rPr>
        <w:t>4</w:t>
      </w:r>
      <w:r>
        <w:rPr>
          <w:rFonts w:hint="eastAsia" w:ascii="宋体" w:cs="宋体"/>
          <w:color w:val="auto"/>
          <w:sz w:val="24"/>
          <w:highlight w:val="none"/>
          <w:lang w:val="zh-CN"/>
        </w:rPr>
        <w:t>月的缴费清单）或由社保机构出具的2021年</w:t>
      </w:r>
      <w:r>
        <w:rPr>
          <w:rFonts w:hint="eastAsia" w:ascii="宋体" w:cs="宋体"/>
          <w:color w:val="auto"/>
          <w:sz w:val="24"/>
          <w:highlight w:val="none"/>
        </w:rPr>
        <w:t>1</w:t>
      </w:r>
      <w:r>
        <w:rPr>
          <w:rFonts w:hint="eastAsia" w:ascii="宋体" w:cs="宋体"/>
          <w:color w:val="auto"/>
          <w:sz w:val="24"/>
          <w:highlight w:val="none"/>
          <w:lang w:val="en-US" w:eastAsia="zh-CN"/>
        </w:rPr>
        <w:t>1</w:t>
      </w:r>
      <w:r>
        <w:rPr>
          <w:rFonts w:hint="eastAsia" w:ascii="宋体" w:cs="宋体"/>
          <w:color w:val="auto"/>
          <w:sz w:val="24"/>
          <w:highlight w:val="none"/>
          <w:lang w:val="zh-CN"/>
        </w:rPr>
        <w:t>月～202</w:t>
      </w:r>
      <w:r>
        <w:rPr>
          <w:rFonts w:ascii="宋体" w:cs="宋体"/>
          <w:color w:val="auto"/>
          <w:sz w:val="24"/>
          <w:highlight w:val="none"/>
          <w:lang w:val="zh-CN"/>
        </w:rPr>
        <w:t>2</w:t>
      </w:r>
      <w:r>
        <w:rPr>
          <w:rFonts w:hint="eastAsia" w:ascii="宋体" w:cs="宋体"/>
          <w:color w:val="auto"/>
          <w:sz w:val="24"/>
          <w:highlight w:val="none"/>
          <w:lang w:val="zh-CN"/>
        </w:rPr>
        <w:t>年</w:t>
      </w:r>
      <w:r>
        <w:rPr>
          <w:rFonts w:hint="eastAsia" w:ascii="宋体" w:cs="宋体"/>
          <w:color w:val="auto"/>
          <w:sz w:val="24"/>
          <w:highlight w:val="none"/>
          <w:lang w:val="en-US" w:eastAsia="zh-CN"/>
        </w:rPr>
        <w:t>4</w:t>
      </w:r>
      <w:r>
        <w:rPr>
          <w:rFonts w:hint="eastAsia" w:ascii="宋体" w:cs="宋体"/>
          <w:color w:val="auto"/>
          <w:sz w:val="24"/>
          <w:highlight w:val="none"/>
          <w:lang w:val="zh-CN"/>
        </w:rPr>
        <w:t>月的缴费证明】</w:t>
      </w:r>
      <w:r>
        <w:rPr>
          <w:rFonts w:hint="eastAsia" w:ascii="宋体" w:hAnsi="宋体"/>
          <w:color w:val="auto"/>
          <w:sz w:val="24"/>
          <w:highlight w:val="none"/>
        </w:rPr>
        <w:t>复印件加盖公章；</w:t>
      </w:r>
      <w:r>
        <w:rPr>
          <w:rFonts w:hint="eastAsia" w:ascii="宋体" w:hAnsi="宋体"/>
          <w:b/>
          <w:bCs/>
          <w:color w:val="auto"/>
          <w:sz w:val="24"/>
          <w:highlight w:val="none"/>
        </w:rPr>
        <w:t>（投标时必须提交原件或网上查询带有二维码/验证码的打印件</w:t>
      </w:r>
      <w:r>
        <w:rPr>
          <w:rFonts w:hint="eastAsia" w:ascii="宋体" w:hAnsi="宋体" w:eastAsia="宋体"/>
          <w:b/>
          <w:bCs/>
          <w:color w:val="auto"/>
          <w:sz w:val="24"/>
          <w:highlight w:val="none"/>
          <w:lang w:eastAsia="zh-CN"/>
        </w:rPr>
        <w:t>，如报价供应商成立时间迟于要求开始的时间，则提供成立时间至磋商文件中社保要求的截止时间内的社保缴费证明）</w:t>
      </w:r>
    </w:p>
    <w:p>
      <w:pPr>
        <w:tabs>
          <w:tab w:val="left" w:pos="0"/>
        </w:tabs>
        <w:spacing w:line="360" w:lineRule="auto"/>
        <w:ind w:firstLine="482" w:firstLineChars="200"/>
        <w:rPr>
          <w:rFonts w:ascii="宋体" w:hAnsi="宋体" w:cs="Times New Roman"/>
          <w:b/>
          <w:color w:val="auto"/>
          <w:sz w:val="24"/>
          <w:highlight w:val="none"/>
        </w:rPr>
      </w:pPr>
      <w:r>
        <w:rPr>
          <w:rFonts w:hint="eastAsia" w:ascii="宋体" w:hAnsi="宋体" w:cs="Times New Roman"/>
          <w:b/>
          <w:color w:val="auto"/>
          <w:sz w:val="24"/>
          <w:highlight w:val="none"/>
        </w:rPr>
        <w:t>（11）中小企业声明函（格式见附件）或</w:t>
      </w:r>
      <w:r>
        <w:rPr>
          <w:rFonts w:ascii="宋体" w:hAnsi="宋体" w:cs="Times New Roman"/>
          <w:b/>
          <w:color w:val="auto"/>
          <w:sz w:val="24"/>
          <w:highlight w:val="none"/>
        </w:rPr>
        <w:t>省级以上监狱管理局、戒毒管理局(含新疆生产建设兵团)出具的属于监狱企业的证明文件或</w:t>
      </w:r>
      <w:r>
        <w:rPr>
          <w:rFonts w:hint="eastAsia" w:ascii="宋体" w:hAnsi="宋体" w:cs="Times New Roman"/>
          <w:b/>
          <w:color w:val="auto"/>
          <w:sz w:val="24"/>
          <w:highlight w:val="none"/>
        </w:rPr>
        <w:t>残疾人福利性单位声明函（格式见附件）；</w:t>
      </w:r>
    </w:p>
    <w:p>
      <w:pPr>
        <w:spacing w:line="360" w:lineRule="auto"/>
        <w:ind w:left="48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2</w:t>
      </w:r>
      <w:r>
        <w:rPr>
          <w:rFonts w:hint="eastAsia" w:ascii="宋体" w:hAnsi="宋体"/>
          <w:color w:val="auto"/>
          <w:sz w:val="24"/>
          <w:highlight w:val="none"/>
        </w:rPr>
        <w:t>）承诺书；（格式见附件）</w:t>
      </w:r>
    </w:p>
    <w:p>
      <w:pPr>
        <w:spacing w:line="360" w:lineRule="auto"/>
        <w:ind w:firstLine="482" w:firstLineChars="200"/>
        <w:rPr>
          <w:rFonts w:ascii="宋体" w:hAnsi="宋体" w:cs="Times New Roman"/>
          <w:b/>
          <w:color w:val="auto"/>
          <w:sz w:val="24"/>
          <w:highlight w:val="none"/>
        </w:rPr>
      </w:pPr>
      <w:r>
        <w:rPr>
          <w:rFonts w:hint="eastAsia" w:ascii="宋体" w:hAnsi="宋体" w:cs="Times New Roman"/>
          <w:b/>
          <w:color w:val="auto"/>
          <w:sz w:val="24"/>
          <w:highlight w:val="none"/>
        </w:rPr>
        <w:t>*</w:t>
      </w:r>
      <w:r>
        <w:rPr>
          <w:rFonts w:ascii="宋体" w:hAnsi="宋体" w:cs="Times New Roman"/>
          <w:b/>
          <w:color w:val="auto"/>
          <w:sz w:val="24"/>
          <w:highlight w:val="none"/>
        </w:rPr>
        <w:t>注：</w:t>
      </w:r>
      <w:r>
        <w:rPr>
          <w:rFonts w:hint="eastAsia" w:ascii="宋体" w:hAnsi="宋体" w:cs="Times New Roman"/>
          <w:b/>
          <w:color w:val="auto"/>
          <w:sz w:val="24"/>
          <w:highlight w:val="none"/>
        </w:rPr>
        <w:t>报价</w:t>
      </w:r>
      <w:r>
        <w:rPr>
          <w:rFonts w:ascii="宋体" w:hAnsi="宋体" w:cs="Times New Roman"/>
          <w:b/>
          <w:color w:val="auto"/>
          <w:sz w:val="24"/>
          <w:highlight w:val="none"/>
        </w:rPr>
        <w:t>供应商如已按《无锡市政府采购投标供应商注册登记管理办法》（锡财购〔2012〕3号）要求加入投标供应商库的，可注册入库（无锡政府采购供应商库注册登记地址http://cz.wuxi.gov.cn/fzlm/zfcgjyxt/index.shtml）成功后，从网上下载打印《无锡市政府采购注册投标供应商资格信息登记表》（以下简称信息登记表），并经法定代表人签字和加盖供应商公章后,可作为</w:t>
      </w:r>
      <w:r>
        <w:rPr>
          <w:rFonts w:hint="eastAsia" w:ascii="宋体" w:hAnsi="宋体" w:cs="Times New Roman"/>
          <w:b/>
          <w:color w:val="auto"/>
          <w:sz w:val="24"/>
          <w:highlight w:val="none"/>
        </w:rPr>
        <w:t>报价</w:t>
      </w:r>
      <w:r>
        <w:rPr>
          <w:rFonts w:ascii="宋体" w:hAnsi="宋体" w:cs="Times New Roman"/>
          <w:b/>
          <w:color w:val="auto"/>
          <w:sz w:val="24"/>
          <w:highlight w:val="none"/>
        </w:rPr>
        <w:t>供应商</w:t>
      </w:r>
      <w:r>
        <w:rPr>
          <w:rFonts w:hint="eastAsia" w:ascii="宋体" w:hAnsi="宋体" w:cs="Times New Roman"/>
          <w:b/>
          <w:color w:val="auto"/>
          <w:sz w:val="24"/>
          <w:highlight w:val="none"/>
        </w:rPr>
        <w:t>采购</w:t>
      </w:r>
      <w:r>
        <w:rPr>
          <w:rFonts w:ascii="宋体" w:hAnsi="宋体" w:cs="Times New Roman"/>
          <w:b/>
          <w:color w:val="auto"/>
          <w:sz w:val="24"/>
          <w:highlight w:val="none"/>
        </w:rPr>
        <w:t>文件的有效组成部分提交采购代理机构。信息登记表所记录的信息如能反映</w:t>
      </w:r>
      <w:r>
        <w:rPr>
          <w:rFonts w:hint="eastAsia" w:ascii="宋体" w:hAnsi="宋体" w:cs="Times New Roman"/>
          <w:b/>
          <w:color w:val="auto"/>
          <w:sz w:val="24"/>
          <w:highlight w:val="none"/>
        </w:rPr>
        <w:t>报价</w:t>
      </w:r>
      <w:r>
        <w:rPr>
          <w:rFonts w:ascii="宋体" w:hAnsi="宋体" w:cs="Times New Roman"/>
          <w:b/>
          <w:color w:val="auto"/>
          <w:sz w:val="24"/>
          <w:highlight w:val="none"/>
        </w:rPr>
        <w:t>供应商具备对应资格条件项的，在本项目评审时，可凭该信息登记表免于提供相应的资格证明材料的原件或公证件，否则必须按要求提供相应的资格证明材料原件或公证件。</w:t>
      </w:r>
    </w:p>
    <w:p>
      <w:pPr>
        <w:spacing w:line="360" w:lineRule="auto"/>
        <w:ind w:firstLine="566" w:firstLineChars="235"/>
        <w:rPr>
          <w:rFonts w:ascii="宋体" w:hAnsi="宋体" w:cs="宋体"/>
          <w:b/>
          <w:color w:val="auto"/>
          <w:sz w:val="24"/>
          <w:highlight w:val="none"/>
        </w:rPr>
      </w:pPr>
      <w:r>
        <w:rPr>
          <w:rFonts w:hint="eastAsia" w:ascii="宋体" w:hAnsi="宋体" w:cs="宋体"/>
          <w:b/>
          <w:color w:val="auto"/>
          <w:sz w:val="24"/>
          <w:highlight w:val="none"/>
        </w:rPr>
        <w:t>上述资格、资信证明文件供应商必须按要求全部提供，要求提交的原件或公证件必须与响应文件同时提交，如果原件正在年检（或换证），则必须提供法定年检（或换证）单位出具的有效证明原件，否则磋商文件无效。如上述资格、资信证明文件遇有国家相关政策规定可不具备的，必须提供相关政策规定或相关单位出具的有效证明复印件。供应商法定代表人或法定代表人授权代表为外籍、港、澳、台地区人士的，其身份证明须提供有效的护照或港澳同胞来往内地通行证、台湾同胞来往大陆通行证，或其它可在中国大陆有效居留的许可证明。</w:t>
      </w:r>
    </w:p>
    <w:p>
      <w:pPr>
        <w:widowControl/>
        <w:tabs>
          <w:tab w:val="left" w:pos="0"/>
        </w:tabs>
        <w:spacing w:line="360" w:lineRule="auto"/>
        <w:ind w:firstLine="424" w:firstLineChars="177"/>
        <w:jc w:val="left"/>
        <w:rPr>
          <w:rFonts w:ascii="宋体" w:hAnsi="宋体" w:cs="宋体"/>
          <w:color w:val="auto"/>
          <w:kern w:val="0"/>
          <w:sz w:val="24"/>
          <w:highlight w:val="none"/>
        </w:rPr>
      </w:pPr>
      <w:r>
        <w:rPr>
          <w:rFonts w:hint="eastAsia" w:ascii="宋体" w:hAnsi="宋体" w:cs="宋体"/>
          <w:color w:val="auto"/>
          <w:sz w:val="24"/>
          <w:highlight w:val="none"/>
        </w:rPr>
        <w:t>1.2</w:t>
      </w:r>
      <w:r>
        <w:rPr>
          <w:rFonts w:hint="eastAsia" w:ascii="宋体" w:hAnsi="宋体" w:cs="宋体"/>
          <w:color w:val="auto"/>
          <w:kern w:val="0"/>
          <w:sz w:val="24"/>
          <w:highlight w:val="none"/>
        </w:rPr>
        <w:t>补充证明文件：</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（1）报价供应商简介和经营情况说明；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（2）其他投标人认为有必要提供的证明资料（参考评分标准）</w:t>
      </w:r>
    </w:p>
    <w:p>
      <w:pPr>
        <w:widowControl/>
        <w:spacing w:line="360" w:lineRule="auto"/>
        <w:ind w:firstLine="480" w:firstLineChars="200"/>
        <w:rPr>
          <w:rFonts w:hint="eastAsia" w:ascii="宋体" w:hAnsi="宋体" w:eastAsia="宋体" w:cs="宋体"/>
          <w:b/>
          <w:color w:val="auto"/>
          <w:sz w:val="24"/>
          <w:highlight w:val="none"/>
          <w:lang w:eastAsia="zh-CN"/>
        </w:rPr>
      </w:pP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3</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是）</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2．响应函部分（格式见附件）：</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（1）响应函；</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（2）报价一览表；</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（3）</w:t>
      </w:r>
      <w:r>
        <w:rPr>
          <w:rFonts w:hint="eastAsia" w:ascii="宋体" w:hAnsi="宋体" w:cs="宋体"/>
          <w:color w:val="auto"/>
          <w:kern w:val="0"/>
          <w:sz w:val="24"/>
          <w:highlight w:val="none"/>
        </w:rPr>
        <w:t>实施项目管理机构配备情况</w:t>
      </w:r>
      <w:r>
        <w:rPr>
          <w:rFonts w:hint="eastAsia" w:ascii="宋体" w:hAnsi="宋体" w:cs="宋体"/>
          <w:bCs/>
          <w:color w:val="auto"/>
          <w:sz w:val="24"/>
          <w:highlight w:val="none"/>
        </w:rPr>
        <w:t>；</w:t>
      </w:r>
    </w:p>
    <w:p>
      <w:pPr>
        <w:widowControl/>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1) 项目管理机构配备情况表（格式见附件）</w:t>
      </w:r>
    </w:p>
    <w:p>
      <w:pPr>
        <w:widowControl/>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2) 项目负责人简历表（格式见附件）</w:t>
      </w:r>
    </w:p>
    <w:p>
      <w:pPr>
        <w:widowControl/>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3) 项目技术负责人简历表（格式见附件）</w:t>
      </w:r>
    </w:p>
    <w:p>
      <w:pPr>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4) 项目管理机构配备情况辅助说明资料（格式见附件）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3.报价部分（格式见附件）；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（1）投标总价                                 表1</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（2）单位工程投标报价汇总表                   表2</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（3）分部分项工程和单价措施项目清单与计价表   表3</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（4）综合单价分析表                           表4</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（5）总价措施项目清单与计价表                 表5</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（6）其他项目清单与计价汇总表                 表6</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（7）暂列金额明细表                           表7</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（8）材料（工程设备）暂估单价及调整表         表8</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（9）专业工程暂估价及结算价表                 表9</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（10）计日工表                                表10</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（11）总承包服务费计价表                      表11</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（12）规费、税金项目计价表                    表12</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（13）总价项目进度款支付分解表                表13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（14）发包人提供材料和工程设备一览表          表14</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（15）承包人提供主要材料和工程设备一览表（适用造价信息差额调整法）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表15                                         </w:t>
      </w:r>
    </w:p>
    <w:p>
      <w:pPr>
        <w:spacing w:line="360" w:lineRule="auto"/>
        <w:ind w:firstLine="480" w:firstLineChars="200"/>
        <w:rPr>
          <w:rFonts w:hint="eastAsia" w:ascii="宋体" w:hAnsi="宋体" w:cs="宋体"/>
          <w:b/>
          <w:color w:val="auto"/>
          <w:sz w:val="24"/>
          <w:highlight w:val="none"/>
        </w:rPr>
      </w:pPr>
      <w:r>
        <w:rPr>
          <w:rFonts w:hint="eastAsia" w:ascii="宋体" w:hAnsi="宋体" w:cs="宋体"/>
          <w:bCs/>
          <w:color w:val="auto"/>
          <w:sz w:val="24"/>
          <w:highlight w:val="none"/>
        </w:rPr>
        <w:t>（16）承包人提供主要材料和工程设备一览表（适用于价格指数差额调整法）                                             表16</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4.技术文件</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1）总体概述：施工组织总体设想、方案针对性及施工段划分；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2）施工进度计划和各阶段进度的保证措施；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3）各分部分项工程的施工方案及质量保证措施；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4）安全保障措施；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5）文明施工及环境保护（降尘降噪）措施； </w:t>
      </w:r>
    </w:p>
    <w:p>
      <w:pPr>
        <w:spacing w:line="360" w:lineRule="auto"/>
        <w:ind w:firstLine="480" w:firstLineChars="200"/>
        <w:rPr>
          <w:rFonts w:ascii="宋体" w:hAnsi="宋体" w:cs="宋体"/>
          <w:color w:val="auto"/>
          <w:sz w:val="24"/>
          <w:highlight w:val="none"/>
        </w:rPr>
      </w:pPr>
      <w:r>
        <w:rPr>
          <w:rFonts w:hint="eastAsia" w:ascii="宋体" w:hAnsi="宋体"/>
          <w:bCs/>
          <w:color w:val="auto"/>
          <w:sz w:val="24"/>
          <w:highlight w:val="none"/>
        </w:rPr>
        <w:t xml:space="preserve">6）劳动力、机械设备和材料投入计划； </w:t>
      </w:r>
    </w:p>
    <w:p>
      <w:pPr>
        <w:numPr>
          <w:ilvl w:val="0"/>
          <w:numId w:val="2"/>
        </w:numPr>
        <w:tabs>
          <w:tab w:val="left" w:pos="735"/>
        </w:tabs>
        <w:spacing w:line="360" w:lineRule="auto"/>
        <w:ind w:left="0" w:firstLine="0"/>
        <w:outlineLvl w:val="1"/>
        <w:rPr>
          <w:rFonts w:ascii="宋体" w:hAnsi="宋体" w:cs="宋体"/>
          <w:b/>
          <w:bCs/>
          <w:color w:val="auto"/>
          <w:sz w:val="24"/>
          <w:highlight w:val="none"/>
        </w:rPr>
      </w:pPr>
      <w:r>
        <w:rPr>
          <w:rFonts w:hint="eastAsia" w:ascii="宋体" w:hAnsi="宋体"/>
          <w:b/>
          <w:bCs/>
          <w:color w:val="auto"/>
          <w:sz w:val="24"/>
          <w:highlight w:val="none"/>
        </w:rPr>
        <w:t xml:space="preserve">投标报价说明： </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（1）本工程的投标报价应采用GB50500-2013《建设工程工程量清单计价规范》规定的工程量清单计价格式。</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2）供应商的投标报价的总额应是报价供应商在响应文件中提出的各项支付金额的总和，也应是完成磋商文件工程量清单计价所列项目的全部费用。包括分部分项工程费、措施项目费、其它项目费、规费和税金。综合单价包括完成工程量清单中一个规定计量单位项目所需的人工、材料费、机械使用费，管理费和利润并考虑风险因素。总之投标报价应为完成该项目的全部费用。包括工完清场、移交竣工验收、保修期满。</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3）本工程磋商文件所提供的工程量清单是按照GB50500-2013《建设工程工程量清单计价规范》和施工图设计计算确定。对于工程量清单中未提供齐全，而本磋商文件中所确定的招标范围所提供的全套设计图中已明确包含的工程内容，报价供应商可以按统一的工程量计算规则计算后，在发标后3天内以书面形式提供给采购人，采购人在收到书面资料后2天内将可以增列的项目或修改的数量以修正文件形式书面通知报价供应商。但是不论工程量清单数量与设计图数量是否一致，报价供应商只能以采购人发放的工程量清单及修正文件进行投标报价。工程数量与实际施工量不一致时，工程数量可按实调整。</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4）除非采购人对磋商文件予以修改，报价供应商应按采购人提供的工程量清单及其计价格式，填报单价和合价。报价供应商未填单价或合价的工程项目，视为该项目费用已包括在其他有价款的单价或合价内，在实施后，采购人将不另行支付。如实际施工的工程量与采购人提供的工程量清单中的数量不一致时，量差部分结算时可按实调整，每一项目只允许有一个报价。任何有选择的报价将不予接受。</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（5）供应商可先到工地踏勘以充分了解工地位置、情况、道路、储存空间、装卸限制及任何其他足以影响承包价的情况，任何因忽视或误解工地情况而导致的索赔或工期延长申请将不被批准。</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6）所有的施工方案的费用以及按国家标准或施工验收规范要求对材料、构件进行质量检测或检测所需的试验、检测费用应列入投标单位认为合适的细目中，在工程量清单分析中反映出来。工程量清单分析中未列细目的，其施工方案费用及试验、检测费用应被视为已分摊在投标单位认为合适的细目报价中。</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（7）供应商不得将下列不可竞争费用改变标准收取：（1）现场安全文明施工措施费（2）规费（3）税金（4）采购文件中已明确的材料设备及暂定费用（5）其他法律法规规定不可竞争的费用。</w:t>
      </w:r>
      <w:r>
        <w:rPr>
          <w:rFonts w:hint="eastAsia" w:ascii="宋体" w:hAnsi="宋体" w:cs="宋体"/>
          <w:b/>
          <w:color w:val="auto"/>
          <w:sz w:val="24"/>
          <w:highlight w:val="none"/>
        </w:rPr>
        <w:t>如改变不可竞争费用的按无效标处理。</w:t>
      </w:r>
    </w:p>
    <w:p>
      <w:pPr>
        <w:spacing w:line="360" w:lineRule="auto"/>
        <w:ind w:firstLine="360" w:firstLineChars="150"/>
        <w:rPr>
          <w:rFonts w:ascii="宋体" w:hAnsi="宋体" w:cs="宋体"/>
          <w:bCs/>
          <w:color w:val="auto"/>
          <w:sz w:val="24"/>
          <w:highlight w:val="none"/>
        </w:rPr>
      </w:pPr>
      <w:r>
        <w:rPr>
          <w:rFonts w:hint="eastAsia" w:ascii="宋体" w:hAnsi="宋体" w:cs="宋体"/>
          <w:bCs/>
          <w:color w:val="auto"/>
          <w:sz w:val="24"/>
          <w:highlight w:val="none"/>
        </w:rPr>
        <w:t>（8）现场安全文明施工措施费中的基本费、省级标化增加费是按苏建价【2016】154号 《省住房城乡建设厅关于建筑业实施营改增后江苏省建设工程计价依据调整的通知》规定的标准计列的。</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（9）各种材料的价格当采购人未提供市场价</w:t>
      </w:r>
      <w:r>
        <w:rPr>
          <w:rFonts w:hint="eastAsia" w:ascii="宋体" w:hAnsi="宋体" w:cs="宋体"/>
          <w:color w:val="auto"/>
          <w:sz w:val="24"/>
          <w:highlight w:val="none"/>
        </w:rPr>
        <w:t>格或限定价格时，由投标供应商自行进行市场调查后决定报价，但各投标供应商应充分考虑在工程建设周期内市场价格的波动风险，并将认为适合的风险费用计列在内，凡未列的，将视为已包含在报价之中，一经报价确定，结算时涨跌不超过5%部分将不作调整。超过部分根据相关文件双方协商解决。当采购人对部分材料提供暂定价格时，投标供应商投标报价时不得以任何理由更改暂定价格，否则作废标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（10）投标供应商应根据施工现场的实际情况、本磋商文件中载明的施工组织要求、现场的交通管制条件、文明施工要求和各自的施工经验确定合理的施工组织方案，自主合理报价。</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（11）本项目计税方法为营改增后的一般计税方法。</w:t>
      </w:r>
    </w:p>
    <w:p>
      <w:pPr>
        <w:spacing w:line="360" w:lineRule="auto"/>
        <w:ind w:firstLine="482" w:firstLineChars="200"/>
        <w:rPr>
          <w:rFonts w:ascii="宋体" w:hAnsi="宋体" w:cs="宋体"/>
          <w:b/>
          <w:color w:val="auto"/>
          <w:sz w:val="24"/>
          <w:szCs w:val="20"/>
          <w:highlight w:val="none"/>
        </w:rPr>
      </w:pPr>
      <w:r>
        <w:rPr>
          <w:rFonts w:hint="eastAsia" w:ascii="宋体" w:hAnsi="宋体" w:cs="宋体"/>
          <w:b/>
          <w:color w:val="auto"/>
          <w:sz w:val="24"/>
          <w:szCs w:val="20"/>
          <w:highlight w:val="none"/>
        </w:rPr>
        <w:t>（12）经评标委员会认定供应商的投标报价明显低于其他通过符合性审查投标供应商的报价，有可能影响产品质量或者不能诚信履约的，供应商报价不得低于成本价，供应商必须在合理时间内（自通知之时起一小时内）提供书面说明，必要时提交相关证明材料以证明其报价合理性。供应商不能证明其报价合理性的，评标委员会应当将其作为无效投标处理。</w:t>
      </w:r>
    </w:p>
    <w:p>
      <w:pPr>
        <w:spacing w:line="360" w:lineRule="auto"/>
        <w:ind w:firstLine="480" w:firstLineChars="200"/>
        <w:rPr>
          <w:rFonts w:ascii="宋体" w:hAnsi="宋体" w:cs="宋体"/>
          <w:b/>
          <w:color w:val="auto"/>
          <w:sz w:val="24"/>
          <w:szCs w:val="20"/>
          <w:highlight w:val="none"/>
        </w:rPr>
      </w:pPr>
      <w:r>
        <w:rPr>
          <w:rFonts w:hint="eastAsia" w:ascii="宋体" w:hAnsi="宋体" w:cs="宋体"/>
          <w:bCs/>
          <w:color w:val="auto"/>
          <w:sz w:val="24"/>
          <w:highlight w:val="none"/>
        </w:rPr>
        <w:t>（13）报价时各单位工程中同一清单子目对应的综合单价报价应保持一致，如不一致，成交单位今后结算审计时以所报综合单价中最低的作为结算依据。</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响应文件的要求：</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1.</w:t>
      </w:r>
      <w:r>
        <w:rPr>
          <w:rFonts w:hint="eastAsia" w:ascii="宋体" w:hAnsi="宋体" w:cs="Times New Roman"/>
          <w:color w:val="auto"/>
          <w:sz w:val="24"/>
          <w:highlight w:val="none"/>
        </w:rPr>
        <w:t>所有文件、往来函件均应使用简体中文（规格、型号辅助符号除外）。</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2.</w:t>
      </w:r>
      <w:r>
        <w:rPr>
          <w:rFonts w:hint="eastAsia" w:ascii="宋体" w:hAnsi="宋体" w:cs="Times New Roman"/>
          <w:color w:val="auto"/>
          <w:sz w:val="24"/>
          <w:highlight w:val="none"/>
        </w:rPr>
        <w:t>响应文件由供应商按给定格式如实填写（编写），须有法人（盖章）、法定代表人或法定代表人授权代表签字或盖章，方为有效，未尽事宜可自行补充。</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3.</w:t>
      </w:r>
      <w:r>
        <w:rPr>
          <w:rFonts w:hint="eastAsia" w:ascii="宋体" w:hAnsi="宋体" w:cs="Times New Roman"/>
          <w:color w:val="auto"/>
          <w:sz w:val="24"/>
          <w:highlight w:val="none"/>
        </w:rPr>
        <w:t>报价供应商报价一律以人民币为报价结算货币，结算单位为“元”。</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4.</w:t>
      </w:r>
      <w:r>
        <w:rPr>
          <w:rFonts w:hint="eastAsia" w:ascii="宋体" w:hAnsi="宋体" w:cs="Times New Roman"/>
          <w:color w:val="auto"/>
          <w:sz w:val="24"/>
          <w:highlight w:val="none"/>
        </w:rPr>
        <w:t>响应文件格式部分，应由供应商按给定格式提供，不得更改。</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5.</w:t>
      </w:r>
      <w:r>
        <w:rPr>
          <w:rFonts w:hint="eastAsia" w:ascii="宋体" w:hAnsi="宋体" w:cs="Times New Roman"/>
          <w:color w:val="auto"/>
          <w:sz w:val="24"/>
          <w:highlight w:val="none"/>
        </w:rPr>
        <w:t>响应文件应用不褪色的黑色墨水书写或打印。</w:t>
      </w:r>
    </w:p>
    <w:p>
      <w:pPr>
        <w:tabs>
          <w:tab w:val="left" w:pos="0"/>
          <w:tab w:val="left" w:pos="704"/>
        </w:tabs>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6.</w:t>
      </w:r>
      <w:r>
        <w:rPr>
          <w:rFonts w:hint="eastAsia" w:ascii="宋体" w:hAnsi="宋体" w:cs="Times New Roman"/>
          <w:color w:val="auto"/>
          <w:sz w:val="24"/>
          <w:highlight w:val="none"/>
        </w:rPr>
        <w:t>响应文件商务部分统一采用A4纸，按照响应文件组成中的顺序制作，并编制目录和页码。</w:t>
      </w:r>
    </w:p>
    <w:p>
      <w:pPr>
        <w:tabs>
          <w:tab w:val="left" w:pos="1620"/>
        </w:tabs>
        <w:spacing w:line="360" w:lineRule="auto"/>
        <w:ind w:firstLine="482" w:firstLineChars="200"/>
        <w:rPr>
          <w:rFonts w:ascii="宋体" w:hAnsi="宋体" w:cs="Times New Roman"/>
          <w:b/>
          <w:color w:val="auto"/>
          <w:sz w:val="24"/>
          <w:highlight w:val="none"/>
        </w:rPr>
      </w:pPr>
      <w:r>
        <w:rPr>
          <w:rFonts w:ascii="宋体" w:hAnsi="宋体" w:cs="Times New Roman"/>
          <w:b/>
          <w:color w:val="auto"/>
          <w:sz w:val="24"/>
          <w:highlight w:val="none"/>
        </w:rPr>
        <w:t>7.</w:t>
      </w:r>
      <w:r>
        <w:rPr>
          <w:rFonts w:hint="eastAsia" w:ascii="宋体" w:hAnsi="宋体" w:cs="Times New Roman"/>
          <w:b/>
          <w:color w:val="auto"/>
          <w:sz w:val="24"/>
          <w:highlight w:val="none"/>
        </w:rPr>
        <w:t xml:space="preserve"> 响应文件份数为一正二副，供应商应将响应文件正本、电子光盘</w:t>
      </w:r>
      <w:r>
        <w:rPr>
          <w:rFonts w:hint="eastAsia" w:ascii="宋体" w:hAnsi="宋体"/>
          <w:b/>
          <w:bCs/>
          <w:color w:val="auto"/>
          <w:sz w:val="24"/>
          <w:highlight w:val="none"/>
        </w:rPr>
        <w:t>【报价部分：清单部分刻盘格式为江苏省格式（13JSTB/光盘）,汇总表及品牌表以word格式】</w:t>
      </w:r>
      <w:r>
        <w:rPr>
          <w:rFonts w:hint="eastAsia" w:ascii="宋体" w:hAnsi="宋体" w:cs="Times New Roman"/>
          <w:b/>
          <w:color w:val="auto"/>
          <w:sz w:val="24"/>
          <w:highlight w:val="none"/>
        </w:rPr>
        <w:t>密封在一个封袋中并在封袋上清楚地标明“正本”、将所有副本密封在另一个封袋中并在密封袋上清楚地标明</w:t>
      </w:r>
      <w:r>
        <w:rPr>
          <w:rFonts w:ascii="宋体" w:hAnsi="宋体" w:cs="Times New Roman"/>
          <w:b/>
          <w:color w:val="auto"/>
          <w:sz w:val="24"/>
          <w:highlight w:val="none"/>
        </w:rPr>
        <w:t>“</w:t>
      </w:r>
      <w:r>
        <w:rPr>
          <w:rFonts w:hint="eastAsia" w:ascii="宋体" w:hAnsi="宋体" w:cs="Times New Roman"/>
          <w:b/>
          <w:color w:val="auto"/>
          <w:sz w:val="24"/>
          <w:highlight w:val="none"/>
        </w:rPr>
        <w:t>副本</w:t>
      </w:r>
      <w:r>
        <w:rPr>
          <w:rFonts w:ascii="宋体" w:hAnsi="宋体" w:cs="Times New Roman"/>
          <w:b/>
          <w:color w:val="auto"/>
          <w:sz w:val="24"/>
          <w:highlight w:val="none"/>
        </w:rPr>
        <w:t>”</w:t>
      </w:r>
      <w:r>
        <w:rPr>
          <w:rFonts w:hint="eastAsia" w:ascii="宋体" w:hAnsi="宋体" w:cs="Times New Roman"/>
          <w:b/>
          <w:color w:val="auto"/>
          <w:sz w:val="24"/>
          <w:highlight w:val="none"/>
        </w:rPr>
        <w:t>；磋商文件中证明文件部分及评标办法中所需提供的原件资料需单独装在一个封袋中，并在封袋上清楚地标明“原件资料”（身份证可随身携带）；所有响应文件封袋的封口处应加盖供应商印章。密封袋上还均应注明采购项目编号、项目名称、供应商名称。</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8.</w:t>
      </w:r>
      <w:r>
        <w:rPr>
          <w:rFonts w:hint="eastAsia" w:ascii="宋体" w:hAnsi="宋体" w:cs="Times New Roman"/>
          <w:color w:val="auto"/>
          <w:sz w:val="24"/>
          <w:highlight w:val="none"/>
        </w:rPr>
        <w:t>响应文件不应有涂改、增删和潦草之处，如有必须修改时，修改处必须有法人、法定代表人或法定代表人授权代表的签章。</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9.</w:t>
      </w:r>
      <w:r>
        <w:rPr>
          <w:rFonts w:hint="eastAsia" w:ascii="宋体" w:hAnsi="宋体" w:cs="Times New Roman"/>
          <w:color w:val="auto"/>
          <w:sz w:val="24"/>
          <w:highlight w:val="none"/>
        </w:rPr>
        <w:t>技术文件按要求编制，不得编制粗糙、不得缺漏项、不得格式混乱、不得条例不清。</w:t>
      </w:r>
    </w:p>
    <w:p>
      <w:pPr>
        <w:spacing w:line="360" w:lineRule="auto"/>
        <w:ind w:firstLine="480" w:firstLineChars="200"/>
        <w:rPr>
          <w:rFonts w:ascii="宋体" w:hAnsi="宋体" w:cs="Times New Roman"/>
          <w:color w:val="auto"/>
          <w:sz w:val="24"/>
          <w:highlight w:val="none"/>
        </w:rPr>
      </w:pPr>
      <w:r>
        <w:rPr>
          <w:rFonts w:ascii="宋体" w:hAnsi="宋体" w:cs="Times New Roman"/>
          <w:color w:val="auto"/>
          <w:sz w:val="24"/>
          <w:highlight w:val="none"/>
        </w:rPr>
        <w:t>10.</w:t>
      </w:r>
      <w:r>
        <w:rPr>
          <w:rFonts w:hint="eastAsia" w:ascii="宋体" w:hAnsi="宋体" w:cs="Times New Roman"/>
          <w:color w:val="auto"/>
          <w:sz w:val="24"/>
          <w:highlight w:val="none"/>
        </w:rPr>
        <w:t>磋商费用自理。</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无效响应文件的确认：</w:t>
      </w:r>
    </w:p>
    <w:p>
      <w:pPr>
        <w:tabs>
          <w:tab w:val="left" w:pos="525"/>
          <w:tab w:val="left" w:pos="1050"/>
        </w:tabs>
        <w:spacing w:line="360" w:lineRule="auto"/>
        <w:ind w:left="550" w:leftChars="262"/>
        <w:rPr>
          <w:rFonts w:ascii="宋体" w:hAnsi="宋体"/>
          <w:bCs/>
          <w:color w:val="auto"/>
          <w:sz w:val="24"/>
          <w:highlight w:val="none"/>
        </w:rPr>
      </w:pPr>
      <w:r>
        <w:rPr>
          <w:rFonts w:hint="eastAsia" w:ascii="宋体" w:hAnsi="宋体"/>
          <w:bCs/>
          <w:color w:val="auto"/>
          <w:sz w:val="24"/>
          <w:highlight w:val="none"/>
        </w:rPr>
        <w:t>供应商有下列情况之一者，其响应文件无效：</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响应文件未按规定的期限、地点送达的；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响应文件未按要求密封、签署、盖章的；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投标供应商的法定代表人或法定代表人授权代表，未准时参加磋商会议的；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投标供应商的法定代表人授权代表，无法定代表人授权委托书的；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不具备磋商文件中规定的资格要求及未按磋商文件规定的要求提供资格证明文件的；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响应文件含有采购人不能接受的附加条件的；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响应文件未按磋商文件规定的格式、内容和要求填写、制作的；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响应文件书写潦草、字迹模糊不清、无法辨认的；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响应文件中有磋商文件未允许提供的选择性内容的；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恶意串通其他投标供应商，故意哄抬价格或压价的；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提供虚假材料的（包括工商营业执照、财务报表、资格证明文件等）；</w:t>
      </w:r>
    </w:p>
    <w:p>
      <w:pPr>
        <w:numPr>
          <w:ilvl w:val="0"/>
          <w:numId w:val="5"/>
        </w:numPr>
        <w:spacing w:line="360" w:lineRule="auto"/>
        <w:ind w:left="0" w:firstLine="480" w:firstLineChars="200"/>
        <w:rPr>
          <w:color w:val="auto"/>
          <w:sz w:val="24"/>
          <w:highlight w:val="none"/>
        </w:rPr>
      </w:pPr>
      <w:r>
        <w:rPr>
          <w:rFonts w:hint="eastAsia" w:ascii="宋体" w:hAnsi="宋体"/>
          <w:color w:val="auto"/>
          <w:sz w:val="24"/>
          <w:highlight w:val="none"/>
        </w:rPr>
        <w:t>响应文件未加盖投标供应商公章及法定代表人或授权代表签字和盖章的；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不同投标供应商响应文件相互混装的；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不同投标供应商响应文件中的项目相关人员出现同一人的；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不同投标供应商聘请同一人为其报价提供技术或经济咨询服务的；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不同投标供应商的单位负责人为同一人或者存在直接控股、管理关系的；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投标供应商为本项目提供整体设计、规范编制或者项目管理、监理、检测等服务的；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不同投标供应商的响应文件异常一致或者投标报价呈规律性差异；</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响应文件商务标中同一方案有选择性报价且未声明以哪一个为准的；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改变磋商文件规定的暂定价格或不可竞争费用的；改变磋商文件规定的工期、误期违约金、质量标准及质量违约金的；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改变磋商文件提供的工程量清单中的清单编码、计量单位、工程数量、项目特征；</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未按要求提供技术文件的；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未按要求提供电子版或电子版内容不全、格式不符要求的；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项目负责人有在建的；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响应文件报价出现前后不一致，投标供应商拒不确认修正后的报价的；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超过磋商文件规定的最高限价的；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磋商小组认为投标供应商的报价明显低于其他通过符合性审查投标供应商的报价，有可能影响产品质量或者不能诚信履约的或者低于成本价的，要求其在评标现场合理的时间内（通知后一小时内）提供书面说明，必要时提交相关证明材料；投标供应商不能证明其报价合理性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未通过初步资格性审查、响应文件资格性检查、响应文件符合性检查的；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列入失信被执行人、重大税收违法案件当事人名单、政府采购严重违法失信行为记录名单及其他不符合《中华人民共和国政府采购法》第二十二条规定条件的；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投标供应商的报价畸高或畸低，在询标时没有合理的解释或者不能提供计算依据和报价依据的；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不同投标供应商的响应文件的装订形式、纸张情况、目录序号、排版格式、文字风格等存在明显的相似性或一致性，特征显示由同一单位或者同一个人编制的；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不同投标供应商响应文件内容存在非正常一致、项目组成员或者联系人员出现同一人、响应文件中错误（或异常）一致或雷同、电子文档信息一致或雷同的；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不同投标供应商的委托代理人、项目负责人以及其他相关人员有在同一个单位缴纳社会保险的；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同一响应文件中单位名称落款与公章不是同一单位的；</w:t>
      </w:r>
    </w:p>
    <w:p>
      <w:pPr>
        <w:numPr>
          <w:ilvl w:val="0"/>
          <w:numId w:val="5"/>
        </w:numPr>
        <w:spacing w:line="360" w:lineRule="auto"/>
        <w:ind w:left="0" w:firstLine="480" w:firstLineChars="200"/>
        <w:rPr>
          <w:rFonts w:ascii="宋体" w:hAnsi="宋体"/>
          <w:color w:val="auto"/>
          <w:sz w:val="24"/>
          <w:highlight w:val="none"/>
        </w:rPr>
      </w:pPr>
      <w:r>
        <w:rPr>
          <w:rFonts w:hint="eastAsia" w:ascii="宋体" w:hAnsi="宋体"/>
          <w:color w:val="auto"/>
          <w:sz w:val="24"/>
          <w:highlight w:val="none"/>
        </w:rPr>
        <w:t>不同投标供应商委托同一单位或者个人办理报价事宜的；</w:t>
      </w:r>
    </w:p>
    <w:p>
      <w:pPr>
        <w:numPr>
          <w:ilvl w:val="0"/>
          <w:numId w:val="5"/>
        </w:numPr>
        <w:tabs>
          <w:tab w:val="left" w:pos="945"/>
          <w:tab w:val="clear" w:pos="900"/>
        </w:tabs>
        <w:spacing w:line="360" w:lineRule="auto"/>
        <w:ind w:left="0" w:firstLine="480" w:firstLineChars="200"/>
        <w:outlineLvl w:val="0"/>
        <w:rPr>
          <w:rFonts w:ascii="宋体" w:hAnsi="宋体"/>
          <w:color w:val="auto"/>
          <w:sz w:val="24"/>
          <w:szCs w:val="22"/>
          <w:highlight w:val="none"/>
        </w:rPr>
      </w:pPr>
      <w:r>
        <w:rPr>
          <w:rFonts w:hint="eastAsia" w:ascii="宋体" w:hAnsi="宋体"/>
          <w:color w:val="auto"/>
          <w:sz w:val="24"/>
          <w:szCs w:val="22"/>
          <w:highlight w:val="none"/>
        </w:rPr>
        <w:t>响应文件内容不全或不符合法律法规和磋商文件中规定的其他实质性要求的。</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评审程序、方法和标准：</w:t>
      </w:r>
    </w:p>
    <w:p>
      <w:pPr>
        <w:numPr>
          <w:ilvl w:val="1"/>
          <w:numId w:val="6"/>
        </w:numPr>
        <w:tabs>
          <w:tab w:val="left" w:pos="525"/>
          <w:tab w:val="left" w:pos="1050"/>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由专家及采购人代表组成磋商小组，并实行回避制度。</w:t>
      </w:r>
    </w:p>
    <w:p>
      <w:pPr>
        <w:numPr>
          <w:ilvl w:val="1"/>
          <w:numId w:val="6"/>
        </w:numPr>
        <w:tabs>
          <w:tab w:val="left" w:pos="525"/>
          <w:tab w:val="left" w:pos="1050"/>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响应文件的评审依据：</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2.1响应文件的纸质文件,正本与副本不符，以正本为准；</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2.2响应文件报价出现前后不一致的，除磋商文件另有规定外，按照下列规定修正：</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2.2.1响应文件中开标一览表（报价表）内容与响应文件中相应内容不一致的，以开标一览表（报价表）为准；</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2.2.2大写金额和小写金额不一致的，以大写金额为准；</w:t>
      </w:r>
    </w:p>
    <w:p>
      <w:pPr>
        <w:tabs>
          <w:tab w:val="left" w:pos="630"/>
          <w:tab w:val="left" w:pos="1155"/>
          <w:tab w:val="left" w:pos="1320"/>
          <w:tab w:val="left" w:pos="1365"/>
        </w:tabs>
        <w:spacing w:line="360" w:lineRule="auto"/>
        <w:ind w:firstLine="480" w:firstLineChars="200"/>
        <w:rPr>
          <w:rFonts w:hint="eastAsia" w:ascii="宋体" w:hAnsi="宋体" w:eastAsia="宋体"/>
          <w:bCs/>
          <w:color w:val="auto"/>
          <w:sz w:val="24"/>
          <w:highlight w:val="none"/>
          <w:lang w:eastAsia="zh-CN"/>
        </w:rPr>
      </w:pPr>
      <w:r>
        <w:rPr>
          <w:rFonts w:hint="eastAsia" w:ascii="宋体" w:hAnsi="宋体"/>
          <w:bCs/>
          <w:color w:val="auto"/>
          <w:sz w:val="24"/>
          <w:highlight w:val="none"/>
        </w:rPr>
        <w:t>2.2.3正本与副本不符，以正本为准</w:t>
      </w:r>
      <w:r>
        <w:rPr>
          <w:rFonts w:hint="eastAsia" w:ascii="宋体" w:hAnsi="宋体"/>
          <w:bCs/>
          <w:color w:val="auto"/>
          <w:sz w:val="24"/>
          <w:highlight w:val="none"/>
          <w:lang w:eastAsia="zh-CN"/>
        </w:rPr>
        <w:t>；</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2.2.4单价金额小数点或者百分比有明显错位的，以开标一览表的总价为准，并修改单价；</w:t>
      </w:r>
    </w:p>
    <w:p>
      <w:pPr>
        <w:tabs>
          <w:tab w:val="left" w:pos="630"/>
          <w:tab w:val="left" w:pos="1155"/>
          <w:tab w:val="left" w:pos="1320"/>
          <w:tab w:val="left" w:pos="136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2.2.5总价金额与按单价汇总金额不一致的，以单价金额计算结果为准。</w:t>
      </w:r>
    </w:p>
    <w:p>
      <w:pPr>
        <w:tabs>
          <w:tab w:val="left" w:pos="630"/>
          <w:tab w:val="left" w:pos="1155"/>
          <w:tab w:val="left" w:pos="1320"/>
          <w:tab w:val="left" w:pos="1365"/>
        </w:tabs>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同时出现两种以上不一致的，按照前款规定的顺序修正。修正后的报价经报价供应商确认后产生约束力，报价供应商不确认的，其磋商无效。</w:t>
      </w:r>
    </w:p>
    <w:p>
      <w:pPr>
        <w:numPr>
          <w:ilvl w:val="1"/>
          <w:numId w:val="6"/>
        </w:numPr>
        <w:tabs>
          <w:tab w:val="left" w:pos="525"/>
          <w:tab w:val="left" w:pos="840"/>
          <w:tab w:val="left" w:pos="1050"/>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磋商工作程序</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3.1 密封性审查：</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由投标供应商或其推选的代表检查响应文件的密封、签署、盖章情况，也可以由公证人员检查并公证；</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3.2初步资格性审查：</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由工作人员在公证或监督下，按照投标供应商签到时间顺序进行。审查内容有：</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3.2.1 投标供应商的响应文件是否规定的期限、地点送达；</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3.2.2</w:t>
      </w:r>
      <w:r>
        <w:rPr>
          <w:rFonts w:hint="eastAsia" w:ascii="宋体" w:hAnsi="宋体"/>
          <w:bCs/>
          <w:color w:val="auto"/>
          <w:sz w:val="24"/>
          <w:highlight w:val="none"/>
          <w:lang w:val="en-US" w:eastAsia="zh-CN"/>
        </w:rPr>
        <w:t xml:space="preserve"> </w:t>
      </w:r>
      <w:r>
        <w:rPr>
          <w:rFonts w:hint="eastAsia" w:ascii="宋体" w:hAnsi="宋体"/>
          <w:bCs/>
          <w:color w:val="auto"/>
          <w:sz w:val="24"/>
          <w:highlight w:val="none"/>
        </w:rPr>
        <w:t>投标供应商的法定代表人或授权代表是否准时参加开标会议。</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3.2.3 投标供应商的法定代表人授权代表是否提供有效的身份证明和法定代表人授权委托书</w:t>
      </w:r>
      <w:r>
        <w:rPr>
          <w:rFonts w:hint="eastAsia" w:ascii="宋体" w:hAnsi="宋体"/>
          <w:b/>
          <w:color w:val="auto"/>
          <w:sz w:val="24"/>
          <w:highlight w:val="none"/>
        </w:rPr>
        <w:t>。</w:t>
      </w:r>
    </w:p>
    <w:p>
      <w:pPr>
        <w:tabs>
          <w:tab w:val="left" w:pos="840"/>
          <w:tab w:val="left" w:pos="1050"/>
        </w:tabs>
        <w:spacing w:line="360" w:lineRule="auto"/>
        <w:ind w:firstLine="480" w:firstLineChars="200"/>
        <w:rPr>
          <w:rFonts w:ascii="宋体" w:hAnsi="宋体"/>
          <w:color w:val="auto"/>
          <w:sz w:val="24"/>
          <w:highlight w:val="none"/>
        </w:rPr>
      </w:pPr>
      <w:bookmarkStart w:id="1" w:name="OLE_LINK9"/>
      <w:r>
        <w:rPr>
          <w:rFonts w:hint="eastAsia" w:ascii="宋体" w:hAnsi="宋体"/>
          <w:color w:val="auto"/>
          <w:sz w:val="24"/>
          <w:highlight w:val="none"/>
        </w:rPr>
        <w:t>3.4对响应文件进行基础性数据分析和整理工作(清标)</w:t>
      </w:r>
    </w:p>
    <w:p>
      <w:pPr>
        <w:tabs>
          <w:tab w:val="left" w:pos="840"/>
          <w:tab w:val="left" w:pos="105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3.4.1在不改变投标供应商响应文件实质性内容的前提下，磋商小组应当对响应文件进行基础性数据分析和整理(简称为“清标”)，从而发现并提取其中可能存在的对招标范围理解的偏差、磋商报价的算术性错误、错漏项、磋商报价构成不合理、不平衡报价等存在明显异常的问题，并就这些问题整理形成清标成果。磋商小组对清标成果审议后，决定需要投标供应商进行澄清、说明或补正的问题，形成质疑问卷，向投标供应商发出问题澄清通知(包括质疑问卷)。</w:t>
      </w:r>
    </w:p>
    <w:p>
      <w:pPr>
        <w:tabs>
          <w:tab w:val="left" w:pos="840"/>
          <w:tab w:val="left" w:pos="1050"/>
        </w:tabs>
        <w:spacing w:line="360" w:lineRule="auto"/>
        <w:ind w:firstLine="480" w:firstLineChars="200"/>
        <w:rPr>
          <w:rFonts w:ascii="宋体" w:hAnsi="宋体"/>
          <w:bCs/>
          <w:color w:val="auto"/>
          <w:sz w:val="24"/>
          <w:highlight w:val="none"/>
        </w:rPr>
      </w:pPr>
      <w:r>
        <w:rPr>
          <w:rFonts w:hint="eastAsia" w:ascii="宋体" w:hAnsi="宋体"/>
          <w:color w:val="auto"/>
          <w:sz w:val="24"/>
          <w:highlight w:val="none"/>
        </w:rPr>
        <w:t>3.4.2投标供应商接到磋商小组发出的问题澄清通知后，应按磋商小组的要求提供澄清资料并在规定的时间递交。否则视为“不按磋商小组要求澄清、说明或补正”，按无效响应文件处理。</w:t>
      </w:r>
      <w:bookmarkEnd w:id="1"/>
    </w:p>
    <w:p>
      <w:pPr>
        <w:tabs>
          <w:tab w:val="left" w:pos="840"/>
          <w:tab w:val="left" w:pos="105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4.信用信息查询</w:t>
      </w:r>
    </w:p>
    <w:p>
      <w:pPr>
        <w:tabs>
          <w:tab w:val="left" w:pos="840"/>
          <w:tab w:val="left" w:pos="105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4.1采购人或采购代理机构在磋商前通过“信用中国”网站(https://www.creditchina.gov.cn/)、中国政府采购网(http://www.ccgp.gov.cn/)</w:t>
      </w:r>
      <w:r>
        <w:rPr>
          <w:rFonts w:hint="eastAsia" w:ascii="宋体" w:hAnsi="宋体"/>
          <w:color w:val="auto"/>
          <w:sz w:val="24"/>
          <w:highlight w:val="none"/>
          <w:lang w:eastAsia="zh-CN"/>
        </w:rPr>
        <w:t>、</w:t>
      </w:r>
      <w:r>
        <w:rPr>
          <w:rFonts w:hint="eastAsia" w:ascii="宋体" w:hAnsi="宋体" w:cs="宋体"/>
          <w:color w:val="auto"/>
          <w:kern w:val="0"/>
          <w:sz w:val="24"/>
          <w:szCs w:val="24"/>
          <w:highlight w:val="none"/>
        </w:rPr>
        <w:t>“信用江苏”网站（</w:t>
      </w:r>
      <w:r>
        <w:rPr>
          <w:rFonts w:hint="eastAsia" w:ascii="宋体" w:hAnsi="宋体" w:cs="宋体"/>
          <w:bCs/>
          <w:color w:val="auto"/>
          <w:sz w:val="24"/>
          <w:highlight w:val="none"/>
        </w:rPr>
        <w:t>http://credit.jiangsu.gov.cn</w:t>
      </w:r>
      <w:r>
        <w:rPr>
          <w:rFonts w:ascii="宋体" w:hAnsi="宋体" w:cs="宋体"/>
          <w:color w:val="auto"/>
          <w:kern w:val="0"/>
          <w:sz w:val="24"/>
          <w:highlight w:val="none"/>
        </w:rPr>
        <w:t>）</w:t>
      </w:r>
      <w:r>
        <w:rPr>
          <w:rFonts w:hint="eastAsia" w:ascii="宋体" w:hAnsi="宋体"/>
          <w:color w:val="auto"/>
          <w:sz w:val="24"/>
          <w:highlight w:val="none"/>
        </w:rPr>
        <w:t>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840"/>
          <w:tab w:val="left" w:pos="105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4.2采购人或采购代理机构通过相关渠道查询的供应商主体信用记录，与项目其他采购资料一并保存。</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 磋商、评审程序</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5.1响应文件资格性检查。</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5.1.1响应文件资格性检查由磋商小组负责。</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5.1.2依据法律法规和磋商文件的规定，对响应文件中的资格证明等进行审查，以确定供应商提供资格证明的合法性、真实性，是否具备投标资格。</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5.2响应文件符合性检查。</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5.2.1磋商小组应当对符合资格的投标供应商的响应文件进行符合性审查，以确定其是否满足磋商文件的实质性要求。</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澄清有关问题。磋商小组认为响应文件中有含义不明确、同类问题表述不一致或者有明显文字和计算错误的，应以书面形式提出询标内容，由招标工作人员传递给投标供应商授权代表。投标供应商授权代表应当以书面形式作出澄清、说明或者补正。明标部分由投标供应商加盖公章，或者由法定代表人或其授权的代表签字确认；投标供应商的澄清、说明或者补正不得超出响应文件的范围或者改变响应文件的实质性内容。</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5.4磋商小组讨论、确定磋商程序和磋商内容。</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5.5磋商小组集中与单一供应商分别进行磋商。磋商轮次由磋商小组视情况决定，</w:t>
      </w:r>
      <w:r>
        <w:rPr>
          <w:rFonts w:ascii="宋体" w:hAnsi="宋体" w:cs="宋体"/>
          <w:color w:val="auto"/>
          <w:sz w:val="24"/>
          <w:highlight w:val="none"/>
        </w:rPr>
        <w:t>磋商</w:t>
      </w:r>
      <w:r>
        <w:rPr>
          <w:rFonts w:hint="eastAsia" w:ascii="宋体" w:hAnsi="宋体" w:cs="宋体"/>
          <w:color w:val="auto"/>
          <w:sz w:val="24"/>
          <w:highlight w:val="none"/>
        </w:rPr>
        <w:t>顺序</w:t>
      </w:r>
      <w:r>
        <w:rPr>
          <w:rFonts w:ascii="宋体" w:hAnsi="宋体" w:cs="宋体"/>
          <w:color w:val="auto"/>
          <w:sz w:val="24"/>
          <w:highlight w:val="none"/>
        </w:rPr>
        <w:t>按投标签到表先后顺序进行</w:t>
      </w:r>
      <w:r>
        <w:rPr>
          <w:rFonts w:hint="eastAsia" w:ascii="宋体" w:hAnsi="宋体" w:cs="宋体"/>
          <w:color w:val="auto"/>
          <w:sz w:val="24"/>
          <w:highlight w:val="none"/>
        </w:rPr>
        <w:t>。</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5.6在磋商过程中，磋商小组可以根据磋商文件和磋商情况实质性变动采购需求中的技术、服务要求以及合同草案条款，但不得变动磋商文件中的其他内容。对磋商文件作出的实质性变动是磋商文件的有效组成部分。如有实质性变动，磋商小组将以书面形式通知所有参加磋商的供应商。供应商应当按照磋商文件的变动情况和磋商小组的要求在规定的时间内重新提交响应文件，并由其法定代表人或授权代表签字或者加盖公章。如有负偏离，将作为无效标处理。</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5.7 比较与评价</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5.7.1响应文件资格性检查和响应文件的符合性检查结束后，凡属于“（八）无效响应文件的确认”的响应文件不进入比较与评价程序。</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5.7.2 本项目对磋商小组对确定最终采购需求和提交最后报价的投标供应商采用综合评分法进行比较与评价。经评审有效的响应文件按磋商文件中规定的评标方法和标准，由磋商小组进行比较与评价。</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5.7.6 评标方法和主要因素：</w:t>
      </w:r>
    </w:p>
    <w:p>
      <w:pPr>
        <w:tabs>
          <w:tab w:val="left" w:pos="136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次评标采用综合评分法，即在最大限度地满足磋商文件实质性要求前提下，按照磋商文件中规定的各项因素进行综合评审后，按评审后得分由高到低顺序排列。得分相同的，按磋商报价由低到高顺序排列。得分且磋商报价相同的，按技术标指标优劣顺序排列。</w:t>
      </w:r>
    </w:p>
    <w:p>
      <w:pPr>
        <w:tabs>
          <w:tab w:val="left" w:pos="945"/>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6. 评分标准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综合评分法满分为100分，计分均保留2位小数。</w:t>
      </w:r>
    </w:p>
    <w:p>
      <w:pPr>
        <w:spacing w:line="360" w:lineRule="auto"/>
        <w:ind w:firstLine="426" w:firstLineChars="177"/>
        <w:rPr>
          <w:rFonts w:ascii="宋体" w:hAnsi="宋体" w:cs="宋体"/>
          <w:b/>
          <w:color w:val="auto"/>
          <w:sz w:val="24"/>
          <w:highlight w:val="none"/>
        </w:rPr>
      </w:pPr>
      <w:r>
        <w:rPr>
          <w:rFonts w:hint="eastAsia" w:ascii="宋体" w:hAnsi="宋体" w:cs="宋体"/>
          <w:b/>
          <w:color w:val="auto"/>
          <w:sz w:val="24"/>
          <w:highlight w:val="none"/>
        </w:rPr>
        <w:t>（一）评分项目及总分（总分100分）</w:t>
      </w:r>
    </w:p>
    <w:p>
      <w:pPr>
        <w:spacing w:line="360" w:lineRule="auto"/>
        <w:ind w:firstLine="424" w:firstLineChars="177"/>
        <w:rPr>
          <w:rFonts w:ascii="宋体" w:hAnsi="宋体" w:cs="宋体"/>
          <w:bCs/>
          <w:color w:val="auto"/>
          <w:sz w:val="24"/>
          <w:highlight w:val="none"/>
        </w:rPr>
      </w:pPr>
      <w:r>
        <w:rPr>
          <w:rFonts w:hint="eastAsia" w:ascii="宋体" w:hAnsi="宋体" w:cs="宋体"/>
          <w:bCs/>
          <w:color w:val="auto"/>
          <w:sz w:val="24"/>
          <w:highlight w:val="none"/>
        </w:rPr>
        <w:t>（1）报价                                    30分</w:t>
      </w:r>
    </w:p>
    <w:p>
      <w:pPr>
        <w:spacing w:line="360" w:lineRule="auto"/>
        <w:ind w:firstLine="424" w:firstLineChars="177"/>
        <w:rPr>
          <w:rFonts w:ascii="宋体" w:hAnsi="宋体" w:cs="宋体"/>
          <w:bCs/>
          <w:color w:val="auto"/>
          <w:sz w:val="24"/>
          <w:highlight w:val="none"/>
        </w:rPr>
      </w:pPr>
      <w:r>
        <w:rPr>
          <w:rFonts w:hint="eastAsia" w:ascii="宋体" w:hAnsi="宋体" w:cs="宋体"/>
          <w:bCs/>
          <w:color w:val="auto"/>
          <w:sz w:val="24"/>
          <w:highlight w:val="none"/>
        </w:rPr>
        <w:t>（2）报价供应商评价                          1</w:t>
      </w:r>
      <w:r>
        <w:rPr>
          <w:rFonts w:hint="eastAsia" w:ascii="宋体" w:hAnsi="宋体" w:cs="宋体"/>
          <w:bCs/>
          <w:color w:val="auto"/>
          <w:sz w:val="24"/>
          <w:highlight w:val="none"/>
          <w:lang w:val="en-US" w:eastAsia="zh-CN"/>
        </w:rPr>
        <w:t>0</w:t>
      </w:r>
      <w:r>
        <w:rPr>
          <w:rFonts w:hint="eastAsia" w:ascii="宋体" w:hAnsi="宋体" w:cs="宋体"/>
          <w:bCs/>
          <w:color w:val="auto"/>
          <w:sz w:val="24"/>
          <w:highlight w:val="none"/>
        </w:rPr>
        <w:t>分</w:t>
      </w:r>
    </w:p>
    <w:p>
      <w:pPr>
        <w:spacing w:line="360" w:lineRule="auto"/>
        <w:ind w:firstLine="424" w:firstLineChars="177"/>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项目负责人答辩                           5分</w:t>
      </w:r>
    </w:p>
    <w:p>
      <w:pPr>
        <w:spacing w:line="360" w:lineRule="auto"/>
        <w:ind w:firstLine="424" w:firstLineChars="177"/>
        <w:rPr>
          <w:rFonts w:ascii="宋体" w:hAnsi="宋体" w:cs="宋体"/>
          <w:bCs/>
          <w:color w:val="auto"/>
          <w:sz w:val="24"/>
          <w:highlight w:val="none"/>
        </w:rPr>
      </w:pPr>
      <w:r>
        <w:rPr>
          <w:rFonts w:hint="eastAsia" w:ascii="宋体" w:hAnsi="宋体" w:cs="宋体"/>
          <w:b w:val="0"/>
          <w:bCs/>
          <w:color w:val="auto"/>
          <w:sz w:val="24"/>
          <w:highlight w:val="none"/>
        </w:rPr>
        <w:t>（</w:t>
      </w:r>
      <w:r>
        <w:rPr>
          <w:rFonts w:hint="eastAsia" w:ascii="宋体" w:hAnsi="宋体" w:cs="宋体"/>
          <w:b w:val="0"/>
          <w:bCs/>
          <w:color w:val="auto"/>
          <w:sz w:val="24"/>
          <w:highlight w:val="none"/>
          <w:lang w:val="en-US" w:eastAsia="zh-CN"/>
        </w:rPr>
        <w:t>4</w:t>
      </w:r>
      <w:r>
        <w:rPr>
          <w:rFonts w:hint="eastAsia" w:ascii="宋体" w:hAnsi="宋体" w:cs="宋体"/>
          <w:b w:val="0"/>
          <w:bCs/>
          <w:color w:val="auto"/>
          <w:sz w:val="24"/>
          <w:highlight w:val="none"/>
        </w:rPr>
        <w:t xml:space="preserve">）技术文件  </w:t>
      </w:r>
      <w:r>
        <w:rPr>
          <w:rFonts w:hint="eastAsia" w:ascii="宋体" w:hAnsi="宋体" w:cs="宋体"/>
          <w:b/>
          <w:color w:val="auto"/>
          <w:sz w:val="24"/>
          <w:highlight w:val="none"/>
        </w:rPr>
        <w:t xml:space="preserve">                              </w:t>
      </w:r>
      <w:r>
        <w:rPr>
          <w:rFonts w:ascii="宋体" w:hAnsi="宋体" w:cs="宋体"/>
          <w:bCs/>
          <w:color w:val="auto"/>
          <w:sz w:val="24"/>
          <w:highlight w:val="none"/>
        </w:rPr>
        <w:t>5</w:t>
      </w:r>
      <w:r>
        <w:rPr>
          <w:rFonts w:hint="eastAsia" w:ascii="宋体" w:hAnsi="宋体" w:cs="宋体"/>
          <w:bCs/>
          <w:color w:val="auto"/>
          <w:sz w:val="24"/>
          <w:highlight w:val="none"/>
        </w:rPr>
        <w:t>5分</w:t>
      </w:r>
    </w:p>
    <w:p>
      <w:pPr>
        <w:spacing w:line="360" w:lineRule="auto"/>
        <w:ind w:firstLine="426" w:firstLineChars="177"/>
        <w:rPr>
          <w:rFonts w:ascii="宋体" w:hAnsi="宋体" w:cs="宋体"/>
          <w:b/>
          <w:bCs/>
          <w:color w:val="auto"/>
          <w:sz w:val="24"/>
          <w:highlight w:val="none"/>
        </w:rPr>
      </w:pPr>
      <w:r>
        <w:rPr>
          <w:rFonts w:hint="eastAsia" w:ascii="宋体" w:hAnsi="宋体" w:cs="宋体"/>
          <w:b/>
          <w:bCs/>
          <w:color w:val="auto"/>
          <w:sz w:val="24"/>
          <w:highlight w:val="none"/>
        </w:rPr>
        <w:t>（二）各项目评分标准：</w:t>
      </w:r>
    </w:p>
    <w:p>
      <w:pPr>
        <w:tabs>
          <w:tab w:val="left" w:pos="426"/>
        </w:tabs>
        <w:spacing w:line="360" w:lineRule="auto"/>
        <w:ind w:firstLine="482" w:firstLineChars="200"/>
        <w:rPr>
          <w:rFonts w:ascii="宋体" w:hAnsi="宋体" w:cs="宋体"/>
          <w:b/>
          <w:color w:val="auto"/>
          <w:sz w:val="24"/>
          <w:szCs w:val="28"/>
          <w:highlight w:val="none"/>
        </w:rPr>
      </w:pPr>
      <w:r>
        <w:rPr>
          <w:rFonts w:hint="eastAsia" w:ascii="宋体" w:hAnsi="宋体" w:cs="宋体"/>
          <w:b/>
          <w:color w:val="auto"/>
          <w:sz w:val="24"/>
          <w:szCs w:val="28"/>
          <w:highlight w:val="none"/>
        </w:rPr>
        <w:t>（1）报价（30分）</w:t>
      </w:r>
    </w:p>
    <w:p>
      <w:pPr>
        <w:tabs>
          <w:tab w:val="left" w:pos="945"/>
          <w:tab w:val="left" w:pos="1155"/>
        </w:tabs>
        <w:spacing w:line="360" w:lineRule="auto"/>
        <w:ind w:firstLine="566" w:firstLineChars="236"/>
        <w:rPr>
          <w:rFonts w:ascii="宋体" w:hAnsi="宋体"/>
          <w:bCs/>
          <w:color w:val="auto"/>
          <w:sz w:val="24"/>
          <w:highlight w:val="none"/>
        </w:rPr>
      </w:pPr>
      <w:r>
        <w:rPr>
          <w:rFonts w:hint="eastAsia" w:ascii="宋体" w:hAnsi="宋体"/>
          <w:bCs/>
          <w:color w:val="auto"/>
          <w:sz w:val="24"/>
          <w:highlight w:val="none"/>
        </w:rPr>
        <w:t>采用低价优先法计算，即满足采购文件要求且最</w:t>
      </w:r>
      <w:r>
        <w:rPr>
          <w:rFonts w:hint="eastAsia" w:ascii="宋体" w:hAnsi="宋体"/>
          <w:bCs/>
          <w:color w:val="auto"/>
          <w:sz w:val="24"/>
          <w:highlight w:val="none"/>
          <w:lang w:val="en-US" w:eastAsia="zh-CN"/>
        </w:rPr>
        <w:t>终</w:t>
      </w:r>
      <w:r>
        <w:rPr>
          <w:rFonts w:hint="eastAsia" w:ascii="宋体" w:hAnsi="宋体"/>
          <w:bCs/>
          <w:color w:val="auto"/>
          <w:sz w:val="24"/>
          <w:highlight w:val="none"/>
        </w:rPr>
        <w:t>报价最低的供应商报价为磋商基准价，其价格分为满分。其他供应商的价格分统一按照下列公式计算：</w:t>
      </w:r>
    </w:p>
    <w:p>
      <w:pPr>
        <w:tabs>
          <w:tab w:val="left" w:pos="945"/>
          <w:tab w:val="left" w:pos="1155"/>
        </w:tabs>
        <w:spacing w:line="360" w:lineRule="auto"/>
        <w:ind w:firstLine="566" w:firstLineChars="236"/>
        <w:rPr>
          <w:rFonts w:ascii="宋体" w:hAnsi="宋体"/>
          <w:bCs/>
          <w:color w:val="auto"/>
          <w:sz w:val="24"/>
          <w:highlight w:val="none"/>
        </w:rPr>
      </w:pPr>
      <w:r>
        <w:rPr>
          <w:rFonts w:hint="eastAsia" w:ascii="宋体" w:hAnsi="宋体"/>
          <w:bCs/>
          <w:color w:val="auto"/>
          <w:sz w:val="24"/>
          <w:highlight w:val="none"/>
        </w:rPr>
        <w:t>磋商报价得分=(磋商基准价／最</w:t>
      </w:r>
      <w:r>
        <w:rPr>
          <w:rFonts w:hint="eastAsia" w:ascii="宋体" w:hAnsi="宋体"/>
          <w:bCs/>
          <w:color w:val="auto"/>
          <w:sz w:val="24"/>
          <w:highlight w:val="none"/>
          <w:lang w:val="en-US" w:eastAsia="zh-CN"/>
        </w:rPr>
        <w:t>终</w:t>
      </w:r>
      <w:r>
        <w:rPr>
          <w:rFonts w:hint="eastAsia" w:ascii="宋体" w:hAnsi="宋体"/>
          <w:bCs/>
          <w:color w:val="auto"/>
          <w:sz w:val="24"/>
          <w:highlight w:val="none"/>
        </w:rPr>
        <w:t>磋商报价)×30。</w:t>
      </w:r>
    </w:p>
    <w:p>
      <w:pPr>
        <w:spacing w:line="360" w:lineRule="auto"/>
        <w:ind w:firstLine="480" w:firstLineChars="200"/>
        <w:rPr>
          <w:rFonts w:ascii="宋体" w:hAnsi="宋体" w:cs="宋体"/>
          <w:color w:val="auto"/>
          <w:sz w:val="24"/>
          <w:szCs w:val="28"/>
          <w:highlight w:val="none"/>
        </w:rPr>
      </w:pPr>
      <w:r>
        <w:rPr>
          <w:rFonts w:hint="eastAsia" w:ascii="宋体" w:hAnsi="宋体" w:cs="宋体"/>
          <w:color w:val="auto"/>
          <w:sz w:val="24"/>
          <w:szCs w:val="28"/>
          <w:highlight w:val="none"/>
        </w:rPr>
        <w:t>项目评审过程中，不得去掉最</w:t>
      </w:r>
      <w:r>
        <w:rPr>
          <w:rFonts w:hint="eastAsia" w:ascii="宋体" w:hAnsi="宋体" w:cs="宋体"/>
          <w:color w:val="auto"/>
          <w:sz w:val="24"/>
          <w:szCs w:val="28"/>
          <w:highlight w:val="none"/>
          <w:lang w:val="en-US" w:eastAsia="zh-CN"/>
        </w:rPr>
        <w:t>终</w:t>
      </w:r>
      <w:r>
        <w:rPr>
          <w:rFonts w:hint="eastAsia" w:ascii="宋体" w:hAnsi="宋体" w:cs="宋体"/>
          <w:color w:val="auto"/>
          <w:sz w:val="24"/>
          <w:szCs w:val="28"/>
          <w:highlight w:val="none"/>
        </w:rPr>
        <w:t>报价中的最高报价和最低报价。</w:t>
      </w:r>
    </w:p>
    <w:p>
      <w:pPr>
        <w:numPr>
          <w:ilvl w:val="0"/>
          <w:numId w:val="7"/>
        </w:num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报价供应商评价（最高得</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分）</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zh-CN"/>
        </w:rPr>
        <w:t>企业业绩（</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分)</w:t>
      </w:r>
      <w:r>
        <w:rPr>
          <w:rFonts w:hint="eastAsia" w:ascii="宋体" w:hAnsi="宋体" w:cs="宋体"/>
          <w:color w:val="auto"/>
          <w:sz w:val="24"/>
          <w:highlight w:val="none"/>
          <w:lang w:val="zh-CN"/>
        </w:rPr>
        <w:t>：供应商自20</w:t>
      </w:r>
      <w:r>
        <w:rPr>
          <w:rFonts w:hint="eastAsia" w:ascii="宋体" w:hAnsi="宋体" w:cs="宋体"/>
          <w:color w:val="auto"/>
          <w:sz w:val="24"/>
          <w:highlight w:val="none"/>
          <w:lang w:val="en-US" w:eastAsia="zh-CN"/>
        </w:rPr>
        <w:t>19</w:t>
      </w:r>
      <w:r>
        <w:rPr>
          <w:rFonts w:hint="eastAsia" w:ascii="宋体" w:hAnsi="宋体" w:cs="宋体"/>
          <w:color w:val="auto"/>
          <w:sz w:val="24"/>
          <w:highlight w:val="none"/>
          <w:lang w:val="zh-CN"/>
        </w:rPr>
        <w:t>年</w:t>
      </w:r>
      <w:r>
        <w:rPr>
          <w:rFonts w:hint="eastAsia" w:ascii="宋体" w:hAnsi="宋体" w:cs="宋体"/>
          <w:color w:val="auto"/>
          <w:sz w:val="24"/>
          <w:highlight w:val="none"/>
        </w:rPr>
        <w:t>1</w:t>
      </w:r>
      <w:r>
        <w:rPr>
          <w:rFonts w:hint="eastAsia" w:ascii="宋体" w:hAnsi="宋体" w:cs="宋体"/>
          <w:color w:val="auto"/>
          <w:sz w:val="24"/>
          <w:highlight w:val="none"/>
          <w:lang w:val="zh-CN"/>
        </w:rPr>
        <w:t>月1日以来承担过类似业绩的每个得</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val="zh-CN"/>
        </w:rPr>
        <w:t>分，最多得</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val="zh-CN"/>
        </w:rPr>
        <w:t>分。</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类似工程业绩要求提供：施工合同复印件，复印件须加盖报价供应商公章，并装订入响应文件补充证明文件部分，</w:t>
      </w:r>
      <w:r>
        <w:rPr>
          <w:rFonts w:hint="eastAsia" w:ascii="宋体" w:hAnsi="宋体" w:cs="宋体"/>
          <w:color w:val="auto"/>
          <w:sz w:val="24"/>
          <w:highlight w:val="none"/>
        </w:rPr>
        <w:t>磋商</w:t>
      </w:r>
      <w:r>
        <w:rPr>
          <w:rFonts w:hint="eastAsia" w:ascii="宋体" w:hAnsi="宋体" w:cs="宋体"/>
          <w:color w:val="auto"/>
          <w:sz w:val="24"/>
          <w:highlight w:val="none"/>
          <w:lang w:val="zh-CN"/>
        </w:rPr>
        <w:t>时提供施工合同原件，不提供或缺任意一项不得分，类似业绩时间以合同的签订时间为准。</w:t>
      </w:r>
    </w:p>
    <w:p>
      <w:pPr>
        <w:numPr>
          <w:ilvl w:val="0"/>
          <w:numId w:val="8"/>
        </w:numPr>
        <w:spacing w:line="360" w:lineRule="auto"/>
        <w:ind w:firstLine="480" w:firstLineChars="200"/>
        <w:rPr>
          <w:rFonts w:hint="eastAsia" w:ascii="宋体" w:hAnsi="宋体" w:cs="宋体"/>
          <w:color w:val="auto"/>
          <w:sz w:val="24"/>
          <w:highlight w:val="none"/>
        </w:rPr>
      </w:pPr>
      <w:bookmarkStart w:id="2" w:name="_Hlk520667889"/>
      <w:r>
        <w:rPr>
          <w:rFonts w:hint="eastAsia" w:ascii="宋体" w:hAnsi="宋体" w:cs="宋体"/>
          <w:color w:val="auto"/>
          <w:sz w:val="24"/>
          <w:highlight w:val="none"/>
        </w:rPr>
        <w:t>项目管理班子人员配备要求：</w:t>
      </w:r>
      <w:bookmarkEnd w:id="2"/>
    </w:p>
    <w:p>
      <w:pPr>
        <w:numPr>
          <w:ilvl w:val="0"/>
          <w:numId w:val="0"/>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项目管理人员中配备技术人员：</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①技术负责人：具备中级工程师及以上技术职称；</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②安全员：具备安全员证书；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③预算员：具备二级造价工程师及以上执业资格，需同时提供执业证书及注册证书；</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以上人员</w:t>
      </w:r>
      <w:r>
        <w:rPr>
          <w:rFonts w:hint="eastAsia" w:ascii="宋体" w:hAnsi="宋体" w:cs="宋体"/>
          <w:color w:val="auto"/>
          <w:sz w:val="24"/>
          <w:highlight w:val="none"/>
          <w:lang w:eastAsia="zh-CN"/>
        </w:rPr>
        <w:t>有一个得</w:t>
      </w:r>
      <w:r>
        <w:rPr>
          <w:rFonts w:hint="eastAsia" w:ascii="宋体" w:hAnsi="宋体" w:cs="宋体"/>
          <w:color w:val="auto"/>
          <w:sz w:val="24"/>
          <w:highlight w:val="none"/>
          <w:lang w:val="en-US" w:eastAsia="zh-CN"/>
        </w:rPr>
        <w:t>1分，最多3分。</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注：同一专业限评一人且同一人员不重复计分，提供上述技术人员相关证书或证明材料原件或公证件、专业技术人员与报价供应商企业签订的劳动合同原件、法定的社保收缴部门出具由报价供应商本企业为专业技术人员依法缴纳的2022年2月-2022年4月的社会保障资金的相关材料（提供相关主管部门证明或银行代扣证明），上述材料复印件或扫描件加盖供应商公章装订入响应文件中，磋商时提供原件或公证件，上述材料不提供或提供不全不得分。（如报价供应商成立时间迟于要求开始的时间，则提供成立时间至磋商文件中社保要求的截止时间内的社保缴费证明）</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3)</w:t>
      </w:r>
      <w:r>
        <w:rPr>
          <w:rFonts w:hint="eastAsia" w:ascii="宋体" w:hAnsi="宋体" w:cs="宋体"/>
          <w:color w:val="auto"/>
          <w:sz w:val="24"/>
          <w:highlight w:val="none"/>
          <w:lang w:val="zh-CN"/>
        </w:rPr>
        <w:t>报价供应商具有有效期内的质量管理体系认证证书、环境管理体系认证证书、职业安全健康管理体系认证证书的，</w:t>
      </w:r>
      <w:r>
        <w:rPr>
          <w:rFonts w:hint="eastAsia" w:ascii="宋体" w:hAnsi="宋体" w:cs="宋体"/>
          <w:color w:val="auto"/>
          <w:sz w:val="24"/>
          <w:highlight w:val="none"/>
          <w:lang w:val="en-US" w:eastAsia="zh-CN"/>
        </w:rPr>
        <w:t>有一个</w:t>
      </w:r>
      <w:r>
        <w:rPr>
          <w:rFonts w:hint="eastAsia" w:ascii="宋体" w:hAnsi="宋体" w:cs="宋体"/>
          <w:color w:val="auto"/>
          <w:sz w:val="24"/>
          <w:highlight w:val="none"/>
          <w:lang w:val="zh-CN"/>
        </w:rPr>
        <w:t>得</w:t>
      </w:r>
      <w:r>
        <w:rPr>
          <w:rFonts w:hint="eastAsia" w:ascii="宋体" w:hAnsi="宋体" w:cs="宋体"/>
          <w:color w:val="auto"/>
          <w:sz w:val="24"/>
          <w:highlight w:val="none"/>
        </w:rPr>
        <w:t>1分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最多得3分</w:t>
      </w:r>
      <w:r>
        <w:rPr>
          <w:rFonts w:hint="eastAsia" w:ascii="宋体" w:hAnsi="宋体" w:cs="宋体"/>
          <w:color w:val="auto"/>
          <w:sz w:val="24"/>
          <w:highlight w:val="none"/>
        </w:rPr>
        <w:t>。</w:t>
      </w:r>
      <w:r>
        <w:rPr>
          <w:rFonts w:hint="eastAsia" w:ascii="宋体" w:hAnsi="宋体" w:cs="宋体"/>
          <w:color w:val="auto"/>
          <w:sz w:val="24"/>
          <w:highlight w:val="none"/>
          <w:lang w:val="zh-CN"/>
        </w:rPr>
        <w:t>（响应文件中提供证书复印件加盖公章，磋商时须提供原件，不提供不得分）。</w:t>
      </w:r>
    </w:p>
    <w:p>
      <w:pPr>
        <w:spacing w:line="360" w:lineRule="auto"/>
        <w:rPr>
          <w:rFonts w:hint="eastAsia" w:ascii="宋体" w:hAnsi="宋体" w:cs="宋体"/>
          <w:b/>
          <w:color w:val="auto"/>
          <w:sz w:val="24"/>
          <w:highlight w:val="none"/>
          <w:lang w:val="en-US" w:eastAsia="zh-CN"/>
        </w:rPr>
      </w:pP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项目负责人答辩（5分）：</w:t>
      </w:r>
    </w:p>
    <w:p>
      <w:pPr>
        <w:spacing w:line="360" w:lineRule="auto"/>
        <w:ind w:firstLine="480" w:firstLineChars="200"/>
        <w:rPr>
          <w:rFonts w:hint="default" w:ascii="宋体" w:hAnsi="宋体" w:cs="宋体"/>
          <w:b w:val="0"/>
          <w:bCs/>
          <w:color w:val="auto"/>
          <w:sz w:val="24"/>
          <w:highlight w:val="none"/>
          <w:lang w:val="en-US" w:eastAsia="zh-CN"/>
        </w:rPr>
      </w:pPr>
      <w:r>
        <w:rPr>
          <w:rFonts w:hint="eastAsia" w:ascii="宋体" w:hAnsi="宋体" w:cs="宋体"/>
          <w:b w:val="0"/>
          <w:bCs/>
          <w:color w:val="auto"/>
          <w:sz w:val="24"/>
          <w:highlight w:val="none"/>
          <w:lang w:val="en-US" w:eastAsia="zh-CN"/>
        </w:rPr>
        <w:t>由磋商小组现场以书面形式出题（2题，每题2.5分），答辩的题目应结合本项目特点。答辩时间不超过15分钟。请投标供应商拟派项目负责人携带本人的身份证原件参加答辩。若因项目负责人未按规定的时间、地点参加答辩或未递交身份证原件的，采购人将拒绝其参加项目负责人答辩，本评分项“项目负责人答辩”得分为0分。</w:t>
      </w:r>
    </w:p>
    <w:p>
      <w:pPr>
        <w:spacing w:line="360" w:lineRule="auto"/>
        <w:ind w:firstLine="482" w:firstLineChars="200"/>
        <w:rPr>
          <w:rFonts w:hint="eastAsia" w:ascii="宋体" w:hAnsi="宋体" w:cs="宋体"/>
          <w:b/>
          <w:color w:val="auto"/>
          <w:sz w:val="24"/>
          <w:highlight w:val="none"/>
        </w:rPr>
      </w:pPr>
      <w:r>
        <w:rPr>
          <w:rFonts w:hint="eastAsia" w:ascii="宋体" w:hAnsi="宋体"/>
          <w:b/>
          <w:color w:val="auto"/>
          <w:sz w:val="24"/>
          <w:highlight w:val="none"/>
          <w:lang w:val="en-US" w:eastAsia="zh-CN"/>
        </w:rPr>
        <w:t>注：因</w:t>
      </w:r>
      <w:r>
        <w:rPr>
          <w:rFonts w:hint="eastAsia" w:ascii="宋体" w:hAnsi="宋体" w:eastAsia="宋体" w:cs="宋体"/>
          <w:b/>
          <w:bCs/>
          <w:color w:val="auto"/>
          <w:sz w:val="24"/>
          <w:highlight w:val="none"/>
        </w:rPr>
        <w:t>疫情防控</w:t>
      </w:r>
      <w:r>
        <w:rPr>
          <w:rFonts w:hint="eastAsia" w:ascii="宋体" w:hAnsi="宋体" w:cs="宋体"/>
          <w:b/>
          <w:bCs/>
          <w:color w:val="auto"/>
          <w:sz w:val="24"/>
          <w:highlight w:val="none"/>
          <w:lang w:val="en-US" w:eastAsia="zh-CN"/>
        </w:rPr>
        <w:t>需要，</w:t>
      </w:r>
      <w:r>
        <w:rPr>
          <w:rFonts w:hint="eastAsia" w:ascii="宋体" w:hAnsi="宋体" w:eastAsia="宋体" w:cs="宋体"/>
          <w:b/>
          <w:bCs/>
          <w:color w:val="auto"/>
          <w:sz w:val="24"/>
          <w:highlight w:val="none"/>
          <w:lang w:val="en-US" w:eastAsia="zh-CN"/>
        </w:rPr>
        <w:t>根据锡财购函【2021】3号《关于近期政府采购领域疫情防控有关要求的通知》要求，参加政府采购活动的供应商代表（</w:t>
      </w:r>
      <w:r>
        <w:rPr>
          <w:rFonts w:hint="eastAsia" w:ascii="宋体" w:hAnsi="宋体" w:eastAsia="宋体" w:cs="宋体"/>
          <w:b/>
          <w:bCs/>
          <w:color w:val="auto"/>
          <w:sz w:val="24"/>
          <w:highlight w:val="none"/>
        </w:rPr>
        <w:t>委派人数</w:t>
      </w:r>
      <w:r>
        <w:rPr>
          <w:rFonts w:hint="eastAsia" w:ascii="宋体" w:hAnsi="宋体" w:eastAsia="宋体" w:cs="宋体"/>
          <w:b/>
          <w:bCs/>
          <w:color w:val="auto"/>
          <w:sz w:val="24"/>
          <w:highlight w:val="none"/>
          <w:lang w:val="en-US" w:eastAsia="zh-CN"/>
        </w:rPr>
        <w:t>为1</w:t>
      </w:r>
      <w:r>
        <w:rPr>
          <w:rFonts w:hint="eastAsia" w:ascii="宋体" w:hAnsi="宋体" w:eastAsia="宋体" w:cs="宋体"/>
          <w:b/>
          <w:bCs/>
          <w:color w:val="auto"/>
          <w:sz w:val="24"/>
          <w:highlight w:val="none"/>
        </w:rPr>
        <w:t>人</w:t>
      </w:r>
      <w:r>
        <w:rPr>
          <w:rFonts w:hint="eastAsia" w:ascii="宋体" w:hAnsi="宋体" w:eastAsia="宋体" w:cs="宋体"/>
          <w:b/>
          <w:bCs/>
          <w:color w:val="auto"/>
          <w:sz w:val="24"/>
          <w:highlight w:val="none"/>
          <w:lang w:val="en-US" w:eastAsia="zh-CN"/>
        </w:rPr>
        <w:t>）</w:t>
      </w:r>
      <w:r>
        <w:rPr>
          <w:rFonts w:hint="eastAsia" w:ascii="宋体" w:hAnsi="宋体" w:cs="宋体"/>
          <w:b/>
          <w:bCs/>
          <w:color w:val="auto"/>
          <w:sz w:val="24"/>
          <w:highlight w:val="none"/>
          <w:lang w:val="en-US" w:eastAsia="zh-CN"/>
        </w:rPr>
        <w:t>。参加本项目答辩</w:t>
      </w:r>
      <w:r>
        <w:rPr>
          <w:rFonts w:hint="eastAsia" w:ascii="宋体" w:hAnsi="宋体" w:eastAsia="宋体" w:cs="宋体"/>
          <w:b/>
          <w:bCs/>
          <w:color w:val="auto"/>
          <w:sz w:val="24"/>
          <w:highlight w:val="none"/>
          <w:lang w:val="en-US" w:eastAsia="zh-CN"/>
        </w:rPr>
        <w:t>的项目负责人须</w:t>
      </w:r>
      <w:r>
        <w:rPr>
          <w:rFonts w:hint="eastAsia" w:ascii="宋体" w:hAnsi="宋体" w:cs="宋体"/>
          <w:b/>
          <w:bCs/>
          <w:color w:val="auto"/>
          <w:sz w:val="24"/>
          <w:highlight w:val="none"/>
          <w:lang w:val="en-US" w:eastAsia="zh-CN"/>
        </w:rPr>
        <w:t>和授权委托人</w:t>
      </w:r>
      <w:r>
        <w:rPr>
          <w:rFonts w:hint="eastAsia" w:ascii="宋体" w:hAnsi="宋体" w:eastAsia="宋体" w:cs="宋体"/>
          <w:b/>
          <w:bCs/>
          <w:color w:val="auto"/>
          <w:sz w:val="24"/>
          <w:highlight w:val="none"/>
          <w:lang w:val="en-US" w:eastAsia="zh-CN"/>
        </w:rPr>
        <w:t>为同一人</w:t>
      </w:r>
      <w:r>
        <w:rPr>
          <w:rFonts w:hint="eastAsia" w:ascii="宋体" w:hAnsi="宋体" w:cs="宋体"/>
          <w:b/>
          <w:bCs/>
          <w:color w:val="auto"/>
          <w:sz w:val="24"/>
          <w:highlight w:val="none"/>
          <w:lang w:val="en-US" w:eastAsia="zh-CN"/>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）技术文件（55分）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 xml:space="preserve">1）总体概述：施工组织总体设想、方案针对性及施工段划分     10分  </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2）施工进度计划和各阶段进度的保证措施                     9分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3）各分部分项工程的施工方案及质量保证措施                 9分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4）安全保障措施                                           9分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5）文明施工及环境保护（降尘降噪）措施                     9分</w:t>
      </w:r>
    </w:p>
    <w:p>
      <w:pPr>
        <w:spacing w:line="360" w:lineRule="auto"/>
        <w:ind w:firstLine="480" w:firstLineChars="200"/>
        <w:rPr>
          <w:rFonts w:ascii="宋体" w:hAnsi="宋体" w:cs="宋体"/>
          <w:color w:val="auto"/>
          <w:kern w:val="0"/>
          <w:sz w:val="24"/>
          <w:highlight w:val="none"/>
        </w:rPr>
      </w:pPr>
      <w:r>
        <w:rPr>
          <w:rFonts w:hint="eastAsia" w:ascii="宋体" w:hAnsi="宋体"/>
          <w:bCs/>
          <w:color w:val="auto"/>
          <w:sz w:val="24"/>
          <w:highlight w:val="none"/>
        </w:rPr>
        <w:t>6）劳动力、机械设备和材料投入计划                         9分</w:t>
      </w:r>
    </w:p>
    <w:p>
      <w:pPr>
        <w:pStyle w:val="16"/>
        <w:spacing w:line="360" w:lineRule="auto"/>
        <w:ind w:firstLine="482"/>
        <w:rPr>
          <w:rFonts w:ascii="宋体" w:hAnsi="宋体"/>
          <w:b/>
          <w:bCs/>
          <w:color w:val="auto"/>
          <w:sz w:val="24"/>
          <w:szCs w:val="22"/>
          <w:highlight w:val="none"/>
        </w:rPr>
      </w:pPr>
      <w:r>
        <w:rPr>
          <w:rFonts w:hint="eastAsia" w:ascii="宋体" w:hAnsi="宋体"/>
          <w:b/>
          <w:bCs/>
          <w:color w:val="auto"/>
          <w:sz w:val="24"/>
          <w:highlight w:val="none"/>
        </w:rPr>
        <w:t>除技术文件编制粗糙，缺漏项较多外，评委一般按照下列评分幅度对施工组织设计进行评分</w:t>
      </w:r>
      <w:r>
        <w:rPr>
          <w:rFonts w:hint="eastAsia" w:ascii="宋体" w:hAnsi="宋体"/>
          <w:b/>
          <w:bCs/>
          <w:color w:val="auto"/>
          <w:sz w:val="24"/>
          <w:szCs w:val="22"/>
          <w:highlight w:val="none"/>
        </w:rPr>
        <w:t>：</w:t>
      </w:r>
      <w:r>
        <w:rPr>
          <w:rFonts w:hint="eastAsia" w:cs="仿宋" w:asciiTheme="minorEastAsia" w:hAnsiTheme="minorEastAsia" w:eastAsiaTheme="minorEastAsia"/>
          <w:b/>
          <w:bCs/>
          <w:color w:val="auto"/>
          <w:sz w:val="24"/>
          <w:highlight w:val="none"/>
        </w:rPr>
        <w:t>90%≤优≤100%；80%≤良＜90%；70%≤中＜80%；60%≤合格＜70%</w:t>
      </w:r>
      <w:r>
        <w:rPr>
          <w:rFonts w:hint="eastAsia" w:ascii="宋体" w:hAnsi="宋体"/>
          <w:b/>
          <w:bCs/>
          <w:color w:val="auto"/>
          <w:sz w:val="24"/>
          <w:szCs w:val="22"/>
          <w:highlight w:val="none"/>
        </w:rPr>
        <w:t>。（取所有评委打分分值的平均值）</w:t>
      </w:r>
    </w:p>
    <w:p>
      <w:pPr>
        <w:pStyle w:val="16"/>
        <w:spacing w:line="360" w:lineRule="auto"/>
        <w:ind w:firstLine="482"/>
        <w:rPr>
          <w:bCs/>
          <w:color w:val="auto"/>
          <w:sz w:val="24"/>
          <w:highlight w:val="none"/>
        </w:rPr>
      </w:pPr>
      <w:r>
        <w:rPr>
          <w:rFonts w:hint="eastAsia"/>
          <w:b/>
          <w:bCs/>
          <w:color w:val="auto"/>
          <w:sz w:val="24"/>
          <w:szCs w:val="20"/>
          <w:highlight w:val="none"/>
        </w:rPr>
        <w:t>加分因素（2分）：</w:t>
      </w:r>
      <w:r>
        <w:rPr>
          <w:rFonts w:hint="eastAsia" w:hAnsi="宋体"/>
          <w:color w:val="auto"/>
          <w:sz w:val="24"/>
          <w:highlight w:val="none"/>
        </w:rPr>
        <w:t>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强制采购的产品除外。</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确定成交供应商：</w:t>
      </w:r>
    </w:p>
    <w:p>
      <w:pPr>
        <w:numPr>
          <w:ilvl w:val="0"/>
          <w:numId w:val="9"/>
        </w:numPr>
        <w:tabs>
          <w:tab w:val="right" w:pos="180"/>
          <w:tab w:val="left" w:pos="525"/>
          <w:tab w:val="left" w:pos="570"/>
          <w:tab w:val="left" w:pos="945"/>
          <w:tab w:val="left" w:pos="3398"/>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磋商小组根据磋商文件规定的评审方法和评分标准进行评审，按磋商文件的要求依法推荐成交供应商。自评审结束之日起2个工作日内将评审报告送交采购人。采购人自收到评审报告之日起5个工作日内按磋商文件的要求，在评审报告推荐的成交候选单位中，依法确定成交供应商。采购代理机构自成交供应商确定之日起2个工作日内，发出成交通知书，并在媒体上发布成交结果公告。采购代理机构和磋商小组对未成交原因不做解释。如有质疑，按《中华人民共和国政府采购法》等有关法规处理。</w:t>
      </w:r>
    </w:p>
    <w:p>
      <w:pPr>
        <w:numPr>
          <w:ilvl w:val="0"/>
          <w:numId w:val="9"/>
        </w:numPr>
        <w:tabs>
          <w:tab w:val="right" w:pos="180"/>
          <w:tab w:val="left" w:pos="525"/>
          <w:tab w:val="left" w:pos="570"/>
          <w:tab w:val="left" w:pos="945"/>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磋商、评审及成交的整个过程均由无锡市梁溪区财政局的监督。</w:t>
      </w:r>
    </w:p>
    <w:p>
      <w:pPr>
        <w:numPr>
          <w:ilvl w:val="0"/>
          <w:numId w:val="9"/>
        </w:numPr>
        <w:tabs>
          <w:tab w:val="right" w:pos="180"/>
          <w:tab w:val="left" w:pos="525"/>
          <w:tab w:val="left" w:pos="570"/>
          <w:tab w:val="left" w:pos="945"/>
          <w:tab w:val="left" w:pos="3398"/>
        </w:tabs>
        <w:spacing w:line="360" w:lineRule="auto"/>
        <w:ind w:left="0" w:firstLine="480" w:firstLineChars="200"/>
        <w:rPr>
          <w:rFonts w:ascii="宋体" w:hAnsi="宋体"/>
          <w:bCs/>
          <w:color w:val="auto"/>
          <w:sz w:val="24"/>
          <w:highlight w:val="none"/>
        </w:rPr>
      </w:pPr>
      <w:r>
        <w:rPr>
          <w:rFonts w:hint="eastAsia" w:ascii="宋体" w:hAnsi="宋体"/>
          <w:bCs/>
          <w:color w:val="auto"/>
          <w:sz w:val="24"/>
          <w:highlight w:val="none"/>
        </w:rPr>
        <w:t>在发布成交公告的同时，采购代理机构将向成交供应商发出成交通知书。</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采购终止：</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在竞争性磋商采购中，出现下列情况之一的，本次采购活动终止：</w:t>
      </w:r>
    </w:p>
    <w:p>
      <w:pPr>
        <w:numPr>
          <w:ilvl w:val="0"/>
          <w:numId w:val="10"/>
        </w:numPr>
        <w:tabs>
          <w:tab w:val="right" w:pos="180"/>
          <w:tab w:val="left" w:pos="525"/>
          <w:tab w:val="left" w:pos="945"/>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因情况变化，不再符合规定的竞争性磋商采购方式适用情形的；</w:t>
      </w:r>
    </w:p>
    <w:p>
      <w:pPr>
        <w:numPr>
          <w:ilvl w:val="0"/>
          <w:numId w:val="10"/>
        </w:numPr>
        <w:tabs>
          <w:tab w:val="left" w:pos="525"/>
          <w:tab w:val="left" w:pos="945"/>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出现影响采购公正的违法、违规行为的；</w:t>
      </w:r>
    </w:p>
    <w:p>
      <w:pPr>
        <w:numPr>
          <w:ilvl w:val="0"/>
          <w:numId w:val="10"/>
        </w:numPr>
        <w:tabs>
          <w:tab w:val="left" w:pos="525"/>
          <w:tab w:val="left" w:pos="945"/>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在采购过程中符合要求的供应商不足</w:t>
      </w:r>
      <w:r>
        <w:rPr>
          <w:rFonts w:ascii="宋体" w:hAnsi="宋体"/>
          <w:bCs/>
          <w:color w:val="auto"/>
          <w:sz w:val="24"/>
          <w:highlight w:val="none"/>
        </w:rPr>
        <w:t>3</w:t>
      </w:r>
      <w:r>
        <w:rPr>
          <w:rFonts w:hint="eastAsia" w:ascii="宋体" w:hAnsi="宋体"/>
          <w:bCs/>
          <w:color w:val="auto"/>
          <w:sz w:val="24"/>
          <w:highlight w:val="none"/>
        </w:rPr>
        <w:t>家的；</w:t>
      </w:r>
    </w:p>
    <w:p>
      <w:pPr>
        <w:numPr>
          <w:ilvl w:val="0"/>
          <w:numId w:val="10"/>
        </w:numPr>
        <w:tabs>
          <w:tab w:val="left" w:pos="525"/>
          <w:tab w:val="left" w:pos="945"/>
        </w:tabs>
        <w:spacing w:line="360" w:lineRule="auto"/>
        <w:ind w:left="0" w:firstLine="523" w:firstLineChars="218"/>
        <w:rPr>
          <w:rFonts w:ascii="宋体" w:hAnsi="宋体"/>
          <w:bCs/>
          <w:color w:val="auto"/>
          <w:sz w:val="24"/>
          <w:highlight w:val="none"/>
        </w:rPr>
      </w:pPr>
      <w:r>
        <w:rPr>
          <w:rFonts w:hint="eastAsia" w:ascii="宋体" w:hAnsi="宋体"/>
          <w:bCs/>
          <w:color w:val="auto"/>
          <w:sz w:val="24"/>
          <w:highlight w:val="none"/>
        </w:rPr>
        <w:t>在采购活动中因重大变故，采购任务取消的。</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处罚：</w:t>
      </w:r>
    </w:p>
    <w:p>
      <w:pPr>
        <w:tabs>
          <w:tab w:val="right" w:pos="525"/>
          <w:tab w:val="left" w:pos="1155"/>
        </w:tabs>
        <w:spacing w:line="360" w:lineRule="auto"/>
        <w:ind w:left="-4" w:leftChars="-2" w:firstLine="480" w:firstLineChars="200"/>
        <w:rPr>
          <w:rFonts w:ascii="宋体" w:hAnsi="宋体"/>
          <w:bCs/>
          <w:color w:val="auto"/>
          <w:sz w:val="24"/>
          <w:szCs w:val="20"/>
          <w:highlight w:val="none"/>
        </w:rPr>
      </w:pPr>
      <w:r>
        <w:rPr>
          <w:rFonts w:hint="eastAsia" w:ascii="宋体" w:hAnsi="宋体"/>
          <w:bCs/>
          <w:color w:val="auto"/>
          <w:sz w:val="24"/>
          <w:szCs w:val="20"/>
          <w:highlight w:val="none"/>
        </w:rPr>
        <w:t>1. 成交供应商有下列情形之一的，情节严重的，由财政部门将其列入不良行为记录名单，在一至三年内禁止参加政府采购活动，并予以通报：</w:t>
      </w:r>
    </w:p>
    <w:p>
      <w:pPr>
        <w:tabs>
          <w:tab w:val="left" w:pos="735"/>
          <w:tab w:val="left" w:pos="1365"/>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（1）成交后无正当理由不与采购人签订合同的；</w:t>
      </w:r>
    </w:p>
    <w:p>
      <w:pPr>
        <w:tabs>
          <w:tab w:val="left" w:pos="735"/>
          <w:tab w:val="left" w:pos="1365"/>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（2）将成交项目转让给他人，或者在响应文件中未说明，且未经过采购人同意，将成交项目分包给他人的；</w:t>
      </w:r>
    </w:p>
    <w:p>
      <w:pPr>
        <w:tabs>
          <w:tab w:val="left" w:pos="735"/>
          <w:tab w:val="left" w:pos="1365"/>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（3）拒绝履行合同义务的。</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成交无效的确认：</w:t>
      </w:r>
    </w:p>
    <w:p>
      <w:pPr>
        <w:tabs>
          <w:tab w:val="left" w:pos="735"/>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（1）提供虚假材料谋取成交的；</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（2）采取不正当手段诋毁、排挤其他供应商的；</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（3）与采购人、其他供应商恶意串通的；</w:t>
      </w:r>
    </w:p>
    <w:p>
      <w:pPr>
        <w:tabs>
          <w:tab w:val="left" w:pos="1140"/>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（4）向采购人行贿或者提供其他不正当利益的；</w:t>
      </w:r>
    </w:p>
    <w:p>
      <w:pPr>
        <w:tabs>
          <w:tab w:val="left" w:pos="1140"/>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（5）在磋商过程中与采购人进行协商谈判、不按照磋商文件和成交供应商的响应文件订立合同，或者与采购人另行订立背离合同实质性内容的协议的；</w:t>
      </w:r>
    </w:p>
    <w:p>
      <w:pPr>
        <w:tabs>
          <w:tab w:val="left" w:pos="1140"/>
        </w:tabs>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（6）拒绝有关部门监督检查或者提供虚假情况的。</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供应商有上述（1）至（5）项情形之一的，成交无效。有上述（1）至（6）项情形之一的，处以政府采购项目成交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签订、履行合同：</w:t>
      </w:r>
    </w:p>
    <w:p>
      <w:pPr>
        <w:tabs>
          <w:tab w:val="left" w:pos="780"/>
          <w:tab w:val="left" w:pos="1050"/>
          <w:tab w:val="left" w:pos="1140"/>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1.采购人委托代建公司“</w:t>
      </w:r>
      <w:r>
        <w:rPr>
          <w:rFonts w:hint="eastAsia" w:ascii="宋体" w:hAnsi="宋体"/>
          <w:bCs/>
          <w:color w:val="auto"/>
          <w:sz w:val="24"/>
          <w:highlight w:val="none"/>
          <w:lang w:eastAsia="zh-CN"/>
        </w:rPr>
        <w:t>无锡市</w:t>
      </w:r>
      <w:r>
        <w:rPr>
          <w:rFonts w:hint="eastAsia" w:ascii="宋体" w:hAnsi="宋体"/>
          <w:bCs/>
          <w:color w:val="auto"/>
          <w:sz w:val="24"/>
          <w:highlight w:val="none"/>
          <w:lang w:val="en-US" w:eastAsia="zh-CN"/>
        </w:rPr>
        <w:t>城南建设</w:t>
      </w:r>
      <w:r>
        <w:rPr>
          <w:rFonts w:hint="eastAsia" w:ascii="宋体" w:hAnsi="宋体"/>
          <w:bCs/>
          <w:color w:val="auto"/>
          <w:sz w:val="24"/>
          <w:highlight w:val="none"/>
          <w:lang w:eastAsia="zh-CN"/>
        </w:rPr>
        <w:t>投资发展有限公司</w:t>
      </w:r>
      <w:r>
        <w:rPr>
          <w:rFonts w:hint="eastAsia" w:ascii="宋体" w:hAnsi="宋体"/>
          <w:bCs/>
          <w:color w:val="auto"/>
          <w:sz w:val="24"/>
          <w:highlight w:val="none"/>
        </w:rPr>
        <w:t>”全权负责本项目的施工合同签订、实施全过程，代建公司应当自成交通知书发出之日起</w:t>
      </w:r>
      <w:r>
        <w:rPr>
          <w:rFonts w:hint="eastAsia" w:ascii="宋体" w:hAnsi="宋体"/>
          <w:bCs/>
          <w:color w:val="auto"/>
          <w:sz w:val="24"/>
          <w:highlight w:val="none"/>
          <w:lang w:val="en-US" w:eastAsia="zh-CN"/>
        </w:rPr>
        <w:t>十五</w:t>
      </w:r>
      <w:r>
        <w:rPr>
          <w:rFonts w:hint="eastAsia" w:ascii="宋体" w:hAnsi="宋体"/>
          <w:bCs/>
          <w:color w:val="auto"/>
          <w:sz w:val="24"/>
          <w:highlight w:val="none"/>
        </w:rPr>
        <w:t>日内，按照磋商文件和成交供应商响应文件的约定，与成交供应商签订书面合同。所签订的合同不得对磋商文件和成交供应商响应文件作实质性修改。代建公司不得向成交供应商提出任何不合理的要求，作为签订合同的条件，不得与成交供应商私下订立背离合同实质性内容的协议。</w:t>
      </w:r>
    </w:p>
    <w:p>
      <w:pPr>
        <w:tabs>
          <w:tab w:val="left" w:pos="780"/>
          <w:tab w:val="left" w:pos="1050"/>
          <w:tab w:val="left" w:pos="1140"/>
        </w:tabs>
        <w:spacing w:line="360" w:lineRule="auto"/>
        <w:ind w:firstLine="480" w:firstLineChars="200"/>
        <w:rPr>
          <w:rFonts w:hint="eastAsia" w:ascii="宋体" w:hAnsi="宋体" w:eastAsia="宋体"/>
          <w:bCs/>
          <w:color w:val="auto"/>
          <w:sz w:val="24"/>
          <w:highlight w:val="none"/>
        </w:rPr>
      </w:pPr>
      <w:r>
        <w:rPr>
          <w:rFonts w:hint="eastAsia" w:ascii="宋体" w:hAnsi="宋体"/>
          <w:bCs/>
          <w:color w:val="auto"/>
          <w:sz w:val="24"/>
          <w:highlight w:val="none"/>
        </w:rPr>
        <w:t>2. 签订合同时，成交供应商须向采购人交纳中标合同总金额10%的履约保证金。履约保证金在本项目验收合格后</w:t>
      </w:r>
      <w:r>
        <w:rPr>
          <w:rFonts w:hint="eastAsia" w:ascii="宋体" w:hAnsi="宋体"/>
          <w:bCs/>
          <w:color w:val="auto"/>
          <w:sz w:val="24"/>
          <w:highlight w:val="none"/>
          <w:lang w:val="en-US" w:eastAsia="zh-CN"/>
        </w:rPr>
        <w:t>一个月内</w:t>
      </w:r>
      <w:r>
        <w:rPr>
          <w:rFonts w:hint="eastAsia" w:ascii="宋体" w:hAnsi="宋体"/>
          <w:bCs/>
          <w:color w:val="auto"/>
          <w:sz w:val="24"/>
          <w:highlight w:val="none"/>
        </w:rPr>
        <w:t>退还，不计利息。履约保证金的形式：支票、汇票、本票或者金融机构、担保机构出具的保函等非现金形式提交。</w:t>
      </w:r>
      <w:r>
        <w:rPr>
          <w:rFonts w:hint="eastAsia" w:ascii="宋体" w:hAnsi="宋体" w:eastAsia="宋体"/>
          <w:bCs/>
          <w:color w:val="auto"/>
          <w:sz w:val="24"/>
          <w:highlight w:val="none"/>
        </w:rPr>
        <w:t>履约过程中承包人在质量、工期、安全文明施工、现场管理人员到位、农名工工资支付等方面发生的不履约或违背合同规定的责任和义务的行为，都可能导致发包人扣缴其部分乃至全部履约保证金。</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普信国际工程咨询有限</w:t>
      </w:r>
      <w:r>
        <w:rPr>
          <w:rFonts w:hint="eastAsia" w:ascii="宋体" w:hAnsi="宋体"/>
          <w:bCs/>
          <w:color w:val="auto"/>
          <w:sz w:val="24"/>
          <w:highlight w:val="none"/>
        </w:rPr>
        <w:t>公司监督合同的履行。成交方非因不可抗力未履行招、响应文件和合同规定的义务，一经查实，招标代理机构将根据具体情况提请政府采购管理部门作出相应处理。</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4.</w:t>
      </w:r>
      <w:r>
        <w:rPr>
          <w:rFonts w:hint="eastAsia" w:ascii="宋体" w:hAnsi="宋体"/>
          <w:color w:val="auto"/>
          <w:sz w:val="24"/>
          <w:highlight w:val="none"/>
        </w:rPr>
        <w:t>若由于相应国家法律法规、地方法规、行业规章、政策文件等变动造成项目中止，项目参与各方均不承担违约责任。</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政府采购信用担保</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 xml:space="preserve"> 政府采购信用担保，是由专业担保机构为供应商向采购人、代理机构、金融机构提供的保证，主要包括履约担保、融资担保两种形式。供应商可以根据自身情况，自行决定是否选择采用该两种信用担保形式。</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1.履约担保。</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履约担保，是指由专业担保机构为供应商支付履约保证金的义务向采购人提供的保证担保。专业担保机构根据中标供应商的中标、成交通知书为凭据，进行资信审查后出具履约担保函；供应商未按政府采购合同履行约定义务而应实际支付保证金的，由专业担保机构按照担保函约定履行担保责任。供应商可以自愿选择是否采取履约担保函的形式缴纳履约保证金。政府采购履约担保函格式见附件。</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2.融资担保。</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融资担保，是指专业担保机构为供应商向银行融资提供的保证担保。供应商可以自愿选择是否采取融资担保的形式为政府采购项目履约进行融资。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3.政府采购信用担保合作担保机构和信用融资合作银行</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中标供应商可以根据自身情况，自行决定是否选择采用投标、履约和融资三种信用担保形式，自主选择融资银行。除江苏省财政厅确定的江苏省再担保有限公司和无锡市财政局确定的科发投资担保有限公司为无锡市政府采购信用担保合作担保机构外，民生银行南京分行、江苏银行和中信银行南京分行（为江苏省政府采购信用融资合作银行）、浙商银行无锡分行（为无锡市政府采购信用融资合作银行）可以在无锡市范围内依法开展政府采购信用担保融资业务。</w:t>
      </w:r>
    </w:p>
    <w:p>
      <w:pPr>
        <w:spacing w:line="360" w:lineRule="auto"/>
        <w:ind w:firstLine="480" w:firstLineChars="200"/>
        <w:rPr>
          <w:rFonts w:ascii="宋体" w:hAnsi="宋体"/>
          <w:bCs/>
          <w:color w:val="auto"/>
          <w:sz w:val="24"/>
          <w:szCs w:val="20"/>
          <w:highlight w:val="none"/>
        </w:rPr>
      </w:pPr>
      <w:r>
        <w:rPr>
          <w:rFonts w:hint="eastAsia" w:ascii="宋体" w:hAnsi="宋体"/>
          <w:bCs/>
          <w:color w:val="auto"/>
          <w:sz w:val="24"/>
          <w:szCs w:val="20"/>
          <w:highlight w:val="none"/>
        </w:rPr>
        <w:t>5.合作担保机构及银行出具的投标担保函、履约担保函及银行保函等，均具有《财政部关于开展政府采购信用担保试点工作的通知》中列明的担保效力。除不可抗力外，无论基于何种原因，供应商一旦出现违约情形，承担保证责任的专业担保机构应当先行按照政府采购担保函及时进行偿付，偿付完成后，再按与供应商签订的协议约定内容进行追偿。</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政府采购合同融资：</w:t>
      </w:r>
    </w:p>
    <w:p>
      <w:pPr>
        <w:tabs>
          <w:tab w:val="left" w:pos="630"/>
        </w:tabs>
        <w:spacing w:line="360" w:lineRule="auto"/>
        <w:ind w:firstLine="480" w:firstLineChars="200"/>
        <w:jc w:val="left"/>
        <w:rPr>
          <w:rFonts w:ascii="宋体" w:hAnsi="宋体"/>
          <w:bCs/>
          <w:color w:val="auto"/>
          <w:sz w:val="24"/>
          <w:szCs w:val="20"/>
          <w:highlight w:val="none"/>
        </w:rPr>
      </w:pPr>
      <w:r>
        <w:rPr>
          <w:rFonts w:hint="eastAsia" w:ascii="宋体" w:hAnsi="宋体"/>
          <w:bCs/>
          <w:color w:val="auto"/>
          <w:sz w:val="24"/>
          <w:szCs w:val="20"/>
          <w:highlight w:val="none"/>
        </w:rPr>
        <w:t>为深入贯彻落实深化政府采购制度改革精神，进一步优化政府采购营商环境，利用“互联网+政府采购”精准对接市场主体需求，拓展企业特别是中小微企业融资渠道，发挥政府采购政策功能，促进中小微企业健康发展，决定在我市开展政府采购合同融资工作，具体事项详见《关于开展政府采购合同融资工作的通知》</w:t>
      </w:r>
      <w:r>
        <w:rPr>
          <w:rFonts w:hint="eastAsia" w:ascii="宋体" w:hAnsi="宋体"/>
          <w:bCs/>
          <w:color w:val="auto"/>
          <w:sz w:val="22"/>
          <w:szCs w:val="18"/>
          <w:highlight w:val="none"/>
        </w:rPr>
        <w:t>（http://cz.wuxi.gov.cn/doc/2020/11/20/3111344.shtml）</w:t>
      </w:r>
      <w:r>
        <w:rPr>
          <w:rFonts w:hint="eastAsia" w:ascii="宋体" w:hAnsi="宋体"/>
          <w:bCs/>
          <w:color w:val="auto"/>
          <w:sz w:val="24"/>
          <w:szCs w:val="20"/>
          <w:highlight w:val="none"/>
        </w:rPr>
        <w:t>。</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代理服务费：</w:t>
      </w:r>
    </w:p>
    <w:p>
      <w:pPr>
        <w:tabs>
          <w:tab w:val="left" w:pos="735"/>
        </w:tabs>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采购代理费由采购人支付</w:t>
      </w:r>
      <w:r>
        <w:rPr>
          <w:rFonts w:hint="eastAsia" w:ascii="宋体" w:hAnsi="宋体"/>
          <w:bCs/>
          <w:color w:val="auto"/>
          <w:sz w:val="24"/>
          <w:highlight w:val="none"/>
          <w:lang w:eastAsia="zh-CN"/>
        </w:rPr>
        <w:t>，</w:t>
      </w:r>
      <w:r>
        <w:rPr>
          <w:rFonts w:hint="eastAsia" w:ascii="宋体" w:hAnsi="宋体" w:eastAsia="宋体" w:cs="宋体"/>
          <w:bCs/>
          <w:color w:val="auto"/>
          <w:sz w:val="24"/>
          <w:szCs w:val="22"/>
          <w:highlight w:val="none"/>
          <w:lang w:eastAsia="zh-CN"/>
        </w:rPr>
        <w:t>采购</w:t>
      </w:r>
      <w:r>
        <w:rPr>
          <w:rFonts w:hint="eastAsia" w:ascii="宋体" w:hAnsi="宋体" w:eastAsia="宋体" w:cs="宋体"/>
          <w:bCs/>
          <w:color w:val="auto"/>
          <w:sz w:val="24"/>
          <w:szCs w:val="22"/>
          <w:highlight w:val="none"/>
        </w:rPr>
        <w:t>代理费</w:t>
      </w:r>
      <w:r>
        <w:rPr>
          <w:rFonts w:hint="eastAsia" w:ascii="宋体" w:hAnsi="宋体" w:eastAsia="宋体" w:cs="宋体"/>
          <w:bCs/>
          <w:color w:val="auto"/>
          <w:sz w:val="24"/>
          <w:szCs w:val="22"/>
          <w:highlight w:val="none"/>
          <w:lang w:eastAsia="zh-CN"/>
        </w:rPr>
        <w:t>按照</w:t>
      </w:r>
      <w:r>
        <w:rPr>
          <w:rFonts w:hint="eastAsia" w:ascii="宋体" w:hAnsi="宋体" w:eastAsia="宋体" w:cs="宋体"/>
          <w:bCs/>
          <w:color w:val="auto"/>
          <w:sz w:val="24"/>
          <w:szCs w:val="22"/>
          <w:highlight w:val="none"/>
        </w:rPr>
        <w:t>差额定率累进法计算</w:t>
      </w:r>
      <w:r>
        <w:rPr>
          <w:rFonts w:hint="eastAsia" w:ascii="宋体" w:hAnsi="宋体" w:eastAsia="宋体" w:cs="宋体"/>
          <w:bCs/>
          <w:color w:val="auto"/>
          <w:sz w:val="24"/>
          <w:szCs w:val="22"/>
          <w:highlight w:val="none"/>
          <w:lang w:eastAsia="zh-CN"/>
        </w:rPr>
        <w:t>，按下列费率</w:t>
      </w:r>
      <w:r>
        <w:rPr>
          <w:rFonts w:hint="eastAsia" w:ascii="宋体" w:hAnsi="宋体" w:eastAsia="宋体" w:cs="宋体"/>
          <w:bCs/>
          <w:color w:val="auto"/>
          <w:sz w:val="24"/>
          <w:szCs w:val="22"/>
          <w:highlight w:val="none"/>
        </w:rPr>
        <w:t>打</w:t>
      </w:r>
      <w:r>
        <w:rPr>
          <w:rFonts w:hint="eastAsia" w:hAnsi="宋体" w:eastAsia="宋体" w:cs="宋体"/>
          <w:bCs/>
          <w:color w:val="auto"/>
          <w:sz w:val="24"/>
          <w:szCs w:val="22"/>
          <w:highlight w:val="none"/>
          <w:lang w:val="en-US" w:eastAsia="zh-CN"/>
        </w:rPr>
        <w:t>8</w:t>
      </w:r>
      <w:r>
        <w:rPr>
          <w:rFonts w:hint="eastAsia" w:ascii="宋体" w:hAnsi="宋体" w:eastAsia="宋体" w:cs="宋体"/>
          <w:bCs/>
          <w:color w:val="auto"/>
          <w:sz w:val="24"/>
          <w:szCs w:val="22"/>
          <w:highlight w:val="none"/>
        </w:rPr>
        <w:t>折计取</w:t>
      </w:r>
      <w:r>
        <w:rPr>
          <w:rFonts w:hint="eastAsia" w:ascii="宋体" w:hAnsi="宋体" w:eastAsia="宋体" w:cs="宋体"/>
          <w:bCs/>
          <w:color w:val="auto"/>
          <w:sz w:val="24"/>
          <w:szCs w:val="22"/>
          <w:highlight w:val="none"/>
          <w:lang w:eastAsia="zh-CN"/>
        </w:rPr>
        <w:t>：</w:t>
      </w:r>
      <w:r>
        <w:rPr>
          <w:rFonts w:hint="eastAsia" w:ascii="宋体" w:hAnsi="宋体" w:eastAsia="宋体" w:cs="宋体"/>
          <w:bCs/>
          <w:color w:val="auto"/>
          <w:sz w:val="24"/>
          <w:szCs w:val="22"/>
          <w:highlight w:val="none"/>
        </w:rPr>
        <w:t>100</w:t>
      </w:r>
      <w:r>
        <w:rPr>
          <w:rFonts w:hint="eastAsia" w:ascii="宋体" w:hAnsi="宋体" w:eastAsia="宋体" w:cs="宋体"/>
          <w:bCs/>
          <w:color w:val="auto"/>
          <w:sz w:val="24"/>
          <w:szCs w:val="22"/>
          <w:highlight w:val="none"/>
          <w:lang w:eastAsia="zh-CN"/>
        </w:rPr>
        <w:t>万元</w:t>
      </w:r>
      <w:r>
        <w:rPr>
          <w:rFonts w:hint="eastAsia" w:ascii="宋体" w:hAnsi="宋体" w:eastAsia="宋体" w:cs="宋体"/>
          <w:bCs/>
          <w:color w:val="auto"/>
          <w:sz w:val="24"/>
          <w:szCs w:val="22"/>
          <w:highlight w:val="none"/>
        </w:rPr>
        <w:t>以下</w:t>
      </w:r>
      <w:r>
        <w:rPr>
          <w:rFonts w:hint="eastAsia" w:ascii="宋体" w:hAnsi="宋体" w:eastAsia="宋体" w:cs="宋体"/>
          <w:bCs/>
          <w:color w:val="auto"/>
          <w:sz w:val="24"/>
          <w:szCs w:val="22"/>
          <w:highlight w:val="none"/>
          <w:lang w:val="en-US" w:eastAsia="zh-CN"/>
        </w:rPr>
        <w:t>1</w:t>
      </w:r>
      <w:r>
        <w:rPr>
          <w:rFonts w:hint="eastAsia" w:ascii="宋体" w:hAnsi="宋体" w:eastAsia="宋体" w:cs="宋体"/>
          <w:bCs/>
          <w:color w:val="auto"/>
          <w:sz w:val="24"/>
          <w:szCs w:val="22"/>
          <w:highlight w:val="none"/>
        </w:rPr>
        <w:t>%</w:t>
      </w:r>
      <w:r>
        <w:rPr>
          <w:rFonts w:hint="eastAsia" w:ascii="宋体" w:hAnsi="宋体" w:eastAsia="宋体" w:cs="宋体"/>
          <w:bCs/>
          <w:color w:val="auto"/>
          <w:sz w:val="24"/>
          <w:szCs w:val="22"/>
          <w:highlight w:val="none"/>
          <w:lang w:val="en-US" w:eastAsia="zh-CN"/>
        </w:rPr>
        <w:t>,100万-500万0.7%</w:t>
      </w:r>
      <w:r>
        <w:rPr>
          <w:rFonts w:hint="eastAsia" w:ascii="宋体" w:hAnsi="宋体"/>
          <w:bCs/>
          <w:color w:val="auto"/>
          <w:sz w:val="24"/>
          <w:highlight w:val="none"/>
        </w:rPr>
        <w:t>。</w:t>
      </w:r>
    </w:p>
    <w:p>
      <w:pPr>
        <w:numPr>
          <w:ilvl w:val="0"/>
          <w:numId w:val="2"/>
        </w:numPr>
        <w:tabs>
          <w:tab w:val="left" w:pos="735"/>
        </w:tabs>
        <w:spacing w:line="360" w:lineRule="auto"/>
        <w:ind w:left="0" w:firstLine="0"/>
        <w:outlineLvl w:val="1"/>
        <w:rPr>
          <w:rFonts w:ascii="宋体" w:hAnsi="宋体"/>
          <w:b/>
          <w:bCs/>
          <w:color w:val="auto"/>
          <w:sz w:val="24"/>
          <w:highlight w:val="none"/>
        </w:rPr>
      </w:pPr>
      <w:r>
        <w:rPr>
          <w:rFonts w:hint="eastAsia" w:ascii="宋体" w:hAnsi="宋体"/>
          <w:b/>
          <w:bCs/>
          <w:color w:val="auto"/>
          <w:sz w:val="24"/>
          <w:highlight w:val="none"/>
        </w:rPr>
        <w:t>其他：</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磋商文件的条款必须认真审阅，供应商应自行检查磋商文件页数是否齐全。若有遗漏、重复或不清楚，需立刻通知采购人予以更正；凡属对条款的误解所造成的投标价格失误，由供应商负责。</w:t>
      </w:r>
    </w:p>
    <w:p>
      <w:pPr>
        <w:spacing w:line="360" w:lineRule="auto"/>
        <w:ind w:firstLine="480" w:firstLineChars="200"/>
        <w:rPr>
          <w:rFonts w:ascii="宋体" w:hAnsi="宋体"/>
          <w:bCs/>
          <w:color w:val="auto"/>
          <w:sz w:val="24"/>
          <w:highlight w:val="none"/>
        </w:rPr>
      </w:pPr>
    </w:p>
    <w:p>
      <w:pPr>
        <w:spacing w:line="54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br w:type="page"/>
      </w:r>
      <w:r>
        <w:rPr>
          <w:rFonts w:hint="eastAsia" w:ascii="宋体" w:hAnsi="宋体" w:cs="宋体"/>
          <w:color w:val="auto"/>
          <w:sz w:val="24"/>
          <w:highlight w:val="none"/>
          <w:shd w:val="clear" w:color="auto" w:fill="FFFFFF"/>
          <w:lang w:val="en-US" w:eastAsia="zh-CN"/>
        </w:rPr>
        <w:t xml:space="preserve">   </w:t>
      </w:r>
      <w:r>
        <w:rPr>
          <w:rFonts w:hint="eastAsia" w:ascii="宋体" w:hAnsi="宋体" w:cs="宋体"/>
          <w:color w:val="auto"/>
          <w:sz w:val="24"/>
          <w:highlight w:val="none"/>
          <w:shd w:val="clear" w:color="auto" w:fill="FFFFFF"/>
        </w:rPr>
        <w:t>附件.                政府采购履约担保函（项目用）</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编号：</w:t>
      </w:r>
    </w:p>
    <w:p>
      <w:pPr>
        <w:widowControl/>
        <w:tabs>
          <w:tab w:val="left" w:pos="360"/>
          <w:tab w:val="left" w:pos="960"/>
        </w:tabs>
        <w:spacing w:line="440" w:lineRule="exact"/>
        <w:jc w:val="left"/>
        <w:rPr>
          <w:rFonts w:ascii="宋体" w:hAnsi="宋体" w:cs="宋体"/>
          <w:color w:val="auto"/>
          <w:sz w:val="24"/>
          <w:highlight w:val="none"/>
          <w:u w:val="single"/>
        </w:rPr>
      </w:pPr>
      <w:r>
        <w:rPr>
          <w:rFonts w:hint="eastAsia" w:ascii="宋体" w:hAnsi="宋体" w:cs="宋体"/>
          <w:color w:val="auto"/>
          <w:sz w:val="24"/>
          <w:highlight w:val="none"/>
          <w:u w:val="single"/>
        </w:rPr>
        <w:t>（采购人）：</w:t>
      </w:r>
    </w:p>
    <w:p>
      <w:pPr>
        <w:widowControl/>
        <w:tabs>
          <w:tab w:val="left" w:pos="360"/>
          <w:tab w:val="left" w:pos="960"/>
        </w:tabs>
        <w:spacing w:line="440" w:lineRule="exact"/>
        <w:ind w:firstLine="360" w:firstLineChars="150"/>
        <w:jc w:val="left"/>
        <w:rPr>
          <w:rFonts w:ascii="宋体" w:hAnsi="宋体" w:cs="宋体"/>
          <w:color w:val="auto"/>
          <w:sz w:val="24"/>
          <w:highlight w:val="none"/>
        </w:rPr>
      </w:pP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鉴于你方与</w:t>
      </w:r>
      <w:r>
        <w:rPr>
          <w:rFonts w:hint="eastAsia" w:ascii="宋体" w:hAnsi="宋体" w:cs="宋体"/>
          <w:color w:val="auto"/>
          <w:sz w:val="24"/>
          <w:highlight w:val="none"/>
          <w:u w:val="single"/>
        </w:rPr>
        <w:t xml:space="preserve">                    （以下简称供应商）</w:t>
      </w:r>
      <w:r>
        <w:rPr>
          <w:rFonts w:hint="eastAsia" w:ascii="宋体" w:hAnsi="宋体" w:cs="宋体"/>
          <w:color w:val="auto"/>
          <w:sz w:val="24"/>
          <w:highlight w:val="none"/>
        </w:rPr>
        <w:t>于年月日签定编号为   的《政府采购合同》（以下简称主合同），且依据该合同的约定，供应商应在</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年月日前向你方交纳履约保证金，且可以履约担保函的形式交纳履约保证金。应供应商的申请，我方以保证的方式向你方提供如下履约保证金担保：</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一、保证责任的情形及保证金额</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（一）在供应商出现下列情形之一时，我方承担保证责任：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1．将中标项目转让给他人，或者在磋商文件中未说明，且未经采购招标机构人同意，将中标项目分包给他人的；</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　　2．主合同约定的应当缴纳履约保证金的情形: </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（1）未按主合同约定的质量、数量和期限供应货物/提供服务/完成工程的；</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（2）                                                           。</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（二）我方的保证范围是主合同约定的合同价款总额的%数额为元（大写），币种为 。（即主合同履约保证金金额）</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二、保证的方式及保证期间</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我方保证的方式为：连带责任保证。</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我方保证的期间为：自本合同生效之日起至供应商按照主合同约定的供货/完工期限届满后日内。</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如果供应商未按主合同约定向贵方供应货物/提供服务/完成工程的，由我方在保证金额内向你方支付上述款项。</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三、承担保证责任的程序</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1．你方要求我方承担保证责任的，应在本保函保证期间内向我方发出书面索赔通知。索赔通知应写明要求索赔的金额，支付款项应到达的帐号。并附有证明供应商违约事实的证明材料。</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如果你方与供应商因货物质量问题产生争议，你方还需同时提供部门出具的质量检测报告，或经诉讼（仲裁）程序裁决后的裁决书、调解书，本保证人即按照检测结果或裁决书、调解书决定是否承担保证责任。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2． 我方收到你方的书面索赔通知及相应证明材料，在工作日内进行核定后按照本保函的承诺承担保证责任。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四、保证责任的终止</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2．我方按照本保函向你方履行了保证责任后，自我方向你方支付款项（支付款项从我方账户划出）之日起，保证责任即终止。</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3．按照法律法规的规定或出现应终止我方保证责任的其它情形的，我方在本保函项下的保证责任亦终止。</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五、免责条款</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1．因你方违反主合同约定致使供应商不能履行义务的，我方不承担保证责任。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2．依照法律法规的规定或你方与供应商的另行约定，全部或者部分免除供应商应缴纳的保证金义务的，我方亦免除相应的保证责任。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3．因不可抗力造成供应商不能履行供货义务的，我方不承担保证责任。</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六、争议的解决</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因本保函发生的纠纷，由你我双方协商解决，协商不成的，通过诉讼程序解决，诉讼管辖地法院为法院。</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七、保函的生效</w:t>
      </w: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本保函自我方加盖公章之日起生效。</w:t>
      </w:r>
    </w:p>
    <w:p>
      <w:pPr>
        <w:widowControl/>
        <w:tabs>
          <w:tab w:val="left" w:pos="360"/>
          <w:tab w:val="left" w:pos="960"/>
        </w:tabs>
        <w:spacing w:line="440" w:lineRule="exact"/>
        <w:jc w:val="left"/>
        <w:rPr>
          <w:rFonts w:ascii="宋体" w:hAnsi="宋体" w:cs="宋体"/>
          <w:color w:val="auto"/>
          <w:sz w:val="24"/>
          <w:highlight w:val="none"/>
        </w:rPr>
      </w:pP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保证人：（公章）</w:t>
      </w:r>
    </w:p>
    <w:p>
      <w:pPr>
        <w:widowControl/>
        <w:tabs>
          <w:tab w:val="left" w:pos="360"/>
          <w:tab w:val="left" w:pos="960"/>
        </w:tabs>
        <w:spacing w:line="440" w:lineRule="exact"/>
        <w:ind w:firstLine="360" w:firstLineChars="150"/>
        <w:jc w:val="left"/>
        <w:rPr>
          <w:rFonts w:ascii="宋体" w:hAnsi="宋体" w:cs="宋体"/>
          <w:color w:val="auto"/>
          <w:sz w:val="24"/>
          <w:highlight w:val="none"/>
        </w:rPr>
      </w:pPr>
    </w:p>
    <w:p>
      <w:pPr>
        <w:widowControl/>
        <w:tabs>
          <w:tab w:val="left" w:pos="360"/>
          <w:tab w:val="left" w:pos="960"/>
        </w:tabs>
        <w:spacing w:line="440" w:lineRule="exact"/>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 年     月      日</w:t>
      </w:r>
    </w:p>
    <w:p>
      <w:pPr>
        <w:widowControl/>
        <w:tabs>
          <w:tab w:val="left" w:pos="360"/>
          <w:tab w:val="left" w:pos="960"/>
        </w:tabs>
        <w:spacing w:line="440" w:lineRule="exact"/>
        <w:jc w:val="left"/>
        <w:rPr>
          <w:rFonts w:ascii="宋体" w:hAnsi="宋体" w:cs="宋体"/>
          <w:color w:val="auto"/>
          <w:sz w:val="24"/>
          <w:highlight w:val="none"/>
        </w:rPr>
      </w:pPr>
    </w:p>
    <w:p>
      <w:pPr>
        <w:rPr>
          <w:rFonts w:ascii="宋体" w:hAnsi="宋体" w:cs="宋体"/>
          <w:color w:val="auto"/>
          <w:highlight w:val="none"/>
        </w:rPr>
      </w:pPr>
    </w:p>
    <w:p>
      <w:pPr>
        <w:numPr>
          <w:ilvl w:val="0"/>
          <w:numId w:val="11"/>
        </w:numPr>
        <w:spacing w:line="520" w:lineRule="exact"/>
        <w:jc w:val="center"/>
        <w:rPr>
          <w:rFonts w:ascii="宋体" w:hAnsi="宋体" w:cs="宋体"/>
          <w:b/>
          <w:color w:val="auto"/>
          <w:sz w:val="44"/>
          <w:szCs w:val="44"/>
          <w:highlight w:val="none"/>
        </w:rPr>
        <w:sectPr>
          <w:footerReference r:id="rId4" w:type="default"/>
          <w:pgSz w:w="11906" w:h="16838"/>
          <w:pgMar w:top="1418" w:right="1555" w:bottom="1418" w:left="1531" w:header="851" w:footer="992" w:gutter="0"/>
          <w:pgNumType w:fmt="decimal" w:start="1"/>
          <w:cols w:space="720" w:num="1"/>
          <w:docGrid w:type="lines" w:linePitch="312" w:charSpace="0"/>
        </w:sectPr>
      </w:pPr>
    </w:p>
    <w:p>
      <w:pPr>
        <w:widowControl/>
        <w:topLinePunct/>
        <w:spacing w:line="480" w:lineRule="auto"/>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t>第三部分.采购需求</w:t>
      </w:r>
    </w:p>
    <w:p>
      <w:pPr>
        <w:widowControl/>
        <w:topLinePunct/>
        <w:spacing w:line="360" w:lineRule="exact"/>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（一）</w:t>
      </w:r>
      <w:r>
        <w:rPr>
          <w:rFonts w:ascii="黑体" w:hAnsi="黑体" w:eastAsia="黑体" w:cs="宋体"/>
          <w:color w:val="auto"/>
          <w:kern w:val="0"/>
          <w:sz w:val="24"/>
          <w:highlight w:val="none"/>
        </w:rPr>
        <w:t>采购项目简要说明</w:t>
      </w:r>
      <w:r>
        <w:rPr>
          <w:rFonts w:hint="eastAsia" w:ascii="黑体" w:hAnsi="黑体" w:eastAsia="黑体" w:cs="宋体"/>
          <w:color w:val="auto"/>
          <w:kern w:val="0"/>
          <w:sz w:val="24"/>
          <w:highlight w:val="none"/>
        </w:rPr>
        <w:t>：</w:t>
      </w:r>
    </w:p>
    <w:p>
      <w:pPr>
        <w:spacing w:line="440" w:lineRule="exact"/>
        <w:ind w:firstLine="240" w:firstLineChars="1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本项目</w:t>
      </w:r>
      <w:r>
        <w:rPr>
          <w:rFonts w:hint="eastAsia" w:ascii="宋体" w:hAnsi="宋体" w:cs="宋体"/>
          <w:color w:val="auto"/>
          <w:kern w:val="0"/>
          <w:sz w:val="24"/>
          <w:highlight w:val="none"/>
          <w:lang w:eastAsia="zh-CN"/>
        </w:rPr>
        <w:t>：无锡市</w:t>
      </w:r>
      <w:r>
        <w:rPr>
          <w:rFonts w:hint="eastAsia" w:ascii="宋体" w:hAnsi="宋体" w:cs="宋体"/>
          <w:color w:val="auto"/>
          <w:kern w:val="0"/>
          <w:sz w:val="24"/>
          <w:highlight w:val="none"/>
          <w:lang w:val="en-US" w:eastAsia="zh-CN"/>
        </w:rPr>
        <w:t>靖海小学</w:t>
      </w:r>
      <w:r>
        <w:rPr>
          <w:rFonts w:hint="eastAsia" w:ascii="宋体" w:hAnsi="宋体" w:cs="宋体"/>
          <w:color w:val="auto"/>
          <w:kern w:val="0"/>
          <w:sz w:val="24"/>
          <w:highlight w:val="none"/>
          <w:lang w:eastAsia="zh-CN"/>
        </w:rPr>
        <w:t>维修改造工程</w:t>
      </w:r>
    </w:p>
    <w:p>
      <w:pPr>
        <w:spacing w:line="440" w:lineRule="exact"/>
        <w:ind w:firstLine="240" w:firstLineChars="100"/>
        <w:rPr>
          <w:rFonts w:hint="default" w:ascii="宋体" w:hAnsi="宋体" w:cs="宋体"/>
          <w:bCs/>
          <w:color w:val="auto"/>
          <w:kern w:val="0"/>
          <w:sz w:val="24"/>
          <w:highlight w:val="none"/>
          <w:lang w:val="en-US"/>
        </w:rPr>
      </w:pPr>
      <w:r>
        <w:rPr>
          <w:rFonts w:hint="eastAsia" w:ascii="宋体" w:hAnsi="宋体" w:cs="宋体"/>
          <w:bCs/>
          <w:color w:val="auto"/>
          <w:kern w:val="0"/>
          <w:sz w:val="24"/>
          <w:highlight w:val="none"/>
        </w:rPr>
        <w:t>最高限价：</w:t>
      </w:r>
      <w:r>
        <w:rPr>
          <w:rFonts w:hint="default" w:ascii="宋体" w:hAnsi="宋体" w:cs="宋体"/>
          <w:color w:val="auto"/>
          <w:sz w:val="24"/>
          <w:highlight w:val="none"/>
          <w:lang w:val="en-US"/>
        </w:rPr>
        <w:t>225.</w:t>
      </w:r>
      <w:r>
        <w:rPr>
          <w:rFonts w:hint="eastAsia" w:ascii="宋体" w:hAnsi="宋体" w:cs="宋体"/>
          <w:color w:val="auto"/>
          <w:sz w:val="24"/>
          <w:highlight w:val="none"/>
          <w:lang w:val="en-US" w:eastAsia="zh-CN"/>
        </w:rPr>
        <w:t>617473万元</w:t>
      </w:r>
    </w:p>
    <w:p>
      <w:pPr>
        <w:spacing w:line="440" w:lineRule="exact"/>
        <w:ind w:firstLine="240" w:firstLineChars="100"/>
        <w:rPr>
          <w:rFonts w:ascii="宋体" w:hAnsi="宋体" w:cs="宋体"/>
          <w:bCs/>
          <w:color w:val="auto"/>
          <w:kern w:val="0"/>
          <w:sz w:val="24"/>
          <w:highlight w:val="none"/>
        </w:rPr>
      </w:pPr>
      <w:r>
        <w:rPr>
          <w:rFonts w:hint="eastAsia" w:ascii="宋体" w:hAnsi="宋体" w:cs="宋体"/>
          <w:bCs/>
          <w:color w:val="auto"/>
          <w:kern w:val="0"/>
          <w:sz w:val="24"/>
          <w:highlight w:val="none"/>
        </w:rPr>
        <w:t>工期：</w:t>
      </w:r>
      <w:r>
        <w:rPr>
          <w:rFonts w:hint="eastAsia" w:ascii="宋体" w:hAnsi="宋体" w:cs="宋体"/>
          <w:bCs/>
          <w:color w:val="auto"/>
          <w:kern w:val="0"/>
          <w:sz w:val="24"/>
          <w:highlight w:val="none"/>
          <w:lang w:val="en-US" w:eastAsia="zh-CN"/>
        </w:rPr>
        <w:t>50</w:t>
      </w:r>
      <w:r>
        <w:rPr>
          <w:rFonts w:hint="eastAsia" w:ascii="宋体" w:hAnsi="宋体" w:cs="宋体"/>
          <w:bCs/>
          <w:color w:val="auto"/>
          <w:kern w:val="0"/>
          <w:sz w:val="24"/>
          <w:highlight w:val="none"/>
        </w:rPr>
        <w:t>日历天</w:t>
      </w:r>
    </w:p>
    <w:p>
      <w:pPr>
        <w:spacing w:line="440" w:lineRule="exact"/>
        <w:ind w:firstLine="240" w:firstLineChars="100"/>
        <w:rPr>
          <w:rFonts w:ascii="宋体" w:hAnsi="宋体" w:cs="宋体"/>
          <w:bCs/>
          <w:color w:val="auto"/>
          <w:kern w:val="0"/>
          <w:sz w:val="24"/>
          <w:highlight w:val="none"/>
        </w:rPr>
      </w:pPr>
      <w:r>
        <w:rPr>
          <w:rFonts w:hint="eastAsia" w:ascii="宋体" w:hAnsi="宋体" w:cs="宋体"/>
          <w:bCs/>
          <w:color w:val="auto"/>
          <w:kern w:val="0"/>
          <w:sz w:val="24"/>
          <w:highlight w:val="none"/>
        </w:rPr>
        <w:t>误期违约金：</w:t>
      </w:r>
      <w:r>
        <w:rPr>
          <w:rFonts w:hint="eastAsia" w:ascii="宋体" w:hAnsi="宋体" w:cs="宋体"/>
          <w:color w:val="auto"/>
          <w:sz w:val="24"/>
          <w:highlight w:val="none"/>
        </w:rPr>
        <w:t>万分之五/天</w:t>
      </w:r>
    </w:p>
    <w:p>
      <w:pPr>
        <w:spacing w:line="440" w:lineRule="exact"/>
        <w:ind w:firstLine="240" w:firstLineChars="100"/>
        <w:rPr>
          <w:rFonts w:ascii="宋体" w:hAnsi="宋体" w:cs="宋体"/>
          <w:bCs/>
          <w:color w:val="auto"/>
          <w:kern w:val="0"/>
          <w:sz w:val="24"/>
          <w:highlight w:val="none"/>
        </w:rPr>
      </w:pPr>
      <w:r>
        <w:rPr>
          <w:rFonts w:hint="eastAsia" w:ascii="宋体" w:hAnsi="宋体" w:cs="宋体"/>
          <w:bCs/>
          <w:color w:val="auto"/>
          <w:kern w:val="0"/>
          <w:sz w:val="24"/>
          <w:highlight w:val="none"/>
        </w:rPr>
        <w:t>本工程质量标准：一次性验收通过，100%合格；</w:t>
      </w:r>
    </w:p>
    <w:p>
      <w:pPr>
        <w:spacing w:line="440" w:lineRule="exact"/>
        <w:ind w:firstLine="240" w:firstLineChars="100"/>
        <w:rPr>
          <w:rFonts w:ascii="宋体" w:hAnsi="宋体" w:cs="宋体"/>
          <w:bCs/>
          <w:color w:val="auto"/>
          <w:kern w:val="0"/>
          <w:sz w:val="24"/>
          <w:highlight w:val="none"/>
        </w:rPr>
      </w:pPr>
      <w:r>
        <w:rPr>
          <w:rFonts w:hint="eastAsia" w:ascii="宋体" w:hAnsi="宋体" w:cs="宋体"/>
          <w:bCs/>
          <w:color w:val="auto"/>
          <w:kern w:val="0"/>
          <w:sz w:val="24"/>
          <w:highlight w:val="none"/>
        </w:rPr>
        <w:t>质量违约金：合同价款的5%。</w:t>
      </w:r>
    </w:p>
    <w:p>
      <w:pPr>
        <w:pStyle w:val="17"/>
        <w:ind w:firstLine="0" w:firstLineChars="0"/>
        <w:rPr>
          <w:rFonts w:ascii="Tahoma" w:hAnsi="Tahoma"/>
          <w:color w:val="auto"/>
          <w:szCs w:val="24"/>
          <w:highlight w:val="none"/>
        </w:rPr>
      </w:pPr>
    </w:p>
    <w:p>
      <w:pPr>
        <w:widowControl/>
        <w:topLinePunct/>
        <w:spacing w:line="360" w:lineRule="exact"/>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（二）工程量清单在发放磋商文件时由采购人统一提供（详见附件）</w:t>
      </w:r>
    </w:p>
    <w:p>
      <w:pPr>
        <w:pStyle w:val="12"/>
        <w:shd w:val="clear" w:color="auto" w:fill="FFFFFF"/>
        <w:spacing w:before="90" w:beforeAutospacing="0" w:after="90" w:afterAutospacing="0" w:line="360" w:lineRule="atLeast"/>
        <w:ind w:firstLine="480"/>
        <w:rPr>
          <w:rFonts w:cs="宋体"/>
          <w:color w:val="auto"/>
          <w:highlight w:val="none"/>
        </w:rPr>
      </w:pPr>
    </w:p>
    <w:p>
      <w:pPr>
        <w:widowControl/>
        <w:topLinePunct/>
        <w:spacing w:line="480" w:lineRule="auto"/>
        <w:jc w:val="center"/>
        <w:outlineLvl w:val="0"/>
        <w:rPr>
          <w:rFonts w:ascii="宋体" w:hAnsi="宋体" w:cs="宋体"/>
          <w:color w:val="auto"/>
          <w:sz w:val="24"/>
          <w:highlight w:val="none"/>
        </w:rPr>
      </w:pPr>
      <w:r>
        <w:rPr>
          <w:rFonts w:hint="eastAsia" w:ascii="宋体" w:hAnsi="宋体" w:cs="宋体"/>
          <w:color w:val="auto"/>
          <w:highlight w:val="none"/>
        </w:rPr>
        <w:br w:type="page"/>
      </w:r>
      <w:r>
        <w:rPr>
          <w:rFonts w:hint="eastAsia" w:ascii="宋体" w:hAnsi="宋体" w:cs="宋体"/>
          <w:b/>
          <w:color w:val="auto"/>
          <w:sz w:val="44"/>
          <w:szCs w:val="44"/>
          <w:highlight w:val="none"/>
        </w:rPr>
        <w:t>第四部分．合同条款(格式,报价时不需填写）</w:t>
      </w:r>
    </w:p>
    <w:p>
      <w:pPr>
        <w:jc w:val="center"/>
        <w:rPr>
          <w:rFonts w:ascii="宋体" w:hAnsi="宋体" w:cs="宋体"/>
          <w:bCs/>
          <w:color w:val="auto"/>
          <w:sz w:val="32"/>
          <w:szCs w:val="32"/>
          <w:highlight w:val="none"/>
        </w:rPr>
      </w:pPr>
      <w:r>
        <w:rPr>
          <w:rFonts w:hint="eastAsia" w:ascii="宋体" w:hAnsi="宋体" w:cs="宋体"/>
          <w:bCs/>
          <w:color w:val="auto"/>
          <w:sz w:val="32"/>
          <w:szCs w:val="32"/>
          <w:highlight w:val="none"/>
        </w:rPr>
        <w:t>（GF—2017—0201）</w:t>
      </w:r>
    </w:p>
    <w:p>
      <w:pPr>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r>
        <w:rPr>
          <w:rFonts w:hint="eastAsia" w:ascii="宋体" w:hAnsi="宋体" w:cs="宋体"/>
          <w:b/>
          <w:color w:val="auto"/>
          <w:sz w:val="72"/>
          <w:szCs w:val="52"/>
          <w:highlight w:val="none"/>
        </w:rPr>
        <w:t>政府采购施工合同</w:t>
      </w:r>
      <w:r>
        <w:rPr>
          <w:rFonts w:hint="eastAsia" w:ascii="宋体" w:hAnsi="宋体" w:cs="宋体"/>
          <w:b/>
          <w:color w:val="auto"/>
          <w:sz w:val="52"/>
          <w:szCs w:val="52"/>
          <w:highlight w:val="none"/>
        </w:rPr>
        <w:br w:type="textWrapping"/>
      </w:r>
      <w:r>
        <w:rPr>
          <w:rFonts w:hint="eastAsia" w:ascii="宋体" w:hAnsi="宋体" w:cs="宋体"/>
          <w:b/>
          <w:color w:val="auto"/>
          <w:sz w:val="52"/>
          <w:szCs w:val="52"/>
          <w:highlight w:val="none"/>
        </w:rPr>
        <w:t>（示范文本）</w:t>
      </w: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rPr>
          <w:rFonts w:ascii="宋体" w:hAnsi="宋体" w:cs="宋体"/>
          <w:b/>
          <w:color w:val="auto"/>
          <w:sz w:val="44"/>
          <w:szCs w:val="44"/>
          <w:highlight w:val="none"/>
        </w:rPr>
      </w:pPr>
    </w:p>
    <w:p>
      <w:pPr>
        <w:rPr>
          <w:rFonts w:ascii="宋体" w:hAnsi="宋体" w:cs="宋体"/>
          <w:b/>
          <w:color w:val="auto"/>
          <w:sz w:val="44"/>
          <w:szCs w:val="44"/>
          <w:highlight w:val="none"/>
        </w:rPr>
      </w:pPr>
    </w:p>
    <w:p>
      <w:pPr>
        <w:rPr>
          <w:rFonts w:ascii="宋体" w:hAnsi="宋体" w:cs="宋体"/>
          <w:b/>
          <w:color w:val="auto"/>
          <w:sz w:val="44"/>
          <w:szCs w:val="44"/>
          <w:highlight w:val="none"/>
        </w:rPr>
      </w:pPr>
    </w:p>
    <w:p>
      <w:pPr>
        <w:rPr>
          <w:rFonts w:ascii="宋体" w:hAnsi="宋体" w:cs="宋体"/>
          <w:b/>
          <w:color w:val="auto"/>
          <w:sz w:val="44"/>
          <w:szCs w:val="44"/>
          <w:highlight w:val="none"/>
        </w:rPr>
      </w:pPr>
    </w:p>
    <w:p>
      <w:pPr>
        <w:rPr>
          <w:rFonts w:ascii="宋体" w:hAnsi="宋体" w:cs="宋体"/>
          <w:b/>
          <w:color w:val="auto"/>
          <w:sz w:val="44"/>
          <w:szCs w:val="44"/>
          <w:highlight w:val="none"/>
        </w:rPr>
      </w:pPr>
    </w:p>
    <w:p>
      <w:pPr>
        <w:rPr>
          <w:rFonts w:ascii="宋体" w:hAnsi="宋体" w:cs="宋体"/>
          <w:b/>
          <w:color w:val="auto"/>
          <w:sz w:val="44"/>
          <w:szCs w:val="44"/>
          <w:highlight w:val="none"/>
        </w:rPr>
      </w:pPr>
    </w:p>
    <w:p>
      <w:pPr>
        <w:ind w:right="2719" w:rightChars="1295" w:firstLine="2738" w:firstLineChars="1304"/>
        <w:jc w:val="distribute"/>
        <w:rPr>
          <w:rFonts w:ascii="宋体" w:hAnsi="宋体" w:cs="宋体"/>
          <w:b/>
          <w:color w:val="auto"/>
          <w:sz w:val="32"/>
          <w:szCs w:val="28"/>
          <w:highlight w:val="none"/>
        </w:rPr>
      </w:pPr>
      <w:r>
        <w:rPr>
          <w:rFonts w:ascii="宋体" w:hAnsi="宋体" w:cs="宋体"/>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5" name="矩形 5"/>
                <wp:cNvGraphicFramePr/>
                <a:graphic xmlns:a="http://schemas.openxmlformats.org/drawingml/2006/main">
                  <a:graphicData uri="http://schemas.microsoft.com/office/word/2010/wordprocessingShape">
                    <wps:wsp>
                      <wps:cNvSpPr/>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b/>
                                <w:bCs/>
                                <w:sz w:val="32"/>
                              </w:rPr>
                            </w:pPr>
                            <w:r>
                              <w:rPr>
                                <w:rFonts w:hint="eastAsia"/>
                                <w:b/>
                                <w:bCs/>
                                <w:sz w:val="32"/>
                              </w:rPr>
                              <w:t>制定</w:t>
                            </w:r>
                          </w:p>
                        </w:txbxContent>
                      </wps:txbx>
                      <wps:bodyPr upright="1"/>
                    </wps:wsp>
                  </a:graphicData>
                </a:graphic>
              </wp:anchor>
            </w:drawing>
          </mc:Choice>
          <mc:Fallback>
            <w:pict>
              <v:rect id="_x0000_s1026" o:spid="_x0000_s1026" o:spt="1" style="position:absolute;left:0pt;margin-left:312.6pt;margin-top:9.45pt;height:36pt;width:57pt;z-index:251661312;mso-width-relative:page;mso-height-relative:page;" filled="f" stroked="t" coordsize="21600,21600" o:gfxdata="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Wqvc2QAAAAkBAAAPAAAAAAAAAAEAIAAAACIAAABkcnMvZG93bnJl&#10;di54bWxQSwECFAAUAAAACACHTuJArqJ2afwBAAD/AwAADgAAAAAAAAABACAAAAAoAQAAZHJzL2Uy&#10;b0RvYy54bWxQSwUGAAAAAAYABgBZAQAAlgUAAAAA&#10;">
                <v:fill on="f" focussize="0,0"/>
                <v:stroke color="#FFFFFF" joinstyle="miter"/>
                <v:imagedata o:title=""/>
                <o:lock v:ext="edit" aspectratio="f"/>
                <v:textbox>
                  <w:txbxContent>
                    <w:p>
                      <w:pPr>
                        <w:rPr>
                          <w:b/>
                          <w:bCs/>
                          <w:sz w:val="32"/>
                        </w:rPr>
                      </w:pPr>
                      <w:r>
                        <w:rPr>
                          <w:rFonts w:hint="eastAsia"/>
                          <w:b/>
                          <w:bCs/>
                          <w:sz w:val="32"/>
                        </w:rPr>
                        <w:t>制定</w:t>
                      </w:r>
                    </w:p>
                  </w:txbxContent>
                </v:textbox>
              </v:rect>
            </w:pict>
          </mc:Fallback>
        </mc:AlternateContent>
      </w:r>
      <w:r>
        <w:rPr>
          <w:rFonts w:hint="eastAsia" w:ascii="宋体" w:hAnsi="宋体" w:cs="宋体"/>
          <w:b/>
          <w:color w:val="auto"/>
          <w:sz w:val="32"/>
          <w:szCs w:val="28"/>
          <w:highlight w:val="none"/>
        </w:rPr>
        <w:t>住房和城乡建设部</w:t>
      </w:r>
    </w:p>
    <w:p>
      <w:pPr>
        <w:spacing w:line="360" w:lineRule="auto"/>
        <w:ind w:firstLine="2891" w:firstLineChars="900"/>
        <w:rPr>
          <w:rFonts w:ascii="宋体" w:hAnsi="宋体" w:cs="宋体"/>
          <w:b/>
          <w:color w:val="auto"/>
          <w:sz w:val="32"/>
          <w:szCs w:val="28"/>
          <w:highlight w:val="none"/>
        </w:rPr>
      </w:pPr>
      <w:r>
        <w:rPr>
          <w:rFonts w:hint="eastAsia" w:ascii="宋体" w:hAnsi="宋体" w:cs="宋体"/>
          <w:b/>
          <w:color w:val="auto"/>
          <w:sz w:val="32"/>
          <w:szCs w:val="28"/>
          <w:highlight w:val="none"/>
        </w:rPr>
        <w:t>国家工商行政管理总局</w:t>
      </w:r>
    </w:p>
    <w:p>
      <w:pPr>
        <w:pStyle w:val="18"/>
        <w:widowControl/>
        <w:spacing w:before="0" w:after="0" w:line="240" w:lineRule="auto"/>
        <w:jc w:val="center"/>
        <w:rPr>
          <w:rFonts w:ascii="宋体" w:hAnsi="宋体" w:cs="宋体"/>
          <w:color w:val="auto"/>
          <w:sz w:val="32"/>
          <w:szCs w:val="32"/>
          <w:highlight w:val="none"/>
          <w:lang w:val="zh-CN"/>
        </w:rPr>
      </w:pPr>
      <w:r>
        <w:rPr>
          <w:rFonts w:hint="eastAsia" w:ascii="宋体" w:hAnsi="宋体" w:cs="华文细黑"/>
          <w:color w:val="auto"/>
          <w:sz w:val="32"/>
          <w:szCs w:val="32"/>
          <w:highlight w:val="none"/>
          <w:lang w:val="zh-CN"/>
        </w:rPr>
        <w:br w:type="page"/>
      </w:r>
      <w:r>
        <w:rPr>
          <w:rFonts w:hint="eastAsia" w:ascii="宋体" w:hAnsi="宋体" w:cs="华文细黑"/>
          <w:color w:val="auto"/>
          <w:sz w:val="32"/>
          <w:szCs w:val="32"/>
          <w:highlight w:val="none"/>
          <w:lang w:val="zh-CN"/>
        </w:rPr>
        <w:t>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为了指导建设工程施工合同当事人的签约行为，维护合同当事人的合法权益，依据《中华人民共和国民法典》、《中华人民共和国建筑法》、《中华人民共和国招标投标法》以及相关法律法规，住房城乡建设部、国家工商行政管理总局对《建设工程施工合同（示范文本）》（GF-2013-0201）进行了修订，制定了《建设工程施工合同（示范文本）》（GF-2017-0201）（以下简称《示范文本》）。为了便于合同当事人使用《示范文本》，现就有关问题说明如下：</w:t>
      </w:r>
    </w:p>
    <w:p>
      <w:pPr>
        <w:spacing w:line="360" w:lineRule="auto"/>
        <w:ind w:firstLine="420" w:firstLineChars="200"/>
        <w:outlineLvl w:val="0"/>
        <w:rPr>
          <w:rFonts w:ascii="宋体" w:hAnsi="宋体" w:cs="宋体"/>
          <w:bCs/>
          <w:color w:val="auto"/>
          <w:szCs w:val="21"/>
          <w:highlight w:val="none"/>
        </w:rPr>
      </w:pPr>
      <w:r>
        <w:rPr>
          <w:rFonts w:hint="eastAsia" w:ascii="宋体" w:hAnsi="宋体" w:cs="宋体"/>
          <w:bCs/>
          <w:color w:val="auto"/>
          <w:szCs w:val="21"/>
          <w:highlight w:val="none"/>
        </w:rPr>
        <w:t>一、《示范文本》的组成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《示范文本》由合同协议书、通用合同条款和专用合同条款三部分组成。</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（一）合同协议书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示范文本》合同协议书共计13条，主要包括：工程概况、合同工期、质量标准、签约合同价和合同价格形式、项目经理、合同文件构成、承诺以及合同生效条件等重要内容，集中约定了合同当事人基本的合同权利义务。</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（二）通用合同条款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通用合同条款是合同当事人根据《中华人民共和国建筑法》、《中华人民共和国民法典》等法律法规的规定，就工程建设的实施及相关事项，对合同当事人的权利义务作出的原则性约定。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通用合同条款共计20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pPr>
        <w:spacing w:line="360" w:lineRule="auto"/>
        <w:ind w:firstLine="420" w:firstLineChars="200"/>
        <w:outlineLvl w:val="0"/>
        <w:rPr>
          <w:rFonts w:ascii="宋体" w:hAnsi="宋体" w:cs="宋体"/>
          <w:color w:val="auto"/>
          <w:szCs w:val="21"/>
          <w:highlight w:val="none"/>
        </w:rPr>
      </w:pPr>
      <w:r>
        <w:rPr>
          <w:rFonts w:hint="eastAsia" w:ascii="宋体" w:hAnsi="宋体" w:cs="宋体"/>
          <w:color w:val="auto"/>
          <w:szCs w:val="21"/>
          <w:highlight w:val="none"/>
        </w:rPr>
        <w:t>（三）专用合同条款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pPr>
        <w:spacing w:line="360" w:lineRule="auto"/>
        <w:ind w:right="25" w:rightChars="12" w:firstLine="420" w:firstLineChars="200"/>
        <w:rPr>
          <w:rFonts w:ascii="宋体" w:hAnsi="宋体" w:cs="宋体"/>
          <w:color w:val="auto"/>
          <w:szCs w:val="21"/>
          <w:highlight w:val="none"/>
        </w:rPr>
      </w:pPr>
      <w:r>
        <w:rPr>
          <w:rFonts w:hint="eastAsia" w:ascii="宋体" w:hAnsi="宋体" w:cs="宋体"/>
          <w:color w:val="auto"/>
          <w:szCs w:val="21"/>
          <w:highlight w:val="none"/>
        </w:rPr>
        <w:t>1.专用合同条款的编号应与相应的通用合同条款的编号一致；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2.合同当事人可以通过对专用合同条款的修改，满足具体建设工程的特殊要求，避免直接修改通用合同条款；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3.在专用合同条款中有横道线的地方，合同当事人可针对相应的通用合同条款进行细化、完善、补充、修改或另行约定；如无细化、完善、补充、修改或另行约定，则填写“无”或划“/”。</w:t>
      </w:r>
    </w:p>
    <w:p>
      <w:pPr>
        <w:spacing w:line="360" w:lineRule="auto"/>
        <w:ind w:firstLine="420" w:firstLineChars="200"/>
        <w:outlineLvl w:val="0"/>
        <w:rPr>
          <w:rFonts w:ascii="宋体" w:hAnsi="宋体" w:cs="宋体"/>
          <w:b/>
          <w:color w:val="auto"/>
          <w:szCs w:val="21"/>
          <w:highlight w:val="none"/>
        </w:rPr>
      </w:pPr>
      <w:r>
        <w:rPr>
          <w:rFonts w:hint="eastAsia" w:ascii="宋体" w:hAnsi="宋体" w:cs="宋体"/>
          <w:bCs/>
          <w:color w:val="auto"/>
          <w:szCs w:val="21"/>
          <w:highlight w:val="none"/>
        </w:rPr>
        <w:t>二、《示范文本》的性质和适用范围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示范文本》为非强制性使用文本。《示范文本》适用于房屋建筑工程、土木工程、线路管道和设备安装工程、装修工程等建设工程的施工承发包活动,合同当事人可结合建设工程具体情况，根据《示范文本》订立合同，并按照法律法规规定和合同约定承担相应的法律责任及合同权利义务。</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pStyle w:val="7"/>
        <w:jc w:val="center"/>
        <w:rPr>
          <w:rFonts w:ascii="宋体" w:hAnsi="宋体" w:eastAsia="宋体"/>
          <w:b w:val="0"/>
          <w:color w:val="auto"/>
          <w:sz w:val="24"/>
          <w:szCs w:val="24"/>
          <w:highlight w:val="none"/>
        </w:rPr>
      </w:pPr>
      <w:r>
        <w:rPr>
          <w:rFonts w:hint="eastAsia" w:ascii="宋体" w:hAnsi="宋体"/>
          <w:color w:val="auto"/>
          <w:sz w:val="24"/>
          <w:szCs w:val="24"/>
          <w:highlight w:val="none"/>
        </w:rPr>
        <w:br w:type="page"/>
      </w:r>
      <w:r>
        <w:rPr>
          <w:rFonts w:ascii="宋体" w:hAnsi="宋体" w:eastAsia="宋体"/>
          <w:color w:val="auto"/>
          <w:sz w:val="24"/>
          <w:szCs w:val="24"/>
          <w:highlight w:val="none"/>
        </w:rPr>
        <w:t>第一部分 合同协议书</w:t>
      </w:r>
    </w:p>
    <w:p>
      <w:pPr>
        <w:spacing w:line="360" w:lineRule="auto"/>
        <w:rPr>
          <w:rFonts w:ascii="宋体" w:hAnsi="宋体"/>
          <w:b/>
          <w:color w:val="auto"/>
          <w:szCs w:val="21"/>
          <w:highlight w:val="none"/>
          <w:u w:val="single"/>
        </w:rPr>
      </w:pPr>
      <w:r>
        <w:rPr>
          <w:rFonts w:ascii="宋体" w:hAnsi="宋体"/>
          <w:b/>
          <w:color w:val="auto"/>
          <w:szCs w:val="21"/>
          <w:highlight w:val="none"/>
        </w:rPr>
        <w:t>发包人（全称）：</w:t>
      </w:r>
      <w:r>
        <w:rPr>
          <w:rFonts w:hint="eastAsia" w:ascii="宋体" w:hAnsi="宋体" w:cs="MingLiU_HKSCS"/>
          <w:b/>
          <w:color w:val="auto"/>
          <w:szCs w:val="21"/>
          <w:highlight w:val="none"/>
          <w:u w:val="single"/>
        </w:rPr>
        <w:t></w:t>
      </w:r>
    </w:p>
    <w:p>
      <w:pPr>
        <w:spacing w:line="360" w:lineRule="auto"/>
        <w:rPr>
          <w:rFonts w:ascii="宋体" w:hAnsi="宋体"/>
          <w:b/>
          <w:color w:val="auto"/>
          <w:szCs w:val="21"/>
          <w:highlight w:val="none"/>
          <w:u w:val="single"/>
        </w:rPr>
      </w:pPr>
      <w:r>
        <w:rPr>
          <w:rFonts w:ascii="宋体" w:hAnsi="宋体"/>
          <w:b/>
          <w:color w:val="auto"/>
          <w:szCs w:val="21"/>
          <w:highlight w:val="none"/>
        </w:rPr>
        <w:t>承包人（全称）：</w:t>
      </w:r>
      <w:r>
        <w:rPr>
          <w:rFonts w:hint="eastAsia" w:ascii="宋体" w:hAnsi="宋体" w:cs="MingLiU_HKSCS"/>
          <w:b/>
          <w:color w:val="auto"/>
          <w:szCs w:val="21"/>
          <w:highlight w:val="none"/>
          <w:u w:val="single"/>
        </w:rPr>
        <w:t></w:t>
      </w:r>
    </w:p>
    <w:p>
      <w:pPr>
        <w:spacing w:line="360" w:lineRule="auto"/>
        <w:ind w:firstLine="420" w:firstLineChars="200"/>
        <w:rPr>
          <w:rFonts w:ascii="宋体" w:hAnsi="宋体"/>
          <w:color w:val="auto"/>
          <w:highlight w:val="none"/>
        </w:rPr>
      </w:pPr>
      <w:r>
        <w:rPr>
          <w:rFonts w:ascii="宋体" w:hAnsi="宋体"/>
          <w:color w:val="auto"/>
          <w:highlight w:val="none"/>
        </w:rPr>
        <w:t>根据《</w:t>
      </w:r>
      <w:r>
        <w:rPr>
          <w:rFonts w:hint="eastAsia" w:ascii="宋体" w:hAnsi="宋体"/>
          <w:color w:val="auto"/>
          <w:highlight w:val="none"/>
        </w:rPr>
        <w:t>中华人民共和国民法典</w:t>
      </w:r>
      <w:r>
        <w:rPr>
          <w:rFonts w:ascii="宋体" w:hAnsi="宋体"/>
          <w:color w:val="auto"/>
          <w:highlight w:val="none"/>
        </w:rPr>
        <w:t>》、《中华人民共和国建筑法》及有关法律规定，遵循平等、自愿、公平和诚实信用的原则，双方就工程施工及有关事项协商一致</w:t>
      </w:r>
      <w:r>
        <w:rPr>
          <w:rFonts w:hint="eastAsia" w:ascii="宋体" w:hAnsi="宋体"/>
          <w:color w:val="auto"/>
          <w:highlight w:val="none"/>
        </w:rPr>
        <w:t>，</w:t>
      </w:r>
      <w:r>
        <w:rPr>
          <w:rFonts w:ascii="宋体" w:hAnsi="宋体"/>
          <w:color w:val="auto"/>
          <w:highlight w:val="none"/>
        </w:rPr>
        <w:t>共同达成如下协议：</w:t>
      </w:r>
      <w:bookmarkStart w:id="3" w:name="_Toc351203481"/>
    </w:p>
    <w:p>
      <w:pPr>
        <w:spacing w:line="360" w:lineRule="auto"/>
        <w:rPr>
          <w:rFonts w:ascii="宋体" w:hAnsi="宋体"/>
          <w:color w:val="auto"/>
          <w:highlight w:val="none"/>
        </w:rPr>
      </w:pPr>
      <w:r>
        <w:rPr>
          <w:rFonts w:ascii="宋体" w:hAnsi="宋体"/>
          <w:b/>
          <w:color w:val="auto"/>
          <w:highlight w:val="none"/>
        </w:rPr>
        <w:t>一、工程概况</w:t>
      </w:r>
      <w:bookmarkEnd w:id="3"/>
    </w:p>
    <w:p>
      <w:pPr>
        <w:spacing w:line="360" w:lineRule="auto"/>
        <w:ind w:firstLine="411" w:firstLineChars="196"/>
        <w:rPr>
          <w:rFonts w:ascii="宋体" w:hAnsi="宋体"/>
          <w:color w:val="auto"/>
          <w:szCs w:val="21"/>
          <w:highlight w:val="none"/>
          <w:u w:val="single"/>
        </w:rPr>
      </w:pPr>
      <w:r>
        <w:rPr>
          <w:rFonts w:ascii="宋体" w:hAnsi="宋体"/>
          <w:bCs/>
          <w:color w:val="auto"/>
          <w:szCs w:val="21"/>
          <w:highlight w:val="none"/>
        </w:rPr>
        <w:t>1.工程名称</w:t>
      </w:r>
      <w:r>
        <w:rPr>
          <w:rFonts w:ascii="宋体" w:hAnsi="宋体"/>
          <w:color w:val="auto"/>
          <w:szCs w:val="21"/>
          <w:highlight w:val="none"/>
        </w:rPr>
        <w:t>：</w:t>
      </w:r>
      <w:r>
        <w:rPr>
          <w:rFonts w:hint="eastAsia" w:ascii="宋体" w:hAnsi="宋体" w:cs="MingLiU_HKSCS"/>
          <w:color w:val="auto"/>
          <w:szCs w:val="21"/>
          <w:highlight w:val="none"/>
          <w:u w:val="single"/>
        </w:rPr>
        <w:t></w:t>
      </w:r>
      <w:r>
        <w:rPr>
          <w:rFonts w:ascii="宋体" w:hAnsi="宋体"/>
          <w:color w:val="auto"/>
          <w:szCs w:val="21"/>
          <w:highlight w:val="none"/>
        </w:rPr>
        <w:t>。</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2.工程地点：</w:t>
      </w:r>
      <w:r>
        <w:rPr>
          <w:rFonts w:hint="eastAsia" w:ascii="宋体" w:hAnsi="宋体" w:cs="MingLiU_HKSCS"/>
          <w:color w:val="auto"/>
          <w:szCs w:val="21"/>
          <w:highlight w:val="none"/>
          <w:u w:val="single"/>
        </w:rPr>
        <w:t></w:t>
      </w:r>
      <w:r>
        <w:rPr>
          <w:rFonts w:ascii="宋体" w:hAnsi="宋体"/>
          <w:color w:val="auto"/>
          <w:szCs w:val="21"/>
          <w:highlight w:val="none"/>
        </w:rPr>
        <w:t>。</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3.工程立项批准文号：</w:t>
      </w:r>
      <w:r>
        <w:rPr>
          <w:rFonts w:hint="eastAsia" w:ascii="宋体" w:hAnsi="宋体" w:cs="MingLiU_HKSCS"/>
          <w:color w:val="auto"/>
          <w:szCs w:val="21"/>
          <w:highlight w:val="none"/>
          <w:u w:val="single"/>
        </w:rPr>
        <w:t></w:t>
      </w:r>
      <w:r>
        <w:rPr>
          <w:rFonts w:ascii="宋体" w:hAnsi="宋体"/>
          <w:bCs/>
          <w:color w:val="auto"/>
          <w:szCs w:val="21"/>
          <w:highlight w:val="none"/>
        </w:rPr>
        <w:t>。</w:t>
      </w:r>
    </w:p>
    <w:p>
      <w:pPr>
        <w:spacing w:line="360" w:lineRule="auto"/>
        <w:ind w:firstLine="411" w:firstLineChars="196"/>
        <w:rPr>
          <w:rFonts w:ascii="宋体" w:hAnsi="宋体"/>
          <w:bCs/>
          <w:color w:val="auto"/>
          <w:szCs w:val="21"/>
          <w:highlight w:val="none"/>
        </w:rPr>
      </w:pPr>
      <w:r>
        <w:rPr>
          <w:rFonts w:ascii="宋体" w:hAnsi="宋体"/>
          <w:bCs/>
          <w:color w:val="auto"/>
          <w:szCs w:val="21"/>
          <w:highlight w:val="none"/>
        </w:rPr>
        <w:t>4.资金来源：</w:t>
      </w:r>
      <w:r>
        <w:rPr>
          <w:rFonts w:hint="eastAsia" w:ascii="宋体" w:hAnsi="宋体" w:cs="MingLiU_HKSCS"/>
          <w:color w:val="auto"/>
          <w:szCs w:val="21"/>
          <w:highlight w:val="none"/>
          <w:u w:val="single"/>
        </w:rPr>
        <w:t></w:t>
      </w:r>
      <w:r>
        <w:rPr>
          <w:rFonts w:ascii="宋体" w:hAnsi="宋体"/>
          <w:bCs/>
          <w:color w:val="auto"/>
          <w:szCs w:val="21"/>
          <w:highlight w:val="none"/>
        </w:rPr>
        <w:t>。</w:t>
      </w:r>
    </w:p>
    <w:p>
      <w:pPr>
        <w:spacing w:line="360" w:lineRule="auto"/>
        <w:ind w:firstLine="411" w:firstLineChars="196"/>
        <w:rPr>
          <w:rFonts w:ascii="宋体" w:hAnsi="宋体"/>
          <w:bCs/>
          <w:color w:val="auto"/>
          <w:szCs w:val="21"/>
          <w:highlight w:val="none"/>
        </w:rPr>
      </w:pPr>
      <w:r>
        <w:rPr>
          <w:rFonts w:hint="eastAsia" w:ascii="宋体" w:hAnsi="宋体"/>
          <w:bCs/>
          <w:color w:val="auto"/>
          <w:szCs w:val="21"/>
          <w:highlight w:val="none"/>
        </w:rPr>
        <w:t>5.工程内容：</w:t>
      </w:r>
      <w:r>
        <w:rPr>
          <w:rFonts w:hint="eastAsia" w:ascii="宋体" w:hAnsi="宋体" w:cs="MingLiU_HKSCS"/>
          <w:color w:val="auto"/>
          <w:szCs w:val="21"/>
          <w:highlight w:val="none"/>
          <w:u w:val="single"/>
        </w:rPr>
        <w:t></w:t>
      </w:r>
      <w:r>
        <w:rPr>
          <w:rFonts w:ascii="宋体" w:hAnsi="宋体"/>
          <w:bCs/>
          <w:color w:val="auto"/>
          <w:szCs w:val="21"/>
          <w:highlight w:val="none"/>
        </w:rPr>
        <w:t>。</w:t>
      </w:r>
    </w:p>
    <w:p>
      <w:pPr>
        <w:spacing w:line="360" w:lineRule="auto"/>
        <w:ind w:firstLine="411" w:firstLineChars="196"/>
        <w:rPr>
          <w:rFonts w:ascii="宋体" w:hAnsi="宋体"/>
          <w:bCs/>
          <w:color w:val="auto"/>
          <w:szCs w:val="21"/>
          <w:highlight w:val="none"/>
        </w:rPr>
      </w:pPr>
      <w:r>
        <w:rPr>
          <w:rFonts w:hint="eastAsia" w:ascii="宋体" w:hAnsi="宋体"/>
          <w:color w:val="auto"/>
          <w:szCs w:val="21"/>
          <w:highlight w:val="none"/>
        </w:rPr>
        <w:t>群体工程应附《</w:t>
      </w:r>
      <w:r>
        <w:rPr>
          <w:rFonts w:ascii="宋体" w:hAnsi="宋体"/>
          <w:color w:val="auto"/>
          <w:szCs w:val="21"/>
          <w:highlight w:val="none"/>
        </w:rPr>
        <w:t>承包人承揽工程项目一览表</w:t>
      </w:r>
      <w:r>
        <w:rPr>
          <w:rFonts w:hint="eastAsia" w:ascii="宋体" w:hAnsi="宋体"/>
          <w:color w:val="auto"/>
          <w:szCs w:val="21"/>
          <w:highlight w:val="none"/>
        </w:rPr>
        <w:t>》（附件1）。</w:t>
      </w:r>
    </w:p>
    <w:p>
      <w:pPr>
        <w:spacing w:line="360" w:lineRule="auto"/>
        <w:ind w:firstLine="411" w:firstLineChars="196"/>
        <w:rPr>
          <w:rFonts w:ascii="宋体" w:hAnsi="宋体"/>
          <w:color w:val="auto"/>
          <w:highlight w:val="none"/>
        </w:rPr>
      </w:pPr>
      <w:r>
        <w:rPr>
          <w:rFonts w:hint="eastAsia" w:ascii="宋体" w:hAnsi="宋体"/>
          <w:bCs/>
          <w:color w:val="auto"/>
          <w:highlight w:val="none"/>
        </w:rPr>
        <w:t>6</w:t>
      </w:r>
      <w:r>
        <w:rPr>
          <w:rFonts w:ascii="宋体" w:hAnsi="宋体"/>
          <w:bCs/>
          <w:color w:val="auto"/>
          <w:highlight w:val="none"/>
        </w:rPr>
        <w:t>.工程承包范围：</w:t>
      </w:r>
      <w:r>
        <w:rPr>
          <w:rFonts w:hint="eastAsia" w:ascii="宋体" w:hAnsi="宋体" w:cs="MingLiU_HKSCS"/>
          <w:color w:val="auto"/>
          <w:highlight w:val="none"/>
          <w:u w:val="single"/>
        </w:rPr>
        <w:t></w:t>
      </w:r>
      <w:r>
        <w:rPr>
          <w:rFonts w:ascii="宋体" w:hAnsi="宋体"/>
          <w:color w:val="auto"/>
          <w:highlight w:val="none"/>
        </w:rPr>
        <w:t>。</w:t>
      </w:r>
      <w:bookmarkStart w:id="4" w:name="_Toc351203482"/>
    </w:p>
    <w:p>
      <w:pPr>
        <w:spacing w:line="360" w:lineRule="auto"/>
        <w:rPr>
          <w:rFonts w:ascii="宋体" w:hAnsi="宋体"/>
          <w:color w:val="auto"/>
          <w:szCs w:val="21"/>
          <w:highlight w:val="none"/>
        </w:rPr>
      </w:pPr>
      <w:r>
        <w:rPr>
          <w:rFonts w:ascii="宋体" w:hAnsi="宋体"/>
          <w:b/>
          <w:color w:val="auto"/>
          <w:highlight w:val="none"/>
        </w:rPr>
        <w:t>二、合同工期</w:t>
      </w:r>
      <w:bookmarkEnd w:id="4"/>
    </w:p>
    <w:p>
      <w:pPr>
        <w:spacing w:line="360" w:lineRule="auto"/>
        <w:ind w:firstLine="459"/>
        <w:rPr>
          <w:rFonts w:ascii="宋体" w:hAnsi="宋体"/>
          <w:color w:val="auto"/>
          <w:szCs w:val="21"/>
          <w:highlight w:val="none"/>
        </w:rPr>
      </w:pPr>
      <w:r>
        <w:rPr>
          <w:rFonts w:ascii="宋体" w:hAnsi="宋体"/>
          <w:color w:val="auto"/>
          <w:szCs w:val="21"/>
          <w:highlight w:val="none"/>
        </w:rPr>
        <w:t>计划开工日期：</w:t>
      </w:r>
      <w:r>
        <w:rPr>
          <w:rFonts w:hint="eastAsia" w:ascii="宋体" w:hAnsi="宋体" w:cs="MingLiU_HKSCS"/>
          <w:color w:val="auto"/>
          <w:szCs w:val="21"/>
          <w:highlight w:val="none"/>
          <w:u w:val="single"/>
        </w:rPr>
        <w:t></w:t>
      </w:r>
      <w:r>
        <w:rPr>
          <w:rFonts w:ascii="宋体" w:hAnsi="宋体"/>
          <w:color w:val="auto"/>
          <w:szCs w:val="21"/>
          <w:highlight w:val="none"/>
        </w:rPr>
        <w:t>年</w:t>
      </w:r>
      <w:r>
        <w:rPr>
          <w:rFonts w:hint="eastAsia" w:ascii="宋体" w:hAnsi="宋体" w:cs="MingLiU_HKSCS"/>
          <w:color w:val="auto"/>
          <w:szCs w:val="21"/>
          <w:highlight w:val="none"/>
          <w:u w:val="single"/>
        </w:rPr>
        <w:t></w:t>
      </w:r>
      <w:r>
        <w:rPr>
          <w:rFonts w:ascii="宋体" w:hAnsi="宋体"/>
          <w:color w:val="auto"/>
          <w:szCs w:val="21"/>
          <w:highlight w:val="none"/>
        </w:rPr>
        <w:t>月</w:t>
      </w:r>
      <w:r>
        <w:rPr>
          <w:rFonts w:hint="eastAsia" w:ascii="宋体" w:hAnsi="宋体" w:cs="MingLiU_HKSCS"/>
          <w:color w:val="auto"/>
          <w:szCs w:val="21"/>
          <w:highlight w:val="none"/>
          <w:u w:val="single"/>
        </w:rPr>
        <w:t></w:t>
      </w:r>
      <w:r>
        <w:rPr>
          <w:rFonts w:ascii="宋体" w:hAnsi="宋体"/>
          <w:color w:val="auto"/>
          <w:szCs w:val="21"/>
          <w:highlight w:val="none"/>
        </w:rPr>
        <w:t>日。</w:t>
      </w:r>
    </w:p>
    <w:p>
      <w:pPr>
        <w:spacing w:line="360" w:lineRule="auto"/>
        <w:ind w:firstLine="459"/>
        <w:rPr>
          <w:rFonts w:ascii="宋体" w:hAnsi="宋体"/>
          <w:color w:val="auto"/>
          <w:szCs w:val="21"/>
          <w:highlight w:val="none"/>
        </w:rPr>
      </w:pPr>
      <w:r>
        <w:rPr>
          <w:rFonts w:ascii="宋体" w:hAnsi="宋体"/>
          <w:color w:val="auto"/>
          <w:szCs w:val="21"/>
          <w:highlight w:val="none"/>
        </w:rPr>
        <w:t>计划竣工日期：</w:t>
      </w:r>
      <w:r>
        <w:rPr>
          <w:rFonts w:hint="eastAsia" w:ascii="宋体" w:hAnsi="宋体" w:cs="MingLiU_HKSCS"/>
          <w:color w:val="auto"/>
          <w:szCs w:val="21"/>
          <w:highlight w:val="none"/>
          <w:u w:val="single"/>
        </w:rPr>
        <w:t></w:t>
      </w:r>
      <w:r>
        <w:rPr>
          <w:rFonts w:ascii="宋体" w:hAnsi="宋体"/>
          <w:color w:val="auto"/>
          <w:szCs w:val="21"/>
          <w:highlight w:val="none"/>
        </w:rPr>
        <w:t>年</w:t>
      </w:r>
      <w:r>
        <w:rPr>
          <w:rFonts w:hint="eastAsia" w:ascii="宋体" w:hAnsi="宋体" w:cs="MingLiU_HKSCS"/>
          <w:color w:val="auto"/>
          <w:szCs w:val="21"/>
          <w:highlight w:val="none"/>
          <w:u w:val="single"/>
        </w:rPr>
        <w:t></w:t>
      </w:r>
      <w:r>
        <w:rPr>
          <w:rFonts w:ascii="宋体" w:hAnsi="宋体"/>
          <w:color w:val="auto"/>
          <w:szCs w:val="21"/>
          <w:highlight w:val="none"/>
        </w:rPr>
        <w:t>月</w:t>
      </w:r>
      <w:r>
        <w:rPr>
          <w:rFonts w:hint="eastAsia" w:ascii="宋体" w:hAnsi="宋体" w:cs="MingLiU_HKSCS"/>
          <w:color w:val="auto"/>
          <w:szCs w:val="21"/>
          <w:highlight w:val="none"/>
          <w:u w:val="single"/>
        </w:rPr>
        <w:t></w:t>
      </w:r>
      <w:r>
        <w:rPr>
          <w:rFonts w:ascii="宋体" w:hAnsi="宋体"/>
          <w:color w:val="auto"/>
          <w:szCs w:val="21"/>
          <w:highlight w:val="none"/>
        </w:rPr>
        <w:t>日。</w:t>
      </w:r>
    </w:p>
    <w:p>
      <w:pPr>
        <w:spacing w:line="360" w:lineRule="auto"/>
        <w:ind w:firstLine="459"/>
        <w:rPr>
          <w:rFonts w:ascii="宋体" w:hAnsi="宋体"/>
          <w:color w:val="auto"/>
          <w:highlight w:val="none"/>
        </w:rPr>
      </w:pPr>
      <w:r>
        <w:rPr>
          <w:rFonts w:ascii="宋体" w:hAnsi="宋体"/>
          <w:color w:val="auto"/>
          <w:highlight w:val="none"/>
        </w:rPr>
        <w:t>工期总日历天数：</w:t>
      </w:r>
      <w:r>
        <w:rPr>
          <w:rFonts w:hint="eastAsia" w:ascii="宋体" w:hAnsi="宋体" w:cs="MingLiU_HKSCS"/>
          <w:color w:val="auto"/>
          <w:highlight w:val="none"/>
          <w:u w:val="single"/>
        </w:rPr>
        <w:t></w:t>
      </w:r>
      <w:r>
        <w:rPr>
          <w:rFonts w:ascii="宋体" w:hAnsi="宋体"/>
          <w:color w:val="auto"/>
          <w:highlight w:val="none"/>
        </w:rPr>
        <w:t>天。工期总日历天数与根据前述计划开竣工日期计算的工期天数不一致的，以工期总日历天数为准。</w:t>
      </w:r>
      <w:bookmarkStart w:id="5" w:name="_Toc351203483"/>
    </w:p>
    <w:p>
      <w:pPr>
        <w:spacing w:line="360" w:lineRule="auto"/>
        <w:rPr>
          <w:rFonts w:ascii="宋体" w:hAnsi="宋体"/>
          <w:color w:val="auto"/>
          <w:szCs w:val="21"/>
          <w:highlight w:val="none"/>
        </w:rPr>
      </w:pPr>
      <w:r>
        <w:rPr>
          <w:rFonts w:ascii="宋体" w:hAnsi="宋体"/>
          <w:b/>
          <w:color w:val="auto"/>
          <w:highlight w:val="none"/>
        </w:rPr>
        <w:t>三、质量标准</w:t>
      </w:r>
      <w:bookmarkEnd w:id="5"/>
    </w:p>
    <w:p>
      <w:pPr>
        <w:spacing w:line="360" w:lineRule="auto"/>
        <w:ind w:firstLine="459"/>
        <w:rPr>
          <w:rFonts w:ascii="宋体" w:hAnsi="宋体"/>
          <w:color w:val="auto"/>
          <w:highlight w:val="none"/>
        </w:rPr>
      </w:pPr>
      <w:r>
        <w:rPr>
          <w:rFonts w:ascii="宋体" w:hAnsi="宋体"/>
          <w:color w:val="auto"/>
          <w:highlight w:val="none"/>
        </w:rPr>
        <w:t>工程质量符合</w:t>
      </w:r>
      <w:r>
        <w:rPr>
          <w:rFonts w:hint="eastAsia" w:ascii="宋体" w:hAnsi="宋体" w:cs="MingLiU_HKSCS"/>
          <w:color w:val="auto"/>
          <w:highlight w:val="none"/>
          <w:u w:val="single"/>
        </w:rPr>
        <w:t></w:t>
      </w:r>
      <w:r>
        <w:rPr>
          <w:rFonts w:hint="eastAsia" w:ascii="宋体" w:hAnsi="宋体"/>
          <w:color w:val="auto"/>
          <w:highlight w:val="none"/>
          <w:u w:val="single"/>
        </w:rPr>
        <w:t>一次性通过验收，全部“合格”</w:t>
      </w:r>
      <w:r>
        <w:rPr>
          <w:rFonts w:hint="eastAsia" w:ascii="宋体" w:hAnsi="宋体" w:cs="MingLiU_HKSCS"/>
          <w:color w:val="auto"/>
          <w:highlight w:val="none"/>
          <w:u w:val="single"/>
        </w:rPr>
        <w:t></w:t>
      </w:r>
      <w:r>
        <w:rPr>
          <w:rFonts w:ascii="宋体" w:hAnsi="宋体"/>
          <w:color w:val="auto"/>
          <w:highlight w:val="none"/>
        </w:rPr>
        <w:t>标准。</w:t>
      </w:r>
      <w:bookmarkStart w:id="6" w:name="_Toc351203484"/>
    </w:p>
    <w:p>
      <w:pPr>
        <w:spacing w:line="360" w:lineRule="auto"/>
        <w:rPr>
          <w:rFonts w:ascii="宋体" w:hAnsi="宋体"/>
          <w:color w:val="auto"/>
          <w:szCs w:val="21"/>
          <w:highlight w:val="none"/>
        </w:rPr>
      </w:pPr>
      <w:r>
        <w:rPr>
          <w:rFonts w:ascii="宋体" w:hAnsi="宋体"/>
          <w:b/>
          <w:color w:val="auto"/>
          <w:highlight w:val="none"/>
        </w:rPr>
        <w:t>四、签约合同价与合同价格形式</w:t>
      </w:r>
      <w:bookmarkEnd w:id="6"/>
      <w:r>
        <w:rPr>
          <w:rFonts w:ascii="宋体" w:hAnsi="宋体"/>
          <w:b/>
          <w:color w:val="auto"/>
          <w:highlight w:val="none"/>
        </w:rPr>
        <w:tab/>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1.签约合同价为：</w:t>
      </w:r>
    </w:p>
    <w:p>
      <w:pPr>
        <w:spacing w:line="360" w:lineRule="auto"/>
        <w:ind w:firstLine="525" w:firstLineChars="250"/>
        <w:rPr>
          <w:rFonts w:ascii="宋体" w:hAnsi="宋体"/>
          <w:color w:val="auto"/>
          <w:szCs w:val="21"/>
          <w:highlight w:val="none"/>
        </w:rPr>
      </w:pPr>
      <w:r>
        <w:rPr>
          <w:rFonts w:ascii="宋体" w:hAnsi="宋体"/>
          <w:color w:val="auto"/>
          <w:szCs w:val="21"/>
          <w:highlight w:val="none"/>
        </w:rPr>
        <w:t>人民币（大写）(¥元)；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其中：</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（1）安全文明施工费：</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 (¥元)；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（2）材料和工程设备暂估价金额：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 (¥元)；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（3）专业工程暂估价金额：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 (¥元)；</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（4）暂列金额：</w:t>
      </w:r>
    </w:p>
    <w:p>
      <w:pPr>
        <w:spacing w:line="360" w:lineRule="auto"/>
        <w:ind w:firstLine="945" w:firstLineChars="450"/>
        <w:rPr>
          <w:rFonts w:ascii="宋体" w:hAnsi="宋体"/>
          <w:color w:val="auto"/>
          <w:szCs w:val="21"/>
          <w:highlight w:val="none"/>
        </w:rPr>
      </w:pPr>
      <w:r>
        <w:rPr>
          <w:rFonts w:ascii="宋体" w:hAnsi="宋体"/>
          <w:color w:val="auto"/>
          <w:szCs w:val="21"/>
          <w:highlight w:val="none"/>
        </w:rPr>
        <w:t>人民币（大写） (¥元)。</w:t>
      </w:r>
    </w:p>
    <w:p>
      <w:pPr>
        <w:spacing w:line="360" w:lineRule="auto"/>
        <w:ind w:firstLine="420" w:firstLineChars="200"/>
        <w:rPr>
          <w:rFonts w:ascii="宋体" w:hAnsi="宋体"/>
          <w:color w:val="auto"/>
          <w:highlight w:val="none"/>
        </w:rPr>
      </w:pPr>
      <w:r>
        <w:rPr>
          <w:rFonts w:ascii="宋体" w:hAnsi="宋体"/>
          <w:color w:val="auto"/>
          <w:highlight w:val="none"/>
        </w:rPr>
        <w:t>2.合同价格形式：</w:t>
      </w:r>
      <w:r>
        <w:rPr>
          <w:rFonts w:hint="eastAsia" w:ascii="宋体" w:hAnsi="宋体"/>
          <w:color w:val="auto"/>
          <w:highlight w:val="none"/>
          <w:u w:val="single"/>
          <w:lang w:val="en-US" w:eastAsia="zh-CN"/>
        </w:rPr>
        <w:t>固定单价</w:t>
      </w:r>
      <w:r>
        <w:rPr>
          <w:rFonts w:ascii="宋体" w:hAnsi="宋体"/>
          <w:color w:val="auto"/>
          <w:highlight w:val="none"/>
        </w:rPr>
        <w:t>。</w:t>
      </w:r>
      <w:bookmarkStart w:id="7" w:name="_Toc351203485"/>
    </w:p>
    <w:p>
      <w:pPr>
        <w:spacing w:line="360" w:lineRule="auto"/>
        <w:rPr>
          <w:rFonts w:ascii="宋体" w:hAnsi="宋体"/>
          <w:color w:val="auto"/>
          <w:szCs w:val="21"/>
          <w:highlight w:val="none"/>
        </w:rPr>
      </w:pPr>
      <w:r>
        <w:rPr>
          <w:rFonts w:ascii="宋体" w:hAnsi="宋体"/>
          <w:b/>
          <w:color w:val="auto"/>
          <w:highlight w:val="none"/>
        </w:rPr>
        <w:t>五、</w:t>
      </w:r>
      <w:bookmarkEnd w:id="7"/>
      <w:r>
        <w:rPr>
          <w:rFonts w:ascii="宋体" w:hAnsi="宋体"/>
          <w:b/>
          <w:color w:val="auto"/>
          <w:highlight w:val="none"/>
        </w:rPr>
        <w:t>项目经理</w:t>
      </w:r>
    </w:p>
    <w:p>
      <w:pPr>
        <w:spacing w:line="360" w:lineRule="auto"/>
        <w:ind w:firstLine="420" w:firstLineChars="200"/>
        <w:rPr>
          <w:rFonts w:ascii="宋体" w:hAnsi="宋体"/>
          <w:color w:val="auto"/>
          <w:highlight w:val="none"/>
        </w:rPr>
      </w:pPr>
      <w:r>
        <w:rPr>
          <w:rFonts w:ascii="宋体" w:hAnsi="宋体"/>
          <w:color w:val="auto"/>
          <w:highlight w:val="none"/>
        </w:rPr>
        <w:t>承包人项目经理：</w:t>
      </w:r>
      <w:r>
        <w:rPr>
          <w:rFonts w:hint="eastAsia" w:ascii="宋体" w:hAnsi="宋体" w:cs="MingLiU_HKSCS"/>
          <w:color w:val="auto"/>
          <w:highlight w:val="none"/>
          <w:u w:val="single"/>
        </w:rPr>
        <w:t></w:t>
      </w:r>
      <w:r>
        <w:rPr>
          <w:rFonts w:ascii="宋体" w:hAnsi="宋体"/>
          <w:color w:val="auto"/>
          <w:highlight w:val="none"/>
        </w:rPr>
        <w:t>。</w:t>
      </w:r>
      <w:bookmarkStart w:id="8" w:name="_Toc351203486"/>
    </w:p>
    <w:p>
      <w:pPr>
        <w:spacing w:line="360" w:lineRule="auto"/>
        <w:rPr>
          <w:rFonts w:ascii="宋体" w:hAnsi="宋体"/>
          <w:color w:val="auto"/>
          <w:szCs w:val="21"/>
          <w:highlight w:val="none"/>
        </w:rPr>
      </w:pPr>
      <w:r>
        <w:rPr>
          <w:rFonts w:ascii="宋体" w:hAnsi="宋体"/>
          <w:b/>
          <w:color w:val="auto"/>
          <w:highlight w:val="none"/>
        </w:rPr>
        <w:t>六、合同文件构成</w:t>
      </w:r>
      <w:bookmarkEnd w:id="8"/>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本协议书与下列文件一起构成合同文件：</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（1）中标通知书（如果有）；</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 xml:space="preserve">（2）投标函及其附录（如果有）； </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（3）专用合同条款及其附件；</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（4）通用合同条款；</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（5）技术标准和要求；</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（6）图纸；</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（7）已标价工程量清单或预算书；</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（8）其他合同文件。</w:t>
      </w:r>
    </w:p>
    <w:p>
      <w:pPr>
        <w:autoSpaceDE w:val="0"/>
        <w:autoSpaceDN w:val="0"/>
        <w:adjustRightInd w:val="0"/>
        <w:spacing w:line="360" w:lineRule="auto"/>
        <w:ind w:firstLine="420" w:firstLineChars="200"/>
        <w:jc w:val="left"/>
        <w:rPr>
          <w:rFonts w:ascii="宋体" w:hAnsi="宋体"/>
          <w:color w:val="auto"/>
          <w:szCs w:val="21"/>
          <w:highlight w:val="none"/>
        </w:rPr>
      </w:pPr>
      <w:r>
        <w:rPr>
          <w:rFonts w:ascii="宋体" w:hAnsi="宋体"/>
          <w:color w:val="auto"/>
          <w:szCs w:val="21"/>
          <w:highlight w:val="none"/>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ascii="宋体" w:hAnsi="宋体"/>
          <w:color w:val="auto"/>
          <w:highlight w:val="none"/>
        </w:rPr>
      </w:pPr>
      <w:r>
        <w:rPr>
          <w:rFonts w:ascii="宋体" w:hAnsi="宋体"/>
          <w:color w:val="auto"/>
          <w:highlight w:val="none"/>
        </w:rPr>
        <w:t>上述各项合同文件包括合同当事人就该项合同文件所作出的补充和修改，属于同一类内容的文件，应以最新签署的为准。</w:t>
      </w:r>
      <w:r>
        <w:rPr>
          <w:rFonts w:hint="eastAsia" w:ascii="宋体" w:hAnsi="宋体"/>
          <w:color w:val="auto"/>
          <w:highlight w:val="none"/>
        </w:rPr>
        <w:t>专用合同条款及其附件须经合同当事人签字或盖章。</w:t>
      </w:r>
      <w:bookmarkStart w:id="9" w:name="_Toc351203487"/>
    </w:p>
    <w:p>
      <w:pPr>
        <w:autoSpaceDE w:val="0"/>
        <w:autoSpaceDN w:val="0"/>
        <w:adjustRightInd w:val="0"/>
        <w:spacing w:line="360" w:lineRule="auto"/>
        <w:jc w:val="left"/>
        <w:rPr>
          <w:rFonts w:ascii="宋体" w:hAnsi="宋体"/>
          <w:color w:val="auto"/>
          <w:szCs w:val="21"/>
          <w:highlight w:val="none"/>
        </w:rPr>
      </w:pPr>
      <w:r>
        <w:rPr>
          <w:rFonts w:ascii="宋体" w:hAnsi="宋体"/>
          <w:b/>
          <w:color w:val="auto"/>
          <w:highlight w:val="none"/>
        </w:rPr>
        <w:t>七、承诺</w:t>
      </w:r>
      <w:bookmarkEnd w:id="9"/>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1.发包人承诺按照法律规定履行项目审批手续、筹集工程建设资金并按照合同约定的期限和方式支付合同价款。</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3.发包人和承包人通过招投标形式签订合同的，双方理解并</w:t>
      </w:r>
      <w:r>
        <w:rPr>
          <w:rFonts w:hint="eastAsia" w:ascii="宋体" w:hAnsi="宋体"/>
          <w:bCs/>
          <w:color w:val="auto"/>
          <w:szCs w:val="21"/>
          <w:highlight w:val="none"/>
        </w:rPr>
        <w:t>承诺</w:t>
      </w:r>
      <w:r>
        <w:rPr>
          <w:rFonts w:ascii="宋体" w:hAnsi="宋体"/>
          <w:bCs/>
          <w:color w:val="auto"/>
          <w:szCs w:val="21"/>
          <w:highlight w:val="none"/>
        </w:rPr>
        <w:t>不再就同一工程另行签订与合同实质性内容相背离的协议。</w:t>
      </w:r>
    </w:p>
    <w:p>
      <w:pPr>
        <w:spacing w:line="360" w:lineRule="auto"/>
        <w:rPr>
          <w:rFonts w:ascii="宋体" w:hAnsi="宋体"/>
          <w:bCs/>
          <w:color w:val="auto"/>
          <w:szCs w:val="21"/>
          <w:highlight w:val="none"/>
        </w:rPr>
      </w:pPr>
      <w:bookmarkStart w:id="10" w:name="_Toc351203488"/>
      <w:r>
        <w:rPr>
          <w:rFonts w:ascii="宋体" w:hAnsi="宋体"/>
          <w:b/>
          <w:color w:val="auto"/>
          <w:szCs w:val="21"/>
          <w:highlight w:val="none"/>
        </w:rPr>
        <w:t>八、词语含义</w:t>
      </w:r>
      <w:bookmarkEnd w:id="10"/>
    </w:p>
    <w:p>
      <w:pPr>
        <w:spacing w:line="360" w:lineRule="auto"/>
        <w:ind w:firstLine="420" w:firstLineChars="200"/>
        <w:rPr>
          <w:rFonts w:ascii="宋体" w:hAnsi="宋体"/>
          <w:color w:val="auto"/>
          <w:highlight w:val="none"/>
        </w:rPr>
      </w:pPr>
      <w:r>
        <w:rPr>
          <w:rFonts w:ascii="宋体" w:hAnsi="宋体"/>
          <w:color w:val="auto"/>
          <w:highlight w:val="none"/>
        </w:rPr>
        <w:t>本协议书中词语含义与第二部分通用合同条款中赋予的含义相同。</w:t>
      </w:r>
      <w:bookmarkStart w:id="11" w:name="_Toc351203489"/>
    </w:p>
    <w:p>
      <w:pPr>
        <w:spacing w:line="360" w:lineRule="auto"/>
        <w:rPr>
          <w:rFonts w:ascii="宋体" w:hAnsi="宋体"/>
          <w:bCs/>
          <w:color w:val="auto"/>
          <w:szCs w:val="21"/>
          <w:highlight w:val="none"/>
        </w:rPr>
      </w:pPr>
      <w:r>
        <w:rPr>
          <w:rFonts w:ascii="宋体" w:hAnsi="宋体"/>
          <w:b/>
          <w:color w:val="auto"/>
          <w:highlight w:val="none"/>
        </w:rPr>
        <w:t>九、签订时间</w:t>
      </w:r>
      <w:bookmarkEnd w:id="11"/>
    </w:p>
    <w:p>
      <w:pPr>
        <w:spacing w:line="360" w:lineRule="auto"/>
        <w:ind w:firstLine="420" w:firstLineChars="200"/>
        <w:rPr>
          <w:rFonts w:ascii="宋体" w:hAnsi="宋体"/>
          <w:color w:val="auto"/>
          <w:highlight w:val="none"/>
        </w:rPr>
      </w:pPr>
      <w:r>
        <w:rPr>
          <w:rFonts w:ascii="宋体" w:hAnsi="宋体"/>
          <w:color w:val="auto"/>
          <w:highlight w:val="none"/>
        </w:rPr>
        <w:t>本合同于</w:t>
      </w:r>
      <w:r>
        <w:rPr>
          <w:rFonts w:hint="eastAsia" w:ascii="宋体" w:hAnsi="宋体"/>
          <w:color w:val="auto"/>
          <w:highlight w:val="none"/>
          <w:u w:val="single"/>
          <w:lang w:val="en-US" w:eastAsia="zh-CN"/>
        </w:rPr>
        <w:t xml:space="preserve">   </w:t>
      </w:r>
      <w:r>
        <w:rPr>
          <w:rFonts w:ascii="宋体" w:hAnsi="宋体"/>
          <w:color w:val="auto"/>
          <w:highlight w:val="none"/>
        </w:rPr>
        <w:t>年</w:t>
      </w:r>
      <w:r>
        <w:rPr>
          <w:rFonts w:hint="eastAsia" w:ascii="宋体" w:hAnsi="宋体"/>
          <w:color w:val="auto"/>
          <w:highlight w:val="none"/>
          <w:u w:val="single"/>
          <w:lang w:val="en-US" w:eastAsia="zh-CN"/>
        </w:rPr>
        <w:t xml:space="preserve">   </w:t>
      </w:r>
      <w:r>
        <w:rPr>
          <w:rFonts w:ascii="宋体" w:hAnsi="宋体"/>
          <w:color w:val="auto"/>
          <w:highlight w:val="none"/>
        </w:rPr>
        <w:t>月</w:t>
      </w:r>
      <w:r>
        <w:rPr>
          <w:rFonts w:hint="eastAsia" w:ascii="宋体" w:hAnsi="宋体"/>
          <w:color w:val="auto"/>
          <w:highlight w:val="none"/>
          <w:u w:val="single"/>
          <w:lang w:val="en-US" w:eastAsia="zh-CN"/>
        </w:rPr>
        <w:t xml:space="preserve">   </w:t>
      </w:r>
      <w:r>
        <w:rPr>
          <w:rFonts w:ascii="宋体" w:hAnsi="宋体"/>
          <w:color w:val="auto"/>
          <w:highlight w:val="none"/>
        </w:rPr>
        <w:t>日签订。</w:t>
      </w:r>
      <w:bookmarkStart w:id="12" w:name="_Toc351203490"/>
    </w:p>
    <w:p>
      <w:pPr>
        <w:spacing w:line="360" w:lineRule="auto"/>
        <w:rPr>
          <w:rFonts w:ascii="宋体" w:hAnsi="宋体"/>
          <w:bCs/>
          <w:color w:val="auto"/>
          <w:szCs w:val="21"/>
          <w:highlight w:val="none"/>
        </w:rPr>
      </w:pPr>
      <w:r>
        <w:rPr>
          <w:rFonts w:ascii="宋体" w:hAnsi="宋体"/>
          <w:b/>
          <w:color w:val="auto"/>
          <w:highlight w:val="none"/>
        </w:rPr>
        <w:t>十、签订地点</w:t>
      </w:r>
      <w:bookmarkEnd w:id="12"/>
    </w:p>
    <w:p>
      <w:pPr>
        <w:spacing w:line="360" w:lineRule="auto"/>
        <w:ind w:firstLine="420" w:firstLineChars="200"/>
        <w:rPr>
          <w:rFonts w:ascii="宋体" w:hAnsi="宋体"/>
          <w:color w:val="auto"/>
          <w:highlight w:val="none"/>
        </w:rPr>
      </w:pPr>
      <w:r>
        <w:rPr>
          <w:rFonts w:ascii="宋体" w:hAnsi="宋体"/>
          <w:color w:val="auto"/>
          <w:highlight w:val="none"/>
        </w:rPr>
        <w:t>本合同在</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rPr>
        <w:t>签订。</w:t>
      </w:r>
      <w:bookmarkStart w:id="13" w:name="_Toc351203491"/>
    </w:p>
    <w:p>
      <w:pPr>
        <w:spacing w:line="360" w:lineRule="auto"/>
        <w:rPr>
          <w:rFonts w:ascii="宋体" w:hAnsi="宋体"/>
          <w:bCs/>
          <w:color w:val="auto"/>
          <w:szCs w:val="21"/>
          <w:highlight w:val="none"/>
        </w:rPr>
      </w:pPr>
      <w:r>
        <w:rPr>
          <w:rFonts w:ascii="宋体" w:hAnsi="宋体"/>
          <w:b/>
          <w:color w:val="auto"/>
          <w:highlight w:val="none"/>
        </w:rPr>
        <w:t>十一、补充协议</w:t>
      </w:r>
      <w:bookmarkEnd w:id="13"/>
    </w:p>
    <w:p>
      <w:pPr>
        <w:spacing w:line="360" w:lineRule="auto"/>
        <w:ind w:firstLine="420" w:firstLineChars="200"/>
        <w:rPr>
          <w:rFonts w:ascii="宋体" w:hAnsi="宋体"/>
          <w:color w:val="auto"/>
          <w:highlight w:val="none"/>
        </w:rPr>
      </w:pPr>
      <w:r>
        <w:rPr>
          <w:rFonts w:ascii="宋体" w:hAnsi="宋体"/>
          <w:color w:val="auto"/>
          <w:highlight w:val="none"/>
        </w:rPr>
        <w:t>合同未尽事宜，合同当事人另行签订补充协议</w:t>
      </w:r>
      <w:r>
        <w:rPr>
          <w:rFonts w:hint="eastAsia" w:ascii="宋体" w:hAnsi="宋体"/>
          <w:color w:val="auto"/>
          <w:highlight w:val="none"/>
        </w:rPr>
        <w:t>，</w:t>
      </w:r>
      <w:r>
        <w:rPr>
          <w:rFonts w:ascii="宋体" w:hAnsi="宋体"/>
          <w:color w:val="auto"/>
          <w:highlight w:val="none"/>
        </w:rPr>
        <w:t>补充协议是合同的组成部分。</w:t>
      </w:r>
      <w:bookmarkStart w:id="14" w:name="_Toc351203492"/>
    </w:p>
    <w:p>
      <w:pPr>
        <w:spacing w:line="360" w:lineRule="auto"/>
        <w:rPr>
          <w:rFonts w:ascii="宋体" w:hAnsi="宋体"/>
          <w:b/>
          <w:bCs/>
          <w:color w:val="auto"/>
          <w:szCs w:val="21"/>
          <w:highlight w:val="none"/>
        </w:rPr>
      </w:pPr>
      <w:r>
        <w:rPr>
          <w:rFonts w:ascii="宋体" w:hAnsi="宋体"/>
          <w:b/>
          <w:color w:val="auto"/>
          <w:highlight w:val="none"/>
        </w:rPr>
        <w:t>十二、合同生效</w:t>
      </w:r>
      <w:bookmarkEnd w:id="14"/>
    </w:p>
    <w:p>
      <w:pPr>
        <w:spacing w:line="360" w:lineRule="auto"/>
        <w:ind w:firstLine="420" w:firstLineChars="200"/>
        <w:rPr>
          <w:rFonts w:ascii="宋体" w:hAnsi="宋体"/>
          <w:color w:val="auto"/>
          <w:highlight w:val="none"/>
        </w:rPr>
      </w:pPr>
      <w:r>
        <w:rPr>
          <w:rFonts w:ascii="宋体" w:hAnsi="宋体"/>
          <w:color w:val="auto"/>
          <w:highlight w:val="none"/>
        </w:rPr>
        <w:t>本合同自</w:t>
      </w:r>
      <w:r>
        <w:rPr>
          <w:rFonts w:hint="eastAsia" w:ascii="宋体" w:hAnsi="宋体"/>
          <w:color w:val="auto"/>
          <w:highlight w:val="none"/>
          <w:u w:val="single"/>
        </w:rPr>
        <w:t>双方签字盖章后</w:t>
      </w:r>
      <w:r>
        <w:rPr>
          <w:rFonts w:ascii="宋体" w:hAnsi="宋体"/>
          <w:color w:val="auto"/>
          <w:highlight w:val="none"/>
        </w:rPr>
        <w:t>生效。</w:t>
      </w:r>
      <w:bookmarkStart w:id="15" w:name="_Toc351203493"/>
    </w:p>
    <w:p>
      <w:pPr>
        <w:spacing w:line="360" w:lineRule="auto"/>
        <w:rPr>
          <w:rFonts w:ascii="宋体" w:hAnsi="宋体"/>
          <w:bCs/>
          <w:color w:val="auto"/>
          <w:szCs w:val="21"/>
          <w:highlight w:val="none"/>
        </w:rPr>
      </w:pPr>
      <w:r>
        <w:rPr>
          <w:rFonts w:ascii="宋体" w:hAnsi="宋体"/>
          <w:b/>
          <w:color w:val="auto"/>
          <w:highlight w:val="none"/>
        </w:rPr>
        <w:t>十三、合同份数</w:t>
      </w:r>
      <w:bookmarkEnd w:id="15"/>
    </w:p>
    <w:p>
      <w:pPr>
        <w:spacing w:line="360" w:lineRule="auto"/>
        <w:ind w:firstLine="420" w:firstLineChars="200"/>
        <w:rPr>
          <w:rFonts w:ascii="宋体" w:hAnsi="宋体"/>
          <w:bCs/>
          <w:color w:val="auto"/>
          <w:szCs w:val="21"/>
          <w:highlight w:val="none"/>
        </w:rPr>
      </w:pPr>
      <w:r>
        <w:rPr>
          <w:rFonts w:ascii="宋体" w:hAnsi="宋体"/>
          <w:bCs/>
          <w:color w:val="auto"/>
          <w:szCs w:val="21"/>
          <w:highlight w:val="none"/>
        </w:rPr>
        <w:t>本合同一式</w:t>
      </w:r>
      <w:r>
        <w:rPr>
          <w:rFonts w:hint="eastAsia" w:ascii="宋体" w:hAnsi="宋体"/>
          <w:bCs/>
          <w:color w:val="auto"/>
          <w:szCs w:val="21"/>
          <w:highlight w:val="none"/>
          <w:u w:val="single"/>
          <w:lang w:val="en-US" w:eastAsia="zh-CN"/>
        </w:rPr>
        <w:t>陆</w:t>
      </w:r>
      <w:r>
        <w:rPr>
          <w:rFonts w:ascii="宋体" w:hAnsi="宋体"/>
          <w:bCs/>
          <w:color w:val="auto"/>
          <w:szCs w:val="21"/>
          <w:highlight w:val="none"/>
        </w:rPr>
        <w:t>份，均具有同等法律效力，发包人执</w:t>
      </w:r>
      <w:r>
        <w:rPr>
          <w:rFonts w:hint="eastAsia" w:ascii="宋体" w:hAnsi="宋体"/>
          <w:bCs/>
          <w:color w:val="auto"/>
          <w:szCs w:val="21"/>
          <w:highlight w:val="none"/>
          <w:u w:val="single"/>
          <w:lang w:val="en-US" w:eastAsia="zh-CN"/>
        </w:rPr>
        <w:t>贰</w:t>
      </w:r>
      <w:r>
        <w:rPr>
          <w:rFonts w:ascii="宋体" w:hAnsi="宋体"/>
          <w:bCs/>
          <w:color w:val="auto"/>
          <w:szCs w:val="21"/>
          <w:highlight w:val="none"/>
        </w:rPr>
        <w:t>份，承包人执</w:t>
      </w:r>
      <w:r>
        <w:rPr>
          <w:rFonts w:hint="eastAsia" w:ascii="宋体" w:hAnsi="宋体"/>
          <w:bCs/>
          <w:color w:val="auto"/>
          <w:szCs w:val="21"/>
          <w:highlight w:val="none"/>
          <w:u w:val="single"/>
          <w:lang w:val="en-US" w:eastAsia="zh-CN"/>
        </w:rPr>
        <w:t>贰</w:t>
      </w:r>
      <w:r>
        <w:rPr>
          <w:rFonts w:ascii="宋体" w:hAnsi="宋体"/>
          <w:bCs/>
          <w:color w:val="auto"/>
          <w:szCs w:val="21"/>
          <w:highlight w:val="none"/>
        </w:rPr>
        <w:t>份</w:t>
      </w:r>
      <w:r>
        <w:rPr>
          <w:rFonts w:hint="eastAsia" w:ascii="宋体" w:hAnsi="宋体"/>
          <w:bCs/>
          <w:color w:val="auto"/>
          <w:szCs w:val="21"/>
          <w:highlight w:val="none"/>
          <w:lang w:eastAsia="zh-CN"/>
        </w:rPr>
        <w:t>，</w:t>
      </w:r>
      <w:r>
        <w:rPr>
          <w:rFonts w:hint="eastAsia" w:ascii="宋体" w:hAnsi="宋体" w:eastAsia="宋体"/>
          <w:bCs/>
          <w:color w:val="auto"/>
          <w:szCs w:val="21"/>
          <w:highlight w:val="none"/>
        </w:rPr>
        <w:t>普信国际工程咨询有限公司执</w:t>
      </w:r>
      <w:r>
        <w:rPr>
          <w:rFonts w:hint="eastAsia" w:ascii="宋体" w:hAnsi="宋体" w:eastAsia="宋体"/>
          <w:bCs/>
          <w:color w:val="auto"/>
          <w:szCs w:val="21"/>
          <w:highlight w:val="none"/>
          <w:u w:val="single"/>
          <w:lang w:val="en-US" w:eastAsia="zh-CN"/>
        </w:rPr>
        <w:t>贰</w:t>
      </w:r>
      <w:r>
        <w:rPr>
          <w:rFonts w:hint="eastAsia" w:ascii="宋体" w:hAnsi="宋体" w:eastAsia="宋体"/>
          <w:bCs/>
          <w:color w:val="auto"/>
          <w:szCs w:val="21"/>
          <w:highlight w:val="none"/>
        </w:rPr>
        <w:t>份</w:t>
      </w:r>
      <w:r>
        <w:rPr>
          <w:rFonts w:ascii="宋体" w:hAnsi="宋体" w:eastAsia="宋体"/>
          <w:bCs/>
          <w:color w:val="auto"/>
          <w:szCs w:val="21"/>
          <w:highlight w:val="none"/>
        </w:rPr>
        <w:t>。</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r>
        <w:rPr>
          <w:rFonts w:ascii="宋体" w:hAnsi="宋体"/>
          <w:color w:val="auto"/>
          <w:szCs w:val="21"/>
          <w:highlight w:val="none"/>
        </w:rPr>
        <w:t>发包人</w:t>
      </w:r>
      <w:r>
        <w:rPr>
          <w:rFonts w:hint="eastAsia" w:ascii="宋体" w:hAnsi="宋体"/>
          <w:color w:val="auto"/>
          <w:szCs w:val="21"/>
          <w:highlight w:val="none"/>
        </w:rPr>
        <w:t xml:space="preserve">：  </w:t>
      </w:r>
      <w:r>
        <w:rPr>
          <w:rFonts w:ascii="宋体" w:hAnsi="宋体"/>
          <w:color w:val="auto"/>
          <w:szCs w:val="21"/>
          <w:highlight w:val="none"/>
        </w:rPr>
        <w:t xml:space="preserve">(公章)               </w:t>
      </w:r>
      <w:r>
        <w:rPr>
          <w:rFonts w:hint="eastAsia" w:ascii="宋体" w:hAnsi="宋体"/>
          <w:color w:val="auto"/>
          <w:szCs w:val="21"/>
          <w:highlight w:val="none"/>
          <w:lang w:val="en-US" w:eastAsia="zh-CN"/>
        </w:rPr>
        <w:t xml:space="preserve">    </w:t>
      </w:r>
      <w:r>
        <w:rPr>
          <w:rFonts w:ascii="宋体" w:hAnsi="宋体"/>
          <w:color w:val="auto"/>
          <w:szCs w:val="21"/>
          <w:highlight w:val="none"/>
        </w:rPr>
        <w:t>承包人</w:t>
      </w:r>
      <w:r>
        <w:rPr>
          <w:rFonts w:hint="eastAsia" w:ascii="宋体" w:hAnsi="宋体"/>
          <w:color w:val="auto"/>
          <w:szCs w:val="21"/>
          <w:highlight w:val="none"/>
        </w:rPr>
        <w:t xml:space="preserve">：  </w:t>
      </w:r>
      <w:r>
        <w:rPr>
          <w:rFonts w:ascii="宋体" w:hAnsi="宋体"/>
          <w:color w:val="auto"/>
          <w:szCs w:val="21"/>
          <w:highlight w:val="none"/>
        </w:rPr>
        <w:t>(公章)</w:t>
      </w:r>
    </w:p>
    <w:p>
      <w:pPr>
        <w:spacing w:line="360" w:lineRule="auto"/>
        <w:rPr>
          <w:rFonts w:ascii="宋体" w:hAnsi="宋体"/>
          <w:color w:val="auto"/>
          <w:szCs w:val="21"/>
          <w:highlight w:val="none"/>
          <w:u w:val="single"/>
        </w:rPr>
      </w:pPr>
    </w:p>
    <w:p>
      <w:pPr>
        <w:spacing w:line="360" w:lineRule="auto"/>
        <w:rPr>
          <w:rFonts w:ascii="宋体" w:hAnsi="宋体"/>
          <w:color w:val="auto"/>
          <w:szCs w:val="21"/>
          <w:highlight w:val="none"/>
        </w:rPr>
      </w:pPr>
      <w:r>
        <w:rPr>
          <w:rFonts w:hint="eastAsia" w:ascii="宋体" w:hAnsi="宋体"/>
          <w:color w:val="auto"/>
          <w:szCs w:val="21"/>
          <w:highlight w:val="none"/>
        </w:rPr>
        <w:t xml:space="preserve">法定代表人或其委托代理人：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法定代表人或其委托代理人：</w:t>
      </w:r>
    </w:p>
    <w:p>
      <w:pPr>
        <w:spacing w:line="360" w:lineRule="auto"/>
        <w:rPr>
          <w:rFonts w:ascii="宋体" w:hAnsi="宋体"/>
          <w:color w:val="auto"/>
          <w:szCs w:val="21"/>
          <w:highlight w:val="none"/>
        </w:rPr>
      </w:pPr>
      <w:r>
        <w:rPr>
          <w:rFonts w:hint="eastAsia" w:ascii="宋体" w:hAnsi="宋体"/>
          <w:color w:val="auto"/>
          <w:szCs w:val="21"/>
          <w:highlight w:val="none"/>
        </w:rPr>
        <w:t xml:space="preserve">（签字）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（签字）</w:t>
      </w:r>
    </w:p>
    <w:p>
      <w:pPr>
        <w:spacing w:line="360" w:lineRule="auto"/>
        <w:rPr>
          <w:rFonts w:ascii="宋体" w:hAnsi="宋体"/>
          <w:color w:val="auto"/>
          <w:szCs w:val="21"/>
          <w:highlight w:val="none"/>
          <w:u w:val="single"/>
        </w:rPr>
      </w:pPr>
    </w:p>
    <w:p>
      <w:pPr>
        <w:tabs>
          <w:tab w:val="left" w:pos="4410"/>
        </w:tabs>
        <w:spacing w:line="360" w:lineRule="auto"/>
        <w:rPr>
          <w:rFonts w:ascii="宋体" w:hAnsi="宋体"/>
          <w:color w:val="auto"/>
          <w:szCs w:val="21"/>
          <w:highlight w:val="none"/>
        </w:rPr>
      </w:pPr>
      <w:r>
        <w:rPr>
          <w:rFonts w:hint="eastAsia" w:ascii="宋体" w:hAnsi="宋体"/>
          <w:color w:val="auto"/>
          <w:szCs w:val="21"/>
          <w:highlight w:val="none"/>
        </w:rPr>
        <w:t>组织机构代码：</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组织机构代码：</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地  址：</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r>
        <w:rPr>
          <w:rFonts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地  址：</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邮政编码：</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r>
        <w:rPr>
          <w:rFonts w:ascii="宋体" w:hAnsi="宋体"/>
          <w:color w:val="auto"/>
          <w:szCs w:val="21"/>
          <w:highlight w:val="none"/>
        </w:rPr>
        <w:t xml:space="preserve">        邮政编码：</w:t>
      </w:r>
      <w:r>
        <w:rPr>
          <w:rFonts w:hint="eastAsia" w:ascii="宋体" w:hAnsi="宋体" w:cs="MingLiU_HKSCS"/>
          <w:color w:val="auto"/>
          <w:szCs w:val="21"/>
          <w:highlight w:val="none"/>
          <w:u w:val="single"/>
        </w:rPr>
        <w:t></w:t>
      </w:r>
    </w:p>
    <w:p>
      <w:pPr>
        <w:spacing w:line="360" w:lineRule="auto"/>
        <w:rPr>
          <w:rFonts w:hint="default" w:ascii="宋体" w:hAnsi="宋体" w:eastAsia="宋体"/>
          <w:color w:val="auto"/>
          <w:szCs w:val="21"/>
          <w:highlight w:val="none"/>
          <w:lang w:val="en-US" w:eastAsia="zh-CN"/>
        </w:rPr>
      </w:pPr>
      <w:r>
        <w:rPr>
          <w:rFonts w:ascii="宋体" w:hAnsi="宋体"/>
          <w:color w:val="auto"/>
          <w:szCs w:val="21"/>
          <w:highlight w:val="none"/>
        </w:rPr>
        <w:t>法定代表人：</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none"/>
          <w:lang w:val="en-US" w:eastAsia="zh-CN"/>
        </w:rPr>
        <w:t xml:space="preserve">        </w:t>
      </w:r>
      <w:r>
        <w:rPr>
          <w:rFonts w:ascii="宋体" w:hAnsi="宋体"/>
          <w:color w:val="auto"/>
          <w:szCs w:val="21"/>
          <w:highlight w:val="none"/>
        </w:rPr>
        <w:t>法定代表人：</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p>
    <w:p>
      <w:pPr>
        <w:spacing w:line="360" w:lineRule="auto"/>
        <w:rPr>
          <w:rFonts w:ascii="宋体" w:hAnsi="宋体"/>
          <w:color w:val="auto"/>
          <w:szCs w:val="21"/>
          <w:highlight w:val="none"/>
        </w:rPr>
      </w:pPr>
      <w:r>
        <w:rPr>
          <w:rFonts w:ascii="宋体" w:hAnsi="宋体"/>
          <w:color w:val="auto"/>
          <w:szCs w:val="21"/>
          <w:highlight w:val="none"/>
        </w:rPr>
        <w:t>委托代理人：</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none"/>
          <w:lang w:val="en-US" w:eastAsia="zh-CN"/>
        </w:rPr>
        <w:t xml:space="preserve">        </w:t>
      </w:r>
      <w:r>
        <w:rPr>
          <w:rFonts w:ascii="宋体" w:hAnsi="宋体"/>
          <w:color w:val="auto"/>
          <w:szCs w:val="21"/>
          <w:highlight w:val="none"/>
        </w:rPr>
        <w:t>委托代理人：</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电  话：</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single"/>
        </w:rPr>
        <w:t></w:t>
      </w:r>
      <w:r>
        <w:rPr>
          <w:rFonts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电  话：</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传  真：</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none"/>
          <w:lang w:val="en-US" w:eastAsia="zh-CN"/>
        </w:rPr>
        <w:t xml:space="preserve">        </w:t>
      </w:r>
      <w:r>
        <w:rPr>
          <w:rFonts w:ascii="宋体" w:hAnsi="宋体"/>
          <w:color w:val="auto"/>
          <w:szCs w:val="21"/>
          <w:highlight w:val="none"/>
        </w:rPr>
        <w:t>传  真：</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电子信箱：</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ascii="宋体" w:hAnsi="宋体"/>
          <w:color w:val="auto"/>
          <w:szCs w:val="21"/>
          <w:highlight w:val="none"/>
        </w:rPr>
        <w:t xml:space="preserve"> 电子信箱：</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开户银行：</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none"/>
          <w:lang w:val="en-US" w:eastAsia="zh-CN"/>
        </w:rPr>
        <w:t xml:space="preserve">        </w:t>
      </w:r>
      <w:r>
        <w:rPr>
          <w:rFonts w:ascii="宋体" w:hAnsi="宋体"/>
          <w:color w:val="auto"/>
          <w:szCs w:val="21"/>
          <w:highlight w:val="none"/>
        </w:rPr>
        <w:t>开户银行：</w:t>
      </w:r>
      <w:r>
        <w:rPr>
          <w:rFonts w:hint="eastAsia" w:ascii="宋体" w:hAnsi="宋体" w:cs="MingLiU_HKSCS"/>
          <w:color w:val="auto"/>
          <w:szCs w:val="21"/>
          <w:highlight w:val="none"/>
          <w:u w:val="single"/>
        </w:rPr>
        <w:t></w:t>
      </w:r>
    </w:p>
    <w:p>
      <w:pPr>
        <w:spacing w:line="360" w:lineRule="auto"/>
        <w:rPr>
          <w:rFonts w:ascii="宋体" w:hAnsi="宋体"/>
          <w:color w:val="auto"/>
          <w:szCs w:val="21"/>
          <w:highlight w:val="none"/>
        </w:rPr>
      </w:pPr>
      <w:r>
        <w:rPr>
          <w:rFonts w:ascii="宋体" w:hAnsi="宋体"/>
          <w:color w:val="auto"/>
          <w:szCs w:val="21"/>
          <w:highlight w:val="none"/>
        </w:rPr>
        <w:t>账  号：</w:t>
      </w:r>
      <w:r>
        <w:rPr>
          <w:rFonts w:hint="eastAsia" w:ascii="宋体" w:hAnsi="宋体" w:cs="MingLiU_HKSCS"/>
          <w:color w:val="auto"/>
          <w:szCs w:val="21"/>
          <w:highlight w:val="none"/>
          <w:u w:val="single"/>
        </w:rPr>
        <w:t></w:t>
      </w:r>
      <w:r>
        <w:rPr>
          <w:rFonts w:hint="eastAsia" w:ascii="宋体" w:hAnsi="宋体" w:cs="MingLiU_HKSCS"/>
          <w:color w:val="auto"/>
          <w:szCs w:val="21"/>
          <w:highlight w:val="none"/>
          <w:u w:val="single"/>
          <w:lang w:val="en-US" w:eastAsia="zh-CN"/>
        </w:rPr>
        <w:t xml:space="preserve">       </w:t>
      </w:r>
      <w:r>
        <w:rPr>
          <w:rFonts w:hint="eastAsia" w:ascii="宋体" w:hAnsi="宋体" w:cs="MingLiU_HKSCS"/>
          <w:color w:val="auto"/>
          <w:szCs w:val="21"/>
          <w:highlight w:val="none"/>
          <w:u w:val="none"/>
          <w:lang w:val="en-US" w:eastAsia="zh-CN"/>
        </w:rPr>
        <w:t xml:space="preserve">        </w:t>
      </w:r>
      <w:r>
        <w:rPr>
          <w:rFonts w:ascii="宋体" w:hAnsi="宋体"/>
          <w:color w:val="auto"/>
          <w:szCs w:val="21"/>
          <w:highlight w:val="none"/>
        </w:rPr>
        <w:t>账 号：</w:t>
      </w:r>
      <w:r>
        <w:rPr>
          <w:rFonts w:hint="eastAsia" w:ascii="宋体" w:hAnsi="宋体" w:cs="MingLiU_HKSCS"/>
          <w:color w:val="auto"/>
          <w:szCs w:val="21"/>
          <w:highlight w:val="none"/>
          <w:u w:val="single"/>
        </w:rPr>
        <w:t></w:t>
      </w:r>
    </w:p>
    <w:p>
      <w:pPr>
        <w:keepNext/>
        <w:keepLines/>
        <w:spacing w:line="360" w:lineRule="auto"/>
        <w:jc w:val="center"/>
        <w:outlineLvl w:val="2"/>
        <w:rPr>
          <w:rFonts w:ascii="宋体" w:hAnsi="宋体"/>
          <w:b/>
          <w:bCs/>
          <w:color w:val="auto"/>
          <w:sz w:val="24"/>
          <w:highlight w:val="none"/>
        </w:rPr>
      </w:pPr>
    </w:p>
    <w:p>
      <w:pPr>
        <w:keepNext/>
        <w:keepLines/>
        <w:spacing w:line="360" w:lineRule="auto"/>
        <w:jc w:val="center"/>
        <w:outlineLvl w:val="2"/>
        <w:rPr>
          <w:rFonts w:ascii="宋体" w:hAnsi="宋体"/>
          <w:b/>
          <w:bCs/>
          <w:color w:val="auto"/>
          <w:sz w:val="24"/>
          <w:highlight w:val="none"/>
        </w:rPr>
      </w:pPr>
    </w:p>
    <w:p>
      <w:pPr>
        <w:rPr>
          <w:color w:val="auto"/>
          <w:highlight w:val="none"/>
        </w:rPr>
      </w:pPr>
      <w:r>
        <w:rPr>
          <w:rFonts w:hint="eastAsia"/>
          <w:color w:val="auto"/>
          <w:highlight w:val="none"/>
        </w:rPr>
        <w:t>见证方：</w:t>
      </w:r>
    </w:p>
    <w:p>
      <w:pPr>
        <w:keepNext/>
        <w:keepLines/>
        <w:spacing w:line="360" w:lineRule="auto"/>
        <w:jc w:val="center"/>
        <w:outlineLvl w:val="2"/>
        <w:rPr>
          <w:rFonts w:ascii="宋体" w:hAnsi="宋体"/>
          <w:b/>
          <w:bCs/>
          <w:color w:val="auto"/>
          <w:sz w:val="24"/>
          <w:highlight w:val="none"/>
        </w:rPr>
      </w:pPr>
    </w:p>
    <w:p>
      <w:pPr>
        <w:keepNext/>
        <w:keepLines/>
        <w:spacing w:line="360" w:lineRule="auto"/>
        <w:jc w:val="center"/>
        <w:outlineLvl w:val="2"/>
        <w:rPr>
          <w:rFonts w:ascii="宋体" w:hAnsi="宋体"/>
          <w:b/>
          <w:bCs/>
          <w:color w:val="auto"/>
          <w:sz w:val="24"/>
          <w:highlight w:val="none"/>
        </w:rPr>
      </w:pPr>
      <w:r>
        <w:rPr>
          <w:rFonts w:ascii="宋体" w:hAnsi="宋体"/>
          <w:b/>
          <w:bCs/>
          <w:color w:val="auto"/>
          <w:sz w:val="24"/>
          <w:highlight w:val="none"/>
        </w:rPr>
        <w:br w:type="page"/>
      </w:r>
      <w:bookmarkStart w:id="16" w:name="_Toc351203494"/>
      <w:r>
        <w:rPr>
          <w:rFonts w:ascii="宋体" w:hAnsi="宋体"/>
          <w:b/>
          <w:bCs/>
          <w:color w:val="auto"/>
          <w:sz w:val="24"/>
          <w:highlight w:val="none"/>
        </w:rPr>
        <w:t>第二部分 通用合同条款</w:t>
      </w:r>
      <w:bookmarkEnd w:id="16"/>
      <w:bookmarkStart w:id="17" w:name="_Toc337558727"/>
    </w:p>
    <w:bookmarkEnd w:id="17"/>
    <w:p>
      <w:pPr>
        <w:spacing w:line="360" w:lineRule="auto"/>
        <w:ind w:firstLine="420" w:firstLineChars="200"/>
        <w:rPr>
          <w:rFonts w:ascii="宋体" w:hAnsi="宋体"/>
          <w:color w:val="auto"/>
          <w:szCs w:val="21"/>
          <w:highlight w:val="none"/>
        </w:rPr>
      </w:pPr>
      <w:bookmarkStart w:id="18" w:name="_Toc303538973"/>
      <w:bookmarkEnd w:id="18"/>
      <w:bookmarkStart w:id="19" w:name="_Toc296346528"/>
      <w:bookmarkEnd w:id="19"/>
      <w:bookmarkStart w:id="20" w:name="_Toc303538976"/>
      <w:bookmarkEnd w:id="20"/>
      <w:bookmarkStart w:id="21" w:name="_Toc303538972"/>
      <w:bookmarkEnd w:id="21"/>
      <w:bookmarkStart w:id="22" w:name="_Toc351203495"/>
      <w:bookmarkEnd w:id="22"/>
      <w:bookmarkStart w:id="23" w:name="_Toc303538975"/>
      <w:bookmarkEnd w:id="23"/>
      <w:bookmarkStart w:id="24" w:name="_Toc303538974"/>
      <w:bookmarkEnd w:id="24"/>
      <w:bookmarkStart w:id="25" w:name="_Toc296503027"/>
      <w:bookmarkEnd w:id="25"/>
      <w:bookmarkStart w:id="26" w:name="_Toc351203632"/>
      <w:r>
        <w:rPr>
          <w:rFonts w:hint="eastAsia" w:ascii="宋体" w:hAnsi="宋体"/>
          <w:color w:val="auto"/>
          <w:szCs w:val="21"/>
          <w:highlight w:val="none"/>
        </w:rPr>
        <w:t>按照</w:t>
      </w:r>
      <w:r>
        <w:rPr>
          <w:rFonts w:ascii="宋体" w:hAnsi="宋体"/>
          <w:color w:val="auto"/>
          <w:szCs w:val="21"/>
          <w:highlight w:val="none"/>
        </w:rPr>
        <w:t>住房和城乡建设部</w:t>
      </w:r>
      <w:r>
        <w:rPr>
          <w:rFonts w:hint="eastAsia" w:ascii="宋体" w:hAnsi="宋体"/>
          <w:color w:val="auto"/>
          <w:szCs w:val="21"/>
          <w:highlight w:val="none"/>
        </w:rPr>
        <w:t>、</w:t>
      </w:r>
      <w:r>
        <w:rPr>
          <w:rFonts w:ascii="宋体" w:hAnsi="宋体"/>
          <w:color w:val="auto"/>
          <w:szCs w:val="21"/>
          <w:highlight w:val="none"/>
        </w:rPr>
        <w:t>国家工商行政管理总局</w:t>
      </w:r>
      <w:r>
        <w:rPr>
          <w:rFonts w:hint="eastAsia" w:ascii="宋体" w:hAnsi="宋体"/>
          <w:color w:val="auto"/>
          <w:szCs w:val="21"/>
          <w:highlight w:val="none"/>
        </w:rPr>
        <w:t>制定的《建设工程施工合同（示范文本）》（GF-2017-0201）</w:t>
      </w:r>
      <w:r>
        <w:rPr>
          <w:rFonts w:ascii="宋体" w:hAnsi="宋体"/>
          <w:color w:val="auto"/>
          <w:szCs w:val="21"/>
          <w:highlight w:val="none"/>
        </w:rPr>
        <w:t>第二部分 通用合同条款</w:t>
      </w:r>
      <w:r>
        <w:rPr>
          <w:rFonts w:hint="eastAsia" w:ascii="宋体" w:hAnsi="宋体"/>
          <w:color w:val="auto"/>
          <w:szCs w:val="21"/>
          <w:highlight w:val="none"/>
        </w:rPr>
        <w:t>执行。</w:t>
      </w: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p>
    <w:p>
      <w:pPr>
        <w:spacing w:line="360" w:lineRule="auto"/>
        <w:jc w:val="center"/>
        <w:rPr>
          <w:rFonts w:ascii="宋体" w:hAnsi="宋体"/>
          <w:color w:val="auto"/>
          <w:szCs w:val="21"/>
          <w:highlight w:val="none"/>
        </w:rPr>
      </w:pPr>
      <w:r>
        <w:rPr>
          <w:rFonts w:ascii="宋体" w:hAnsi="宋体"/>
          <w:color w:val="auto"/>
          <w:szCs w:val="21"/>
          <w:highlight w:val="none"/>
        </w:rPr>
        <w:br w:type="page"/>
      </w:r>
      <w:bookmarkEnd w:id="26"/>
      <w:bookmarkStart w:id="27" w:name="_Toc351203652"/>
      <w:r>
        <w:rPr>
          <w:rFonts w:ascii="宋体" w:hAnsi="宋体"/>
          <w:b/>
          <w:bCs/>
          <w:color w:val="auto"/>
          <w:sz w:val="24"/>
          <w:highlight w:val="none"/>
        </w:rPr>
        <w:t xml:space="preserve">第三部分 </w:t>
      </w:r>
      <w:r>
        <w:rPr>
          <w:rFonts w:hint="eastAsia" w:ascii="宋体" w:hAnsi="宋体"/>
          <w:b/>
          <w:bCs/>
          <w:color w:val="auto"/>
          <w:sz w:val="24"/>
          <w:highlight w:val="none"/>
        </w:rPr>
        <w:t>专用合同条款</w:t>
      </w:r>
    </w:p>
    <w:bookmarkEnd w:id="27"/>
    <w:p>
      <w:pPr>
        <w:keepNext/>
        <w:keepLines/>
        <w:tabs>
          <w:tab w:val="left" w:pos="1080"/>
        </w:tabs>
        <w:spacing w:line="360" w:lineRule="auto"/>
        <w:outlineLvl w:val="3"/>
        <w:rPr>
          <w:rFonts w:ascii="宋体" w:hAnsi="宋体"/>
          <w:bCs/>
          <w:color w:val="auto"/>
          <w:highlight w:val="none"/>
        </w:rPr>
      </w:pPr>
      <w:bookmarkStart w:id="28" w:name="_Toc351203633"/>
      <w:bookmarkStart w:id="29" w:name="_Toc296944495"/>
      <w:bookmarkStart w:id="30" w:name="_Toc296891196"/>
      <w:bookmarkStart w:id="31" w:name="_Toc292559361"/>
      <w:bookmarkStart w:id="32" w:name="_Toc297120456"/>
      <w:bookmarkStart w:id="33" w:name="_Toc296890984"/>
      <w:bookmarkStart w:id="34" w:name="_Toc296346657"/>
      <w:bookmarkStart w:id="35" w:name="_Toc296347155"/>
      <w:bookmarkStart w:id="36" w:name="_Toc297048342"/>
      <w:bookmarkStart w:id="37" w:name="_Toc292559866"/>
      <w:bookmarkStart w:id="38" w:name="_Toc296503156"/>
      <w:r>
        <w:rPr>
          <w:rFonts w:ascii="宋体" w:hAnsi="宋体"/>
          <w:bCs/>
          <w:color w:val="auto"/>
          <w:highlight w:val="none"/>
        </w:rPr>
        <w:t>一般约定</w:t>
      </w:r>
      <w:bookmarkEnd w:id="28"/>
    </w:p>
    <w:bookmarkEnd w:id="29"/>
    <w:bookmarkEnd w:id="30"/>
    <w:bookmarkEnd w:id="31"/>
    <w:bookmarkEnd w:id="32"/>
    <w:bookmarkEnd w:id="33"/>
    <w:bookmarkEnd w:id="34"/>
    <w:bookmarkEnd w:id="35"/>
    <w:bookmarkEnd w:id="36"/>
    <w:bookmarkEnd w:id="37"/>
    <w:bookmarkEnd w:id="38"/>
    <w:p>
      <w:pPr>
        <w:spacing w:line="360" w:lineRule="auto"/>
        <w:ind w:firstLine="420" w:firstLineChars="200"/>
        <w:outlineLvl w:val="0"/>
        <w:rPr>
          <w:rFonts w:ascii="宋体" w:hAnsi="宋体"/>
          <w:color w:val="auto"/>
          <w:highlight w:val="none"/>
        </w:rPr>
      </w:pPr>
      <w:r>
        <w:rPr>
          <w:rFonts w:ascii="宋体" w:hAnsi="宋体"/>
          <w:color w:val="auto"/>
          <w:highlight w:val="none"/>
        </w:rPr>
        <w:t>1.1 词语定义</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1.1.1合同</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1.1.1.10其他合同文件包括：</w:t>
      </w:r>
      <w:bookmarkStart w:id="39" w:name="OLE_LINK5"/>
      <w:r>
        <w:rPr>
          <w:rFonts w:hint="eastAsia" w:ascii="宋体" w:hAnsi="宋体"/>
          <w:bCs/>
          <w:color w:val="auto"/>
          <w:kern w:val="0"/>
          <w:szCs w:val="21"/>
          <w:highlight w:val="none"/>
          <w:u w:val="single"/>
        </w:rPr>
        <w:t>（1）中标通知书；（2）施工过程中签订的补充协议；（3）招标文件澄清答疑、招标文件；（4）投标函及其附录；（5）专用合同条款及其附件；（6）通用合同条款；（7）技术标准和要求；（8）图纸；（9）已标价工程量清单或预算书；（10）其他合同文件。</w:t>
      </w:r>
      <w:bookmarkEnd w:id="39"/>
    </w:p>
    <w:p>
      <w:pPr>
        <w:spacing w:line="360" w:lineRule="auto"/>
        <w:ind w:firstLine="420" w:firstLineChars="200"/>
        <w:rPr>
          <w:rFonts w:ascii="宋体" w:hAnsi="宋体"/>
          <w:color w:val="auto"/>
          <w:highlight w:val="none"/>
        </w:rPr>
      </w:pPr>
      <w:r>
        <w:rPr>
          <w:rFonts w:ascii="宋体" w:hAnsi="宋体"/>
          <w:color w:val="auto"/>
          <w:highlight w:val="none"/>
        </w:rPr>
        <w:t>1.1.2 合同当事人及其他相关方</w:t>
      </w:r>
    </w:p>
    <w:p>
      <w:pPr>
        <w:spacing w:line="360" w:lineRule="auto"/>
        <w:ind w:firstLine="420" w:firstLineChars="200"/>
        <w:rPr>
          <w:rFonts w:ascii="宋体" w:hAnsi="宋体"/>
          <w:color w:val="auto"/>
          <w:highlight w:val="none"/>
        </w:rPr>
      </w:pPr>
      <w:r>
        <w:rPr>
          <w:rFonts w:ascii="宋体" w:hAnsi="宋体"/>
          <w:color w:val="auto"/>
          <w:highlight w:val="none"/>
        </w:rPr>
        <w:t>1.1.2.4监理人：</w:t>
      </w:r>
    </w:p>
    <w:p>
      <w:pPr>
        <w:spacing w:line="360" w:lineRule="auto"/>
        <w:ind w:firstLine="420" w:firstLineChars="200"/>
        <w:rPr>
          <w:rFonts w:ascii="宋体" w:hAnsi="宋体"/>
          <w:color w:val="auto"/>
          <w:highlight w:val="none"/>
        </w:rPr>
      </w:pPr>
      <w:r>
        <w:rPr>
          <w:rFonts w:ascii="宋体" w:hAnsi="宋体"/>
          <w:color w:val="auto"/>
          <w:highlight w:val="none"/>
        </w:rPr>
        <w:t>名    称：</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资质类别和等级：</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联系电话：</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电子信箱：</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通信地址：</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1.1.2.5 设计人：</w:t>
      </w:r>
    </w:p>
    <w:p>
      <w:pPr>
        <w:spacing w:line="360" w:lineRule="auto"/>
        <w:ind w:firstLine="420" w:firstLineChars="200"/>
        <w:rPr>
          <w:rFonts w:ascii="宋体" w:hAnsi="宋体"/>
          <w:color w:val="auto"/>
          <w:highlight w:val="none"/>
        </w:rPr>
      </w:pPr>
      <w:r>
        <w:rPr>
          <w:rFonts w:ascii="宋体" w:hAnsi="宋体"/>
          <w:color w:val="auto"/>
          <w:highlight w:val="none"/>
        </w:rPr>
        <w:t>名    称：</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资质类别和等级：</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联系电话：</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电子信箱：</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通信地址：</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1.1.3 工程和设备</w:t>
      </w:r>
    </w:p>
    <w:p>
      <w:pPr>
        <w:spacing w:line="360" w:lineRule="auto"/>
        <w:ind w:firstLine="420" w:firstLineChars="200"/>
        <w:rPr>
          <w:rFonts w:ascii="宋体" w:hAnsi="宋体"/>
          <w:color w:val="auto"/>
          <w:highlight w:val="none"/>
        </w:rPr>
      </w:pPr>
      <w:r>
        <w:rPr>
          <w:rFonts w:ascii="宋体" w:hAnsi="宋体"/>
          <w:color w:val="auto"/>
          <w:highlight w:val="none"/>
        </w:rPr>
        <w:t>1.1.3.7 作为施工现场组成部分的其他场所包括：</w:t>
      </w:r>
      <w:r>
        <w:rPr>
          <w:rFonts w:hint="eastAsia" w:ascii="宋体" w:hAnsi="宋体"/>
          <w:color w:val="auto"/>
          <w:highlight w:val="none"/>
          <w:u w:val="single"/>
        </w:rPr>
        <w:t xml:space="preserve">   执行通用条款</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1.1.3.9 永久占地包括：</w:t>
      </w:r>
      <w:r>
        <w:rPr>
          <w:rFonts w:hint="eastAsia" w:ascii="宋体" w:hAnsi="宋体"/>
          <w:color w:val="auto"/>
          <w:highlight w:val="none"/>
          <w:u w:val="single"/>
        </w:rPr>
        <w:t>为实施工程需永久占用的土地，永久占地范围与工程规划红线范围一致，永久占地手续由发包人负责办理</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jc w:val="left"/>
        <w:rPr>
          <w:rFonts w:ascii="宋体" w:hAnsi="宋体"/>
          <w:color w:val="auto"/>
          <w:highlight w:val="none"/>
        </w:rPr>
      </w:pPr>
      <w:r>
        <w:rPr>
          <w:rFonts w:ascii="宋体" w:hAnsi="宋体"/>
          <w:color w:val="auto"/>
          <w:kern w:val="0"/>
          <w:highlight w:val="none"/>
        </w:rPr>
        <w:t>1.1.3.10 临时占地包括：</w:t>
      </w:r>
      <w:r>
        <w:rPr>
          <w:rFonts w:hint="eastAsia" w:ascii="宋体" w:hAnsi="宋体"/>
          <w:color w:val="auto"/>
          <w:highlight w:val="none"/>
          <w:u w:val="single"/>
        </w:rPr>
        <w:t>临时用地、仓储用地、装配加工用地、临时道路、施工围挡用地等为实施工程需要临时占用的土地。发包人委托承包人办理临时用地手续，相关费用已包含在投标报价中</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 xml:space="preserve">1.3法律 </w:t>
      </w:r>
    </w:p>
    <w:p>
      <w:pPr>
        <w:autoSpaceDE w:val="0"/>
        <w:autoSpaceDN w:val="0"/>
        <w:adjustRightInd w:val="0"/>
        <w:spacing w:line="360" w:lineRule="auto"/>
        <w:ind w:firstLine="420" w:firstLineChars="200"/>
        <w:jc w:val="left"/>
        <w:rPr>
          <w:rFonts w:ascii="宋体" w:hAnsi="宋体"/>
          <w:color w:val="auto"/>
          <w:highlight w:val="none"/>
          <w:u w:val="single"/>
        </w:rPr>
      </w:pPr>
      <w:r>
        <w:rPr>
          <w:rFonts w:ascii="宋体" w:hAnsi="宋体"/>
          <w:color w:val="auto"/>
          <w:highlight w:val="none"/>
        </w:rPr>
        <w:t>适用于合同的其他规范性文件：</w:t>
      </w:r>
      <w:r>
        <w:rPr>
          <w:rFonts w:hint="eastAsia" w:ascii="宋体" w:hAnsi="宋体"/>
          <w:color w:val="auto"/>
          <w:highlight w:val="none"/>
          <w:u w:val="single"/>
        </w:rPr>
        <w:t>《中华人民共和国民法典》、《中华人民共和国建筑法》、《建设工程质量管理条例》、《中华人民共和国招标投标法》、《中华人民共和国招标投标法实施条例》、《工程建设项目施工招标投标办法》（七部委30号令）、《江苏省工程建设管理条例》、《建设工程施工发包与承包价格管理暂行规定》、《工程量清单计价规范》、其他法律法规以及江苏省和无锡市行业主管部门颁布的相关文件规定，如地方法规与国家法规相抵触，按国家法规执行</w:t>
      </w:r>
      <w:r>
        <w:rPr>
          <w:rFonts w:ascii="宋体" w:hAnsi="宋体"/>
          <w:color w:val="auto"/>
          <w:highlight w:val="none"/>
          <w:u w:val="single"/>
        </w:rPr>
        <w:t>。</w:t>
      </w:r>
    </w:p>
    <w:p>
      <w:pPr>
        <w:spacing w:line="360" w:lineRule="auto"/>
        <w:ind w:firstLine="420" w:firstLineChars="200"/>
        <w:rPr>
          <w:rFonts w:ascii="宋体" w:hAnsi="宋体"/>
          <w:color w:val="auto"/>
          <w:highlight w:val="none"/>
        </w:rPr>
      </w:pPr>
      <w:r>
        <w:rPr>
          <w:rFonts w:ascii="宋体" w:hAnsi="宋体"/>
          <w:color w:val="auto"/>
          <w:highlight w:val="none"/>
        </w:rPr>
        <w:t>1.4 标准和规范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435" w:lineRule="atLeast"/>
        <w:ind w:firstLine="420" w:firstLineChars="200"/>
        <w:textAlignment w:val="baseline"/>
        <w:rPr>
          <w:rFonts w:ascii="宋体" w:hAnsi="宋体"/>
          <w:color w:val="auto"/>
          <w:kern w:val="0"/>
          <w:sz w:val="20"/>
          <w:highlight w:val="none"/>
        </w:rPr>
      </w:pPr>
      <w:r>
        <w:rPr>
          <w:rFonts w:hint="eastAsia" w:ascii="宋体" w:hAnsi="宋体"/>
          <w:color w:val="auto"/>
          <w:highlight w:val="none"/>
        </w:rPr>
        <w:t>1.4.1适用于工程的标准规范包括：</w:t>
      </w:r>
      <w:r>
        <w:rPr>
          <w:rFonts w:hint="eastAsia" w:ascii="宋体" w:hAnsi="宋体" w:cs="宋体"/>
          <w:color w:val="auto"/>
          <w:highlight w:val="none"/>
          <w:u w:val="single"/>
        </w:rPr>
        <w:t>本工程应按以下规范与标准执行（包括并不限于）：《工程建设标准强制性条文》（城镇建设部分）、《城镇道路工程施工与质量验收规</w:t>
      </w:r>
      <w:r>
        <w:rPr>
          <w:rFonts w:hint="eastAsia" w:ascii="宋体" w:hAnsi="宋体"/>
          <w:color w:val="auto"/>
          <w:highlight w:val="none"/>
          <w:u w:val="single"/>
        </w:rPr>
        <w:t>范》(CJJ1—2008)、《城市桥梁工程施工与质量验收规范》(CJJ2—2008)、《沥青路面施工及验收规范》(GB50092—96)、《给水排水管道工程施工及验收规范》(GB50268—2008)、《混凝土结构耐久性设计规范》（GB/T50476—2008）、</w:t>
      </w:r>
      <w:r>
        <w:rPr>
          <w:rFonts w:ascii="宋体" w:hAnsi="宋体"/>
          <w:color w:val="auto"/>
          <w:highlight w:val="none"/>
          <w:u w:val="single"/>
        </w:rPr>
        <w:t>《建筑工程施工质量验收统一标准》、《混凝土结构工程施工质量验收规范》、《砌体结构工程施工质量验收规范》、《建筑地基基础工程施工验收规范》、《钢结构工程施工质量验收规范》</w:t>
      </w:r>
      <w:r>
        <w:rPr>
          <w:rFonts w:hint="eastAsia" w:ascii="宋体" w:hAnsi="宋体"/>
          <w:color w:val="auto"/>
          <w:highlight w:val="none"/>
          <w:u w:val="single"/>
        </w:rPr>
        <w:t>等现行规范、标准及设计要求进行检查验收。当标准互相矛盾时，以最新和最严格的为准</w:t>
      </w:r>
      <w:r>
        <w:rPr>
          <w:rFonts w:ascii="宋体" w:hAnsi="宋体"/>
          <w:color w:val="auto"/>
          <w:kern w:val="0"/>
          <w:sz w:val="20"/>
          <w:highlight w:val="none"/>
        </w:rPr>
        <w:t>。</w:t>
      </w:r>
    </w:p>
    <w:p>
      <w:pPr>
        <w:spacing w:line="360" w:lineRule="auto"/>
        <w:ind w:firstLine="420" w:firstLineChars="200"/>
        <w:outlineLvl w:val="0"/>
        <w:rPr>
          <w:rFonts w:ascii="宋体" w:hAnsi="宋体"/>
          <w:color w:val="auto"/>
          <w:kern w:val="0"/>
          <w:highlight w:val="none"/>
        </w:rPr>
      </w:pPr>
      <w:r>
        <w:rPr>
          <w:rFonts w:ascii="宋体" w:hAnsi="宋体"/>
          <w:color w:val="auto"/>
          <w:kern w:val="0"/>
          <w:highlight w:val="none"/>
        </w:rPr>
        <w:t>1.4.2 发包人提供国外标准、规范的名称：</w:t>
      </w:r>
      <w:r>
        <w:rPr>
          <w:rFonts w:hint="eastAsia" w:ascii="宋体" w:hAnsi="宋体"/>
          <w:color w:val="auto"/>
          <w:kern w:val="0"/>
          <w:highlight w:val="none"/>
          <w:u w:val="single"/>
        </w:rPr>
        <w:t>如有涉及，双方另行协商约定</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发包人提供国外标准、规范的份数：</w:t>
      </w:r>
      <w:r>
        <w:rPr>
          <w:rFonts w:hint="eastAsia" w:ascii="宋体" w:hAnsi="宋体"/>
          <w:color w:val="auto"/>
          <w:kern w:val="0"/>
          <w:highlight w:val="none"/>
          <w:u w:val="single"/>
        </w:rPr>
        <w:t xml:space="preserve">   /</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kern w:val="0"/>
          <w:highlight w:val="none"/>
        </w:rPr>
        <w:t>发包人提供国外标准、规范的名称：</w:t>
      </w:r>
      <w:r>
        <w:rPr>
          <w:rFonts w:hint="eastAsia" w:ascii="宋体" w:hAnsi="宋体"/>
          <w:color w:val="auto"/>
          <w:kern w:val="0"/>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1.4.3发包人对工程的技术标准和功能要求的特殊要求：</w:t>
      </w:r>
      <w:r>
        <w:rPr>
          <w:rFonts w:hint="eastAsia" w:ascii="宋体" w:hAnsi="宋体" w:cs="MingLiU_HKSCS"/>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1.5 合同文件的优先顺序</w:t>
      </w:r>
    </w:p>
    <w:p>
      <w:pPr>
        <w:autoSpaceDE w:val="0"/>
        <w:autoSpaceDN w:val="0"/>
        <w:adjustRightInd w:val="0"/>
        <w:spacing w:line="360" w:lineRule="auto"/>
        <w:ind w:firstLine="420" w:firstLineChars="200"/>
        <w:jc w:val="left"/>
        <w:rPr>
          <w:rFonts w:ascii="宋体" w:hAnsi="宋体"/>
          <w:color w:val="auto"/>
          <w:highlight w:val="none"/>
          <w:u w:val="single"/>
        </w:rPr>
      </w:pPr>
      <w:r>
        <w:rPr>
          <w:rFonts w:ascii="宋体" w:hAnsi="宋体"/>
          <w:color w:val="auto"/>
          <w:highlight w:val="none"/>
        </w:rPr>
        <w:t>合同文件组成及优先顺序为：</w:t>
      </w:r>
      <w:r>
        <w:rPr>
          <w:rFonts w:hint="eastAsia" w:ascii="宋体" w:hAnsi="宋体" w:cs="MingLiU_HKSCS"/>
          <w:color w:val="auto"/>
          <w:highlight w:val="none"/>
          <w:u w:val="single"/>
        </w:rPr>
        <w:t></w:t>
      </w:r>
      <w:r>
        <w:rPr>
          <w:rFonts w:hint="eastAsia" w:ascii="宋体" w:hAnsi="宋体"/>
          <w:color w:val="auto"/>
          <w:highlight w:val="none"/>
          <w:u w:val="single"/>
        </w:rPr>
        <w:t>(1)合同协议书及补充协议；</w:t>
      </w:r>
      <w:r>
        <w:rPr>
          <w:rFonts w:ascii="宋体" w:hAnsi="宋体"/>
          <w:color w:val="auto"/>
          <w:szCs w:val="21"/>
          <w:highlight w:val="none"/>
          <w:u w:val="single"/>
        </w:rPr>
        <w:t>（</w:t>
      </w:r>
      <w:r>
        <w:rPr>
          <w:rFonts w:hint="eastAsia" w:ascii="宋体" w:hAnsi="宋体"/>
          <w:color w:val="auto"/>
          <w:szCs w:val="21"/>
          <w:highlight w:val="none"/>
          <w:u w:val="single"/>
        </w:rPr>
        <w:t>2</w:t>
      </w:r>
      <w:r>
        <w:rPr>
          <w:rFonts w:ascii="宋体" w:hAnsi="宋体"/>
          <w:color w:val="auto"/>
          <w:szCs w:val="21"/>
          <w:highlight w:val="none"/>
          <w:u w:val="single"/>
        </w:rPr>
        <w:t>）中标通知书；（</w:t>
      </w:r>
      <w:r>
        <w:rPr>
          <w:rFonts w:hint="eastAsia" w:ascii="宋体" w:hAnsi="宋体"/>
          <w:color w:val="auto"/>
          <w:szCs w:val="21"/>
          <w:highlight w:val="none"/>
          <w:u w:val="single"/>
        </w:rPr>
        <w:t>3</w:t>
      </w:r>
      <w:r>
        <w:rPr>
          <w:rFonts w:ascii="宋体" w:hAnsi="宋体"/>
          <w:color w:val="auto"/>
          <w:szCs w:val="21"/>
          <w:highlight w:val="none"/>
          <w:u w:val="single"/>
        </w:rPr>
        <w:t>）投标函及其附录；（</w:t>
      </w:r>
      <w:r>
        <w:rPr>
          <w:rFonts w:hint="eastAsia" w:ascii="宋体" w:hAnsi="宋体"/>
          <w:color w:val="auto"/>
          <w:szCs w:val="21"/>
          <w:highlight w:val="none"/>
          <w:u w:val="single"/>
        </w:rPr>
        <w:t>4</w:t>
      </w:r>
      <w:r>
        <w:rPr>
          <w:rFonts w:ascii="宋体" w:hAnsi="宋体"/>
          <w:color w:val="auto"/>
          <w:szCs w:val="21"/>
          <w:highlight w:val="none"/>
          <w:u w:val="single"/>
        </w:rPr>
        <w:t>）专用合同条款及其附件；（</w:t>
      </w:r>
      <w:r>
        <w:rPr>
          <w:rFonts w:hint="eastAsia" w:ascii="宋体" w:hAnsi="宋体"/>
          <w:color w:val="auto"/>
          <w:szCs w:val="21"/>
          <w:highlight w:val="none"/>
          <w:u w:val="single"/>
        </w:rPr>
        <w:t>5</w:t>
      </w:r>
      <w:r>
        <w:rPr>
          <w:rFonts w:ascii="宋体" w:hAnsi="宋体"/>
          <w:color w:val="auto"/>
          <w:szCs w:val="21"/>
          <w:highlight w:val="none"/>
          <w:u w:val="single"/>
        </w:rPr>
        <w:t>）通用合同条款；（</w:t>
      </w:r>
      <w:r>
        <w:rPr>
          <w:rFonts w:hint="eastAsia" w:ascii="宋体" w:hAnsi="宋体"/>
          <w:color w:val="auto"/>
          <w:szCs w:val="21"/>
          <w:highlight w:val="none"/>
          <w:u w:val="single"/>
        </w:rPr>
        <w:t>6</w:t>
      </w:r>
      <w:r>
        <w:rPr>
          <w:rFonts w:ascii="宋体" w:hAnsi="宋体"/>
          <w:color w:val="auto"/>
          <w:szCs w:val="21"/>
          <w:highlight w:val="none"/>
          <w:u w:val="single"/>
        </w:rPr>
        <w:t>）技术标准和要求；（</w:t>
      </w:r>
      <w:r>
        <w:rPr>
          <w:rFonts w:hint="eastAsia" w:ascii="宋体" w:hAnsi="宋体"/>
          <w:color w:val="auto"/>
          <w:szCs w:val="21"/>
          <w:highlight w:val="none"/>
          <w:u w:val="single"/>
        </w:rPr>
        <w:t>7</w:t>
      </w:r>
      <w:r>
        <w:rPr>
          <w:rFonts w:ascii="宋体" w:hAnsi="宋体"/>
          <w:color w:val="auto"/>
          <w:szCs w:val="21"/>
          <w:highlight w:val="none"/>
          <w:u w:val="single"/>
        </w:rPr>
        <w:t>）图纸；（</w:t>
      </w:r>
      <w:r>
        <w:rPr>
          <w:rFonts w:hint="eastAsia" w:ascii="宋体" w:hAnsi="宋体"/>
          <w:color w:val="auto"/>
          <w:szCs w:val="21"/>
          <w:highlight w:val="none"/>
          <w:u w:val="single"/>
        </w:rPr>
        <w:t>8</w:t>
      </w:r>
      <w:r>
        <w:rPr>
          <w:rFonts w:ascii="宋体" w:hAnsi="宋体"/>
          <w:color w:val="auto"/>
          <w:szCs w:val="21"/>
          <w:highlight w:val="none"/>
          <w:u w:val="single"/>
        </w:rPr>
        <w:t>）已标价工程量清单或预算书；（</w:t>
      </w:r>
      <w:r>
        <w:rPr>
          <w:rFonts w:hint="eastAsia" w:ascii="宋体" w:hAnsi="宋体"/>
          <w:color w:val="auto"/>
          <w:szCs w:val="21"/>
          <w:highlight w:val="none"/>
          <w:u w:val="single"/>
        </w:rPr>
        <w:t>9</w:t>
      </w:r>
      <w:r>
        <w:rPr>
          <w:rFonts w:ascii="宋体" w:hAnsi="宋体"/>
          <w:color w:val="auto"/>
          <w:szCs w:val="21"/>
          <w:highlight w:val="none"/>
          <w:u w:val="single"/>
        </w:rPr>
        <w:t>）其他合同文件。</w:t>
      </w:r>
      <w:r>
        <w:rPr>
          <w:rFonts w:hint="eastAsia" w:ascii="宋体" w:hAnsi="宋体"/>
          <w:color w:val="auto"/>
          <w:highlight w:val="none"/>
          <w:u w:val="single"/>
        </w:rPr>
        <w:t>各方有关工程的洽商、变更等书面协议或文件视为本合同协议条款的组成部分。组成本合同的文件均为本合同不可分割的组成部分，与本合同具有同等法律效力。</w:t>
      </w:r>
    </w:p>
    <w:p>
      <w:pPr>
        <w:spacing w:line="360" w:lineRule="auto"/>
        <w:ind w:firstLine="420" w:firstLineChars="200"/>
        <w:outlineLvl w:val="0"/>
        <w:rPr>
          <w:rFonts w:ascii="宋体" w:hAnsi="宋体"/>
          <w:color w:val="auto"/>
          <w:highlight w:val="none"/>
        </w:rPr>
      </w:pPr>
      <w:r>
        <w:rPr>
          <w:rFonts w:ascii="宋体" w:hAnsi="宋体"/>
          <w:color w:val="auto"/>
          <w:highlight w:val="none"/>
        </w:rPr>
        <w:t>1.6 图纸和承包人文件</w:t>
      </w:r>
      <w:r>
        <w:rPr>
          <w:rFonts w:ascii="宋体" w:hAnsi="宋体"/>
          <w:color w:val="auto"/>
          <w:highlight w:val="none"/>
        </w:rPr>
        <w:tab/>
      </w:r>
    </w:p>
    <w:p>
      <w:pPr>
        <w:spacing w:line="360" w:lineRule="auto"/>
        <w:ind w:firstLine="420" w:firstLineChars="200"/>
        <w:rPr>
          <w:rFonts w:ascii="宋体" w:hAnsi="宋体"/>
          <w:color w:val="auto"/>
          <w:highlight w:val="none"/>
        </w:rPr>
      </w:pPr>
      <w:r>
        <w:rPr>
          <w:rFonts w:ascii="宋体" w:hAnsi="宋体"/>
          <w:color w:val="auto"/>
          <w:highlight w:val="none"/>
        </w:rPr>
        <w:t>1.6.1 图纸的提供</w:t>
      </w:r>
    </w:p>
    <w:p>
      <w:pPr>
        <w:spacing w:line="360" w:lineRule="auto"/>
        <w:ind w:firstLine="420" w:firstLineChars="200"/>
        <w:rPr>
          <w:rFonts w:ascii="宋体" w:hAnsi="宋体"/>
          <w:color w:val="auto"/>
          <w:highlight w:val="none"/>
        </w:rPr>
      </w:pPr>
      <w:r>
        <w:rPr>
          <w:rFonts w:ascii="宋体" w:hAnsi="宋体"/>
          <w:color w:val="auto"/>
          <w:highlight w:val="none"/>
        </w:rPr>
        <w:t>发包人向承包人提供图纸的期限：</w:t>
      </w:r>
      <w:r>
        <w:rPr>
          <w:rFonts w:hint="eastAsia" w:ascii="宋体" w:hAnsi="宋体" w:cs="MingLiU_HKSCS"/>
          <w:color w:val="auto"/>
          <w:highlight w:val="none"/>
          <w:u w:val="single"/>
        </w:rPr>
        <w:t></w:t>
      </w:r>
      <w:r>
        <w:rPr>
          <w:rFonts w:hint="eastAsia" w:ascii="宋体" w:hAnsi="宋体"/>
          <w:color w:val="auto"/>
          <w:szCs w:val="21"/>
          <w:highlight w:val="none"/>
          <w:u w:val="single"/>
        </w:rPr>
        <w:t>进场施工前10天内</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发包人向承包人提供图纸的数量：</w:t>
      </w:r>
      <w:r>
        <w:rPr>
          <w:rFonts w:hint="eastAsia" w:ascii="宋体" w:hAnsi="宋体" w:cs="MingLiU_HKSCS"/>
          <w:color w:val="auto"/>
          <w:highlight w:val="none"/>
          <w:u w:val="single"/>
        </w:rPr>
        <w:t></w:t>
      </w:r>
      <w:r>
        <w:rPr>
          <w:rFonts w:hint="eastAsia" w:ascii="宋体" w:hAnsi="宋体"/>
          <w:color w:val="auto"/>
          <w:highlight w:val="none"/>
          <w:u w:val="single"/>
        </w:rPr>
        <w:t xml:space="preserve">3份     </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发包人向承包人提供图纸的内容：</w:t>
      </w:r>
      <w:r>
        <w:rPr>
          <w:rFonts w:hint="eastAsia" w:ascii="宋体" w:hAnsi="宋体" w:cs="MingLiU_HKSCS"/>
          <w:color w:val="auto"/>
          <w:highlight w:val="none"/>
          <w:u w:val="single"/>
        </w:rPr>
        <w:t></w:t>
      </w:r>
      <w:r>
        <w:rPr>
          <w:rFonts w:hint="eastAsia" w:ascii="宋体" w:hAnsi="宋体"/>
          <w:color w:val="auto"/>
          <w:highlight w:val="none"/>
          <w:u w:val="single"/>
        </w:rPr>
        <w:t>全套图纸</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1.6.4 承包人文件</w:t>
      </w:r>
    </w:p>
    <w:p>
      <w:pPr>
        <w:spacing w:line="360" w:lineRule="auto"/>
        <w:ind w:firstLine="420" w:firstLineChars="200"/>
        <w:jc w:val="left"/>
        <w:rPr>
          <w:rFonts w:ascii="宋体" w:hAnsi="宋体"/>
          <w:color w:val="auto"/>
          <w:highlight w:val="none"/>
        </w:rPr>
      </w:pPr>
      <w:r>
        <w:rPr>
          <w:rFonts w:ascii="宋体" w:hAnsi="宋体"/>
          <w:color w:val="auto"/>
          <w:highlight w:val="none"/>
        </w:rPr>
        <w:t>需要由承包人提供的文件，包括：</w:t>
      </w:r>
      <w:r>
        <w:rPr>
          <w:rFonts w:hint="eastAsia" w:ascii="宋体" w:hAnsi="宋体" w:cs="MingLiU_HKSCS"/>
          <w:color w:val="auto"/>
          <w:highlight w:val="none"/>
          <w:u w:val="single"/>
        </w:rPr>
        <w:t></w:t>
      </w:r>
      <w:r>
        <w:rPr>
          <w:rFonts w:hint="eastAsia" w:ascii="宋体" w:hAnsi="宋体"/>
          <w:color w:val="auto"/>
          <w:szCs w:val="21"/>
          <w:highlight w:val="none"/>
          <w:u w:val="single"/>
        </w:rPr>
        <w:t>开工前3天内提交施工组织设计，每月25日向发包人提供当月工程建设报表及下月进度计划各一式两份，其他报表及计划按发包人现场管理要求提供</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承包人提供的文件的期限为：</w:t>
      </w:r>
      <w:r>
        <w:rPr>
          <w:rFonts w:hint="eastAsia" w:ascii="宋体" w:hAnsi="宋体" w:cs="MingLiU_HKSCS"/>
          <w:color w:val="auto"/>
          <w:highlight w:val="none"/>
          <w:u w:val="single"/>
        </w:rPr>
        <w:t></w:t>
      </w:r>
      <w:bookmarkStart w:id="40" w:name="_Hlk509521007"/>
      <w:r>
        <w:rPr>
          <w:rFonts w:hint="eastAsia" w:ascii="宋体" w:hAnsi="宋体"/>
          <w:color w:val="auto"/>
          <w:highlight w:val="none"/>
          <w:u w:val="single"/>
        </w:rPr>
        <w:t>按发包人需求</w:t>
      </w:r>
      <w:bookmarkEnd w:id="40"/>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承包人提供的文件的数量为：</w:t>
      </w:r>
      <w:r>
        <w:rPr>
          <w:rFonts w:hint="eastAsia" w:ascii="宋体" w:hAnsi="宋体" w:cs="MingLiU_HKSCS"/>
          <w:color w:val="auto"/>
          <w:highlight w:val="none"/>
          <w:u w:val="single"/>
        </w:rPr>
        <w:t></w:t>
      </w:r>
      <w:r>
        <w:rPr>
          <w:rFonts w:hint="eastAsia" w:ascii="宋体" w:hAnsi="宋体"/>
          <w:color w:val="auto"/>
          <w:highlight w:val="none"/>
          <w:u w:val="single"/>
        </w:rPr>
        <w:t xml:space="preserve">按发包人需求  </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承包人提供的文件的形式为：</w:t>
      </w:r>
      <w:r>
        <w:rPr>
          <w:rFonts w:hint="eastAsia" w:ascii="宋体" w:hAnsi="宋体" w:cs="MingLiU_HKSCS"/>
          <w:color w:val="auto"/>
          <w:highlight w:val="none"/>
          <w:u w:val="single"/>
        </w:rPr>
        <w:t></w:t>
      </w:r>
      <w:r>
        <w:rPr>
          <w:rFonts w:hint="eastAsia" w:ascii="宋体" w:hAnsi="宋体"/>
          <w:color w:val="auto"/>
          <w:highlight w:val="none"/>
          <w:u w:val="single"/>
        </w:rPr>
        <w:t xml:space="preserve">按发包人需求     </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发包人</w:t>
      </w:r>
      <w:r>
        <w:rPr>
          <w:rFonts w:hint="eastAsia" w:ascii="宋体" w:hAnsi="宋体"/>
          <w:color w:val="auto"/>
          <w:highlight w:val="none"/>
        </w:rPr>
        <w:t>审批</w:t>
      </w:r>
      <w:r>
        <w:rPr>
          <w:rFonts w:ascii="宋体" w:hAnsi="宋体"/>
          <w:color w:val="auto"/>
          <w:highlight w:val="none"/>
        </w:rPr>
        <w:t>承包人文件的期限：</w:t>
      </w:r>
      <w:r>
        <w:rPr>
          <w:rFonts w:hint="eastAsia" w:ascii="宋体" w:hAnsi="宋体" w:cs="MingLiU_HKSCS"/>
          <w:color w:val="auto"/>
          <w:highlight w:val="none"/>
          <w:u w:val="single"/>
        </w:rPr>
        <w:t></w:t>
      </w:r>
      <w:r>
        <w:rPr>
          <w:rFonts w:hint="eastAsia" w:ascii="宋体" w:hAnsi="宋体"/>
          <w:color w:val="auto"/>
          <w:szCs w:val="21"/>
          <w:highlight w:val="none"/>
          <w:u w:val="single"/>
        </w:rPr>
        <w:t xml:space="preserve">收到相关文件后7天内 </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1.6.5 现场图纸准备</w:t>
      </w:r>
    </w:p>
    <w:p>
      <w:pPr>
        <w:spacing w:line="360" w:lineRule="auto"/>
        <w:ind w:firstLine="420" w:firstLineChars="200"/>
        <w:rPr>
          <w:rFonts w:ascii="宋体" w:hAnsi="宋体"/>
          <w:color w:val="auto"/>
          <w:highlight w:val="none"/>
        </w:rPr>
      </w:pPr>
      <w:r>
        <w:rPr>
          <w:rFonts w:ascii="宋体" w:hAnsi="宋体"/>
          <w:color w:val="auto"/>
          <w:highlight w:val="none"/>
        </w:rPr>
        <w:t>关于现场图纸准备的约定：</w:t>
      </w:r>
      <w:r>
        <w:rPr>
          <w:rFonts w:hint="eastAsia" w:ascii="宋体" w:hAnsi="宋体" w:cs="MingLiU_HKSCS"/>
          <w:color w:val="auto"/>
          <w:highlight w:val="none"/>
          <w:u w:val="single"/>
        </w:rPr>
        <w:t></w:t>
      </w:r>
      <w:r>
        <w:rPr>
          <w:rFonts w:hint="eastAsia" w:ascii="宋体" w:hAnsi="宋体"/>
          <w:color w:val="auto"/>
          <w:highlight w:val="none"/>
          <w:u w:val="single"/>
        </w:rPr>
        <w:t xml:space="preserve">执行通用条款 </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1.7 联络</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1.7.1发包人和承包人应当在</w:t>
      </w:r>
      <w:r>
        <w:rPr>
          <w:rFonts w:hint="eastAsia" w:ascii="宋体" w:hAnsi="宋体" w:cs="MingLiU_HKSCS"/>
          <w:color w:val="auto"/>
          <w:highlight w:val="none"/>
          <w:u w:val="single"/>
        </w:rPr>
        <w:t></w:t>
      </w:r>
      <w:r>
        <w:rPr>
          <w:rFonts w:hint="eastAsia" w:ascii="宋体" w:hAnsi="宋体"/>
          <w:color w:val="auto"/>
          <w:highlight w:val="none"/>
          <w:u w:val="single"/>
        </w:rPr>
        <w:t xml:space="preserve"> 3</w:t>
      </w:r>
      <w:r>
        <w:rPr>
          <w:rFonts w:ascii="宋体" w:hAnsi="宋体"/>
          <w:color w:val="auto"/>
          <w:kern w:val="0"/>
          <w:highlight w:val="none"/>
        </w:rPr>
        <w:t>天内将与合同有关的通知、批准、证明、证书、指示、指令、要求、请求、同意、意见、确定和决定等书面函件送达对方当事人</w:t>
      </w:r>
      <w:r>
        <w:rPr>
          <w:rFonts w:hint="eastAsia"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1.7.2 发包人接收文件的地点：</w:t>
      </w:r>
      <w:r>
        <w:rPr>
          <w:rFonts w:hint="eastAsia" w:ascii="宋体" w:hAnsi="宋体" w:cs="MingLiU_HKSCS"/>
          <w:color w:val="auto"/>
          <w:highlight w:val="none"/>
          <w:u w:val="single"/>
        </w:rPr>
        <w:t></w:t>
      </w:r>
      <w:r>
        <w:rPr>
          <w:rFonts w:hint="eastAsia" w:ascii="宋体" w:hAnsi="宋体"/>
          <w:color w:val="auto"/>
          <w:highlight w:val="none"/>
          <w:u w:val="single"/>
        </w:rPr>
        <w:t xml:space="preserve">工地现场办公室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发包人指定的接收人为：</w:t>
      </w:r>
      <w:r>
        <w:rPr>
          <w:rFonts w:hint="eastAsia" w:ascii="宋体" w:hAnsi="宋体" w:cs="MingLiU_HKSCS"/>
          <w:color w:val="auto"/>
          <w:highlight w:val="none"/>
          <w:u w:val="single"/>
        </w:rPr>
        <w:t></w:t>
      </w:r>
      <w:r>
        <w:rPr>
          <w:rFonts w:hint="eastAsia" w:ascii="宋体" w:hAnsi="宋体"/>
          <w:color w:val="auto"/>
          <w:highlight w:val="none"/>
          <w:u w:val="single"/>
        </w:rPr>
        <w:t xml:space="preserve">   /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承包人接收文件的地点：</w:t>
      </w:r>
      <w:r>
        <w:rPr>
          <w:rFonts w:hint="eastAsia" w:ascii="宋体" w:hAnsi="宋体" w:cs="MingLiU_HKSCS"/>
          <w:color w:val="auto"/>
          <w:highlight w:val="none"/>
          <w:u w:val="single"/>
        </w:rPr>
        <w:t></w:t>
      </w:r>
      <w:r>
        <w:rPr>
          <w:rFonts w:hint="eastAsia" w:ascii="宋体" w:hAnsi="宋体"/>
          <w:color w:val="auto"/>
          <w:highlight w:val="none"/>
          <w:u w:val="single"/>
        </w:rPr>
        <w:t xml:space="preserve">/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承包人指定的接收人为：</w:t>
      </w:r>
      <w:r>
        <w:rPr>
          <w:rFonts w:hint="eastAsia" w:ascii="宋体" w:hAnsi="宋体" w:cs="MingLiU_HKSCS"/>
          <w:color w:val="auto"/>
          <w:highlight w:val="none"/>
          <w:u w:val="single"/>
        </w:rPr>
        <w:t></w:t>
      </w:r>
      <w:r>
        <w:rPr>
          <w:rFonts w:hint="eastAsia" w:ascii="宋体" w:hAnsi="宋体"/>
          <w:color w:val="auto"/>
          <w:highlight w:val="none"/>
          <w:u w:val="single"/>
        </w:rPr>
        <w:t xml:space="preserve">/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监理人接收文件的地点：</w:t>
      </w:r>
      <w:r>
        <w:rPr>
          <w:rFonts w:hint="eastAsia" w:ascii="宋体" w:hAnsi="宋体" w:cs="MingLiU_HKSCS"/>
          <w:color w:val="auto"/>
          <w:highlight w:val="none"/>
          <w:u w:val="single"/>
        </w:rPr>
        <w:t></w:t>
      </w:r>
      <w:r>
        <w:rPr>
          <w:rFonts w:hint="eastAsia" w:ascii="宋体" w:hAnsi="宋体"/>
          <w:color w:val="auto"/>
          <w:highlight w:val="none"/>
          <w:u w:val="single"/>
        </w:rPr>
        <w:t xml:space="preserve">工地现场办公室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监理人指定的接收人为：</w:t>
      </w:r>
      <w:r>
        <w:rPr>
          <w:rFonts w:hint="eastAsia" w:ascii="宋体" w:hAnsi="宋体" w:cs="MingLiU_HKSCS"/>
          <w:color w:val="auto"/>
          <w:highlight w:val="none"/>
          <w:u w:val="single"/>
        </w:rPr>
        <w:t></w:t>
      </w:r>
      <w:r>
        <w:rPr>
          <w:rFonts w:hint="eastAsia" w:ascii="宋体" w:hAnsi="宋体"/>
          <w:color w:val="auto"/>
          <w:highlight w:val="none"/>
          <w:u w:val="single"/>
        </w:rPr>
        <w:t xml:space="preserve"> /        </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1.10 交通运输</w:t>
      </w:r>
    </w:p>
    <w:p>
      <w:pPr>
        <w:spacing w:line="360" w:lineRule="auto"/>
        <w:ind w:firstLine="420" w:firstLineChars="200"/>
        <w:outlineLvl w:val="0"/>
        <w:rPr>
          <w:rFonts w:ascii="宋体" w:hAnsi="宋体"/>
          <w:color w:val="auto"/>
          <w:highlight w:val="none"/>
        </w:rPr>
      </w:pPr>
      <w:r>
        <w:rPr>
          <w:rFonts w:ascii="宋体" w:hAnsi="宋体"/>
          <w:color w:val="auto"/>
          <w:highlight w:val="none"/>
        </w:rPr>
        <w:t>1</w:t>
      </w:r>
      <w:bookmarkStart w:id="41" w:name="_Toc312677986"/>
      <w:bookmarkStart w:id="42" w:name="_Toc300934943"/>
      <w:bookmarkStart w:id="43" w:name="_Toc304295521"/>
      <w:bookmarkStart w:id="44" w:name="_Toc303539100"/>
      <w:bookmarkStart w:id="45" w:name="_Toc318581155"/>
      <w:r>
        <w:rPr>
          <w:rFonts w:ascii="宋体" w:hAnsi="宋体"/>
          <w:color w:val="auto"/>
          <w:highlight w:val="none"/>
        </w:rPr>
        <w:t>.10.1 出入现场的权利</w:t>
      </w:r>
    </w:p>
    <w:p>
      <w:pPr>
        <w:spacing w:line="360" w:lineRule="auto"/>
        <w:ind w:left="596" w:leftChars="284"/>
        <w:rPr>
          <w:rFonts w:ascii="宋体" w:hAnsi="宋体"/>
          <w:color w:val="auto"/>
          <w:highlight w:val="none"/>
        </w:rPr>
      </w:pPr>
      <w:r>
        <w:rPr>
          <w:rFonts w:ascii="宋体" w:hAnsi="宋体"/>
          <w:color w:val="auto"/>
          <w:highlight w:val="none"/>
        </w:rPr>
        <w:t>关于出入现场的权利的约定：</w:t>
      </w:r>
      <w:r>
        <w:rPr>
          <w:rFonts w:hint="eastAsia" w:ascii="宋体" w:hAnsi="宋体" w:cs="MingLiU_HKSCS"/>
          <w:color w:val="auto"/>
          <w:highlight w:val="none"/>
          <w:u w:val="single"/>
        </w:rPr>
        <w:t></w:t>
      </w:r>
      <w:r>
        <w:rPr>
          <w:rFonts w:hint="eastAsia" w:ascii="宋体" w:hAnsi="宋体"/>
          <w:color w:val="auto"/>
          <w:highlight w:val="none"/>
          <w:u w:val="single"/>
        </w:rPr>
        <w:t>/</w:t>
      </w:r>
      <w:r>
        <w:rPr>
          <w:rFonts w:hint="eastAsia" w:ascii="宋体" w:hAnsi="宋体" w:cs="MingLiU_HKSCS"/>
          <w:color w:val="auto"/>
          <w:highlight w:val="none"/>
          <w:u w:val="single"/>
        </w:rPr>
        <w:t></w:t>
      </w:r>
      <w:r>
        <w:rPr>
          <w:rFonts w:ascii="宋体" w:hAnsi="宋体"/>
          <w:color w:val="auto"/>
          <w:highlight w:val="none"/>
        </w:rPr>
        <w:t>。</w:t>
      </w:r>
    </w:p>
    <w:bookmarkEnd w:id="41"/>
    <w:bookmarkEnd w:id="42"/>
    <w:bookmarkEnd w:id="43"/>
    <w:bookmarkEnd w:id="44"/>
    <w:bookmarkEnd w:id="45"/>
    <w:p>
      <w:pPr>
        <w:spacing w:line="360" w:lineRule="auto"/>
        <w:ind w:firstLine="420" w:firstLineChars="200"/>
        <w:jc w:val="left"/>
        <w:outlineLvl w:val="0"/>
        <w:rPr>
          <w:rFonts w:ascii="宋体" w:hAnsi="宋体"/>
          <w:color w:val="auto"/>
          <w:highlight w:val="none"/>
        </w:rPr>
      </w:pPr>
      <w:r>
        <w:rPr>
          <w:rFonts w:ascii="宋体" w:hAnsi="宋体"/>
          <w:color w:val="auto"/>
          <w:highlight w:val="none"/>
        </w:rPr>
        <w:t>1</w:t>
      </w:r>
      <w:bookmarkStart w:id="46" w:name="_Toc312677987"/>
      <w:bookmarkStart w:id="47" w:name="_Toc304295522"/>
      <w:bookmarkStart w:id="48" w:name="_Toc300934944"/>
      <w:bookmarkStart w:id="49" w:name="_Toc318581156"/>
      <w:bookmarkStart w:id="50" w:name="_Toc303539101"/>
      <w:r>
        <w:rPr>
          <w:rFonts w:ascii="宋体" w:hAnsi="宋体"/>
          <w:color w:val="auto"/>
          <w:highlight w:val="none"/>
        </w:rPr>
        <w:t>.10.3 场内交通</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关于场外交通和场内交通的边界的约定：</w:t>
      </w:r>
      <w:r>
        <w:rPr>
          <w:rFonts w:hint="eastAsia" w:ascii="宋体" w:hAnsi="宋体" w:cs="MingLiU_HKSCS"/>
          <w:color w:val="auto"/>
          <w:highlight w:val="none"/>
          <w:u w:val="single"/>
        </w:rPr>
        <w:t></w:t>
      </w:r>
      <w:r>
        <w:rPr>
          <w:rFonts w:hint="eastAsia" w:ascii="宋体" w:hAnsi="宋体"/>
          <w:color w:val="auto"/>
          <w:highlight w:val="none"/>
          <w:u w:val="single"/>
        </w:rPr>
        <w:t xml:space="preserve">以工程永久占地和临时占地范围为边界  </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关于发包人向承包人免费提供满足工程施工需要的场内道路和交通设施的约定：</w:t>
      </w:r>
      <w:r>
        <w:rPr>
          <w:rFonts w:hint="eastAsia" w:ascii="宋体" w:hAnsi="宋体" w:cs="MingLiU_HKSCS"/>
          <w:color w:val="auto"/>
          <w:highlight w:val="none"/>
          <w:u w:val="single"/>
        </w:rPr>
        <w:t></w:t>
      </w:r>
      <w:r>
        <w:rPr>
          <w:rFonts w:hint="eastAsia" w:ascii="宋体" w:hAnsi="宋体"/>
          <w:color w:val="auto"/>
          <w:highlight w:val="none"/>
          <w:u w:val="single"/>
        </w:rPr>
        <w:t>由承包人负责实施并承担相关费用</w:t>
      </w:r>
      <w:r>
        <w:rPr>
          <w:rFonts w:hint="eastAsia" w:ascii="宋体" w:hAnsi="宋体" w:cs="MingLiU_HKSCS"/>
          <w:color w:val="auto"/>
          <w:highlight w:val="none"/>
          <w:u w:val="single"/>
        </w:rPr>
        <w:t></w:t>
      </w:r>
      <w:r>
        <w:rPr>
          <w:rFonts w:ascii="宋体" w:hAnsi="宋体"/>
          <w:color w:val="auto"/>
          <w:highlight w:val="none"/>
        </w:rPr>
        <w:t>。</w:t>
      </w:r>
      <w:bookmarkEnd w:id="46"/>
      <w:bookmarkEnd w:id="47"/>
      <w:bookmarkEnd w:id="48"/>
      <w:bookmarkEnd w:id="49"/>
      <w:bookmarkEnd w:id="50"/>
      <w:bookmarkStart w:id="51" w:name="_Toc318581157"/>
    </w:p>
    <w:p>
      <w:pPr>
        <w:spacing w:line="360" w:lineRule="auto"/>
        <w:ind w:firstLine="420" w:firstLineChars="200"/>
        <w:jc w:val="left"/>
        <w:rPr>
          <w:rFonts w:ascii="宋体" w:hAnsi="宋体"/>
          <w:color w:val="auto"/>
          <w:highlight w:val="none"/>
        </w:rPr>
      </w:pPr>
      <w:r>
        <w:rPr>
          <w:rFonts w:ascii="宋体" w:hAnsi="宋体"/>
          <w:color w:val="auto"/>
          <w:highlight w:val="none"/>
        </w:rPr>
        <w:t>1.10.4超大件和超重件的运输</w:t>
      </w:r>
    </w:p>
    <w:p>
      <w:pPr>
        <w:spacing w:line="360" w:lineRule="auto"/>
        <w:ind w:firstLine="420" w:firstLineChars="200"/>
        <w:jc w:val="left"/>
        <w:rPr>
          <w:rFonts w:ascii="宋体" w:hAnsi="宋体"/>
          <w:color w:val="auto"/>
          <w:highlight w:val="none"/>
        </w:rPr>
      </w:pPr>
      <w:r>
        <w:rPr>
          <w:rFonts w:ascii="宋体" w:hAnsi="宋体"/>
          <w:color w:val="auto"/>
          <w:highlight w:val="none"/>
        </w:rPr>
        <w:t>运输超大件或超重件所需的道路和桥梁临时加固改造费用和其他有关费用由</w:t>
      </w:r>
      <w:r>
        <w:rPr>
          <w:rFonts w:hint="eastAsia" w:ascii="宋体" w:hAnsi="宋体"/>
          <w:color w:val="auto"/>
          <w:highlight w:val="none"/>
          <w:u w:val="single"/>
        </w:rPr>
        <w:t>承包人</w:t>
      </w:r>
      <w:r>
        <w:rPr>
          <w:rFonts w:ascii="宋体" w:hAnsi="宋体"/>
          <w:color w:val="auto"/>
          <w:highlight w:val="none"/>
        </w:rPr>
        <w:t>承担。</w:t>
      </w:r>
    </w:p>
    <w:bookmarkEnd w:id="51"/>
    <w:p>
      <w:pPr>
        <w:spacing w:line="360" w:lineRule="auto"/>
        <w:ind w:firstLine="420" w:firstLineChars="200"/>
        <w:outlineLvl w:val="0"/>
        <w:rPr>
          <w:rFonts w:ascii="宋体" w:hAnsi="宋体"/>
          <w:color w:val="auto"/>
          <w:highlight w:val="none"/>
        </w:rPr>
      </w:pPr>
      <w:r>
        <w:rPr>
          <w:rFonts w:ascii="宋体" w:hAnsi="宋体"/>
          <w:color w:val="auto"/>
          <w:highlight w:val="none"/>
        </w:rPr>
        <w:t>1.11 知识产权</w:t>
      </w:r>
    </w:p>
    <w:p>
      <w:pPr>
        <w:spacing w:line="360" w:lineRule="auto"/>
        <w:ind w:firstLine="420" w:firstLineChars="200"/>
        <w:rPr>
          <w:rFonts w:ascii="宋体" w:hAnsi="宋体"/>
          <w:color w:val="auto"/>
          <w:highlight w:val="none"/>
        </w:rPr>
      </w:pPr>
      <w:r>
        <w:rPr>
          <w:rFonts w:ascii="宋体" w:hAnsi="宋体"/>
          <w:color w:val="auto"/>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MingLiU_HKSCS"/>
          <w:color w:val="auto"/>
          <w:highlight w:val="none"/>
          <w:u w:val="single"/>
        </w:rPr>
        <w:t></w:t>
      </w:r>
      <w:r>
        <w:rPr>
          <w:rFonts w:hint="eastAsia" w:ascii="宋体" w:hAnsi="宋体"/>
          <w:color w:val="auto"/>
          <w:highlight w:val="none"/>
          <w:u w:val="single"/>
        </w:rPr>
        <w:t>著作权归发包人所有</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关于发包人提供的上述文件的使用限制的要求：</w:t>
      </w:r>
      <w:r>
        <w:rPr>
          <w:rFonts w:hint="eastAsia" w:ascii="宋体" w:hAnsi="宋体"/>
          <w:color w:val="auto"/>
          <w:highlight w:val="none"/>
          <w:u w:val="single"/>
        </w:rPr>
        <w:t>执行通用条款</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1.11.2 关于承包人为实施工程所编制文件的著作权的归属：</w:t>
      </w:r>
      <w:r>
        <w:rPr>
          <w:rFonts w:hint="eastAsia" w:ascii="宋体" w:hAnsi="宋体"/>
          <w:color w:val="auto"/>
          <w:highlight w:val="none"/>
          <w:u w:val="single"/>
        </w:rPr>
        <w:t>著作权归发包人所有</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关于承包人提供的上述文件的使用限制的要求：</w:t>
      </w:r>
      <w:r>
        <w:rPr>
          <w:rFonts w:hint="eastAsia" w:ascii="宋体" w:hAnsi="宋体" w:cs="MingLiU_HKSCS"/>
          <w:color w:val="auto"/>
          <w:highlight w:val="none"/>
          <w:u w:val="single"/>
        </w:rPr>
        <w:t></w:t>
      </w:r>
      <w:r>
        <w:rPr>
          <w:rFonts w:hint="eastAsia" w:ascii="宋体" w:hAnsi="宋体"/>
          <w:color w:val="auto"/>
          <w:highlight w:val="none"/>
          <w:u w:val="single"/>
        </w:rPr>
        <w:t>执行通用条款</w:t>
      </w:r>
      <w:r>
        <w:rPr>
          <w:rFonts w:ascii="宋体" w:hAnsi="宋体"/>
          <w:color w:val="auto"/>
          <w:highlight w:val="none"/>
        </w:rPr>
        <w:t>。</w:t>
      </w:r>
    </w:p>
    <w:p>
      <w:pPr>
        <w:spacing w:line="360" w:lineRule="auto"/>
        <w:ind w:firstLine="420" w:firstLineChars="200"/>
        <w:outlineLvl w:val="0"/>
        <w:rPr>
          <w:rFonts w:ascii="宋体" w:hAnsi="宋体"/>
          <w:color w:val="auto"/>
          <w:kern w:val="0"/>
          <w:highlight w:val="none"/>
        </w:rPr>
      </w:pPr>
      <w:r>
        <w:rPr>
          <w:rFonts w:ascii="宋体" w:hAnsi="宋体"/>
          <w:color w:val="auto"/>
          <w:highlight w:val="none"/>
        </w:rPr>
        <w:t>1.11.4 承包人在施工过程中所采用的专利、专有技术、技术秘密的使用费的承担方式：</w:t>
      </w:r>
      <w:r>
        <w:rPr>
          <w:rFonts w:hint="eastAsia" w:ascii="宋体" w:hAnsi="宋体" w:cs="MingLiU_HKSCS"/>
          <w:color w:val="auto"/>
          <w:highlight w:val="none"/>
          <w:u w:val="single"/>
        </w:rPr>
        <w:t></w:t>
      </w:r>
      <w:r>
        <w:rPr>
          <w:rFonts w:hint="eastAsia" w:ascii="宋体" w:hAnsi="宋体"/>
          <w:color w:val="auto"/>
          <w:highlight w:val="none"/>
          <w:u w:val="single"/>
        </w:rPr>
        <w:t>由承包人承担</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1.13工程量清单错误的修正</w:t>
      </w:r>
    </w:p>
    <w:p>
      <w:pPr>
        <w:spacing w:line="360" w:lineRule="auto"/>
        <w:ind w:firstLine="420" w:firstLineChars="200"/>
        <w:rPr>
          <w:rFonts w:ascii="宋体" w:hAnsi="宋体"/>
          <w:color w:val="auto"/>
          <w:highlight w:val="none"/>
        </w:rPr>
      </w:pPr>
      <w:r>
        <w:rPr>
          <w:rFonts w:hint="eastAsia" w:ascii="宋体" w:hAnsi="宋体"/>
          <w:color w:val="auto"/>
          <w:highlight w:val="none"/>
        </w:rPr>
        <w:t>出现工程量清单错误时，是否调整合同价格：</w:t>
      </w:r>
      <w:r>
        <w:rPr>
          <w:rFonts w:hint="eastAsia" w:ascii="宋体" w:hAnsi="宋体"/>
          <w:color w:val="auto"/>
          <w:highlight w:val="none"/>
          <w:u w:val="single"/>
        </w:rPr>
        <w:t>/</w:t>
      </w:r>
      <w:r>
        <w:rPr>
          <w:rFonts w:hint="eastAsia" w:ascii="宋体" w:hAnsi="宋体" w:cs="MingLiU_HKSCS"/>
          <w:color w:val="auto"/>
          <w:highlight w:val="none"/>
          <w:u w:val="single"/>
        </w:rPr>
        <w:t></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允许调整合同价格的工程量偏差范围：</w:t>
      </w:r>
      <w:r>
        <w:rPr>
          <w:rFonts w:hint="eastAsia" w:ascii="宋体" w:hAnsi="宋体" w:cs="MingLiU_HKSCS"/>
          <w:color w:val="auto"/>
          <w:highlight w:val="none"/>
          <w:u w:val="single"/>
        </w:rPr>
        <w:t></w:t>
      </w:r>
      <w:r>
        <w:rPr>
          <w:rFonts w:hint="eastAsia" w:ascii="宋体" w:hAnsi="宋体"/>
          <w:color w:val="auto"/>
          <w:highlight w:val="none"/>
          <w:u w:val="single"/>
        </w:rPr>
        <w:t xml:space="preserve">    /  </w:t>
      </w:r>
      <w:r>
        <w:rPr>
          <w:rFonts w:hint="eastAsia" w:ascii="宋体" w:hAnsi="宋体" w:cs="MingLiU_HKSCS"/>
          <w:color w:val="auto"/>
          <w:highlight w:val="none"/>
          <w:u w:val="single"/>
        </w:rPr>
        <w:t></w:t>
      </w:r>
      <w:r>
        <w:rPr>
          <w:rFonts w:ascii="宋体" w:hAnsi="宋体"/>
          <w:color w:val="auto"/>
          <w:kern w:val="0"/>
          <w:highlight w:val="none"/>
        </w:rPr>
        <w:t>。</w:t>
      </w:r>
    </w:p>
    <w:p>
      <w:pPr>
        <w:keepNext/>
        <w:keepLines/>
        <w:tabs>
          <w:tab w:val="left" w:pos="1080"/>
        </w:tabs>
        <w:spacing w:line="360" w:lineRule="auto"/>
        <w:outlineLvl w:val="3"/>
        <w:rPr>
          <w:rFonts w:ascii="宋体" w:hAnsi="宋体"/>
          <w:bCs/>
          <w:color w:val="auto"/>
          <w:highlight w:val="none"/>
        </w:rPr>
      </w:pPr>
      <w:bookmarkStart w:id="52" w:name="_Toc351203634"/>
      <w:r>
        <w:rPr>
          <w:rFonts w:ascii="宋体" w:hAnsi="宋体"/>
          <w:bCs/>
          <w:color w:val="auto"/>
          <w:highlight w:val="none"/>
        </w:rPr>
        <w:t>2</w:t>
      </w:r>
      <w:bookmarkStart w:id="53" w:name="_Toc296891197"/>
      <w:bookmarkStart w:id="54" w:name="_Toc292559362"/>
      <w:bookmarkStart w:id="55" w:name="_Toc292559867"/>
      <w:bookmarkStart w:id="56" w:name="_Toc296944496"/>
      <w:bookmarkStart w:id="57" w:name="_Toc296346658"/>
      <w:bookmarkStart w:id="58" w:name="_Toc296503157"/>
      <w:bookmarkStart w:id="59" w:name="_Toc297048343"/>
      <w:bookmarkStart w:id="60" w:name="_Toc296347156"/>
      <w:bookmarkStart w:id="61" w:name="_Toc296890985"/>
      <w:bookmarkStart w:id="62" w:name="_Toc297120457"/>
      <w:r>
        <w:rPr>
          <w:rFonts w:ascii="宋体" w:hAnsi="宋体"/>
          <w:bCs/>
          <w:color w:val="auto"/>
          <w:highlight w:val="none"/>
        </w:rPr>
        <w:t>. 发包人</w:t>
      </w:r>
      <w:bookmarkEnd w:id="52"/>
    </w:p>
    <w:bookmarkEnd w:id="53"/>
    <w:bookmarkEnd w:id="54"/>
    <w:bookmarkEnd w:id="55"/>
    <w:bookmarkEnd w:id="56"/>
    <w:bookmarkEnd w:id="57"/>
    <w:bookmarkEnd w:id="58"/>
    <w:bookmarkEnd w:id="59"/>
    <w:bookmarkEnd w:id="60"/>
    <w:bookmarkEnd w:id="61"/>
    <w:bookmarkEnd w:id="62"/>
    <w:p>
      <w:pPr>
        <w:spacing w:line="360" w:lineRule="auto"/>
        <w:ind w:firstLine="420" w:firstLineChars="200"/>
        <w:outlineLvl w:val="0"/>
        <w:rPr>
          <w:rFonts w:ascii="宋体" w:hAnsi="宋体"/>
          <w:color w:val="auto"/>
          <w:highlight w:val="none"/>
        </w:rPr>
      </w:pPr>
      <w:r>
        <w:rPr>
          <w:rFonts w:ascii="宋体" w:hAnsi="宋体"/>
          <w:color w:val="auto"/>
          <w:highlight w:val="none"/>
        </w:rPr>
        <w:t>2.2 发包人代表</w:t>
      </w:r>
    </w:p>
    <w:p>
      <w:pPr>
        <w:spacing w:line="360" w:lineRule="auto"/>
        <w:ind w:firstLine="420" w:firstLineChars="200"/>
        <w:rPr>
          <w:rFonts w:ascii="宋体" w:hAnsi="宋体"/>
          <w:color w:val="auto"/>
          <w:highlight w:val="none"/>
        </w:rPr>
      </w:pPr>
      <w:r>
        <w:rPr>
          <w:rFonts w:ascii="宋体" w:hAnsi="宋体"/>
          <w:color w:val="auto"/>
          <w:highlight w:val="none"/>
        </w:rPr>
        <w:t>发包人代表：</w:t>
      </w:r>
    </w:p>
    <w:p>
      <w:pPr>
        <w:spacing w:line="360" w:lineRule="auto"/>
        <w:ind w:firstLine="420" w:firstLineChars="200"/>
        <w:rPr>
          <w:rFonts w:ascii="宋体" w:hAnsi="宋体"/>
          <w:color w:val="auto"/>
          <w:highlight w:val="none"/>
        </w:rPr>
      </w:pPr>
      <w:r>
        <w:rPr>
          <w:rFonts w:ascii="宋体" w:hAnsi="宋体"/>
          <w:color w:val="auto"/>
          <w:highlight w:val="none"/>
        </w:rPr>
        <w:t>姓    名：</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身份证号：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职    务：</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联系电话：</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电子信箱：</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通信地址：</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b/>
          <w:color w:val="auto"/>
          <w:highlight w:val="none"/>
        </w:rPr>
      </w:pPr>
      <w:r>
        <w:rPr>
          <w:rFonts w:ascii="宋体" w:hAnsi="宋体"/>
          <w:color w:val="auto"/>
          <w:highlight w:val="none"/>
        </w:rPr>
        <w:t>发包人对发包人代表的授权范围如下：</w:t>
      </w:r>
      <w:r>
        <w:rPr>
          <w:rFonts w:hint="eastAsia" w:ascii="宋体" w:hAnsi="宋体" w:cs="MingLiU_HKSCS"/>
          <w:color w:val="auto"/>
          <w:highlight w:val="none"/>
          <w:u w:val="single"/>
        </w:rPr>
        <w:t></w:t>
      </w:r>
      <w:r>
        <w:rPr>
          <w:rFonts w:hint="eastAsia" w:ascii="宋体" w:hAnsi="宋体"/>
          <w:color w:val="auto"/>
          <w:szCs w:val="21"/>
          <w:highlight w:val="none"/>
          <w:u w:val="single"/>
        </w:rPr>
        <w:t>经发包人授权并在授权范围内代表发包人行使发包人权利，全面负责本工程的组织、协调和管理，签发或签署各种相关指令，报表及支付凭证，处理施工过程中的各有关事宜</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2.4 施工现场、施工条件和基础资料的提供</w:t>
      </w:r>
    </w:p>
    <w:p>
      <w:pPr>
        <w:spacing w:line="360" w:lineRule="auto"/>
        <w:ind w:firstLine="420" w:firstLineChars="200"/>
        <w:rPr>
          <w:rFonts w:ascii="宋体" w:hAnsi="宋体"/>
          <w:color w:val="auto"/>
          <w:highlight w:val="none"/>
        </w:rPr>
      </w:pPr>
      <w:r>
        <w:rPr>
          <w:rFonts w:ascii="宋体" w:hAnsi="宋体"/>
          <w:color w:val="auto"/>
          <w:highlight w:val="none"/>
        </w:rPr>
        <w:t>2.4.1 提供施工现场</w:t>
      </w:r>
    </w:p>
    <w:p>
      <w:pPr>
        <w:spacing w:line="360" w:lineRule="auto"/>
        <w:ind w:firstLine="420" w:firstLineChars="200"/>
        <w:jc w:val="left"/>
        <w:rPr>
          <w:rFonts w:ascii="宋体" w:hAnsi="宋体"/>
          <w:color w:val="auto"/>
          <w:highlight w:val="none"/>
        </w:rPr>
      </w:pPr>
      <w:r>
        <w:rPr>
          <w:rFonts w:ascii="宋体" w:hAnsi="宋体"/>
          <w:color w:val="auto"/>
          <w:highlight w:val="none"/>
        </w:rPr>
        <w:t>关于发包人移交施工现场的期限要求：</w:t>
      </w:r>
      <w:r>
        <w:rPr>
          <w:rFonts w:hint="eastAsia" w:ascii="宋体" w:hAnsi="宋体" w:cs="MingLiU_HKSCS"/>
          <w:color w:val="auto"/>
          <w:highlight w:val="none"/>
          <w:u w:val="single"/>
        </w:rPr>
        <w:t></w:t>
      </w:r>
      <w:r>
        <w:rPr>
          <w:rFonts w:hint="eastAsia" w:ascii="宋体" w:hAnsi="宋体"/>
          <w:color w:val="auto"/>
          <w:szCs w:val="21"/>
          <w:highlight w:val="none"/>
          <w:u w:val="single"/>
        </w:rPr>
        <w:t>开工日期前 7天</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2.4.2 提供施工条件</w:t>
      </w:r>
    </w:p>
    <w:p>
      <w:pPr>
        <w:spacing w:line="360" w:lineRule="auto"/>
        <w:ind w:firstLine="420" w:firstLineChars="200"/>
        <w:rPr>
          <w:rFonts w:ascii="宋体" w:hAnsi="宋体"/>
          <w:color w:val="auto"/>
          <w:highlight w:val="none"/>
          <w:u w:val="single"/>
        </w:rPr>
      </w:pPr>
      <w:r>
        <w:rPr>
          <w:rFonts w:ascii="宋体" w:hAnsi="宋体"/>
          <w:color w:val="auto"/>
          <w:highlight w:val="none"/>
        </w:rPr>
        <w:t>关于发包人应负责提供施工</w:t>
      </w:r>
      <w:r>
        <w:rPr>
          <w:rFonts w:hint="eastAsia" w:ascii="宋体" w:hAnsi="宋体"/>
          <w:color w:val="auto"/>
          <w:highlight w:val="none"/>
        </w:rPr>
        <w:t>所需要的条件，</w:t>
      </w:r>
      <w:r>
        <w:rPr>
          <w:rFonts w:ascii="宋体" w:hAnsi="宋体"/>
          <w:color w:val="auto"/>
          <w:highlight w:val="none"/>
        </w:rPr>
        <w:t>包括：</w:t>
      </w:r>
      <w:r>
        <w:rPr>
          <w:rFonts w:hint="eastAsia" w:ascii="宋体" w:hAnsi="宋体"/>
          <w:color w:val="auto"/>
          <w:szCs w:val="21"/>
          <w:highlight w:val="none"/>
          <w:u w:val="single"/>
        </w:rPr>
        <w:t>开工前7天提供临时水电接驳点，施工场内临时水管、电线电缆等铺设费用及施工过程中的施工用水、用电费用由承包人自行承担解决，费用已经含在合同价中，发包人不另行支付。承包人须自备发电机组设备（费用已经包括在合同价中），以保证偶然停电情况下正常施工所需用电以及为满足合同工期要求赶工所需用电，自行发电所产生的费用由承包人承担，已包含在合同价中。发包人不提供电讯线路接驳点，承包人负责接驳到现场的工作，相关一切费用已包含在承包人合同价中，发包人不另行支付</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2.5 资金来源证明及支付担保</w:t>
      </w:r>
    </w:p>
    <w:p>
      <w:pPr>
        <w:spacing w:line="360" w:lineRule="auto"/>
        <w:ind w:firstLine="420" w:firstLineChars="200"/>
        <w:rPr>
          <w:rFonts w:ascii="宋体" w:hAnsi="宋体"/>
          <w:color w:val="auto"/>
          <w:highlight w:val="none"/>
        </w:rPr>
      </w:pPr>
      <w:r>
        <w:rPr>
          <w:rFonts w:ascii="宋体" w:hAnsi="宋体"/>
          <w:color w:val="auto"/>
          <w:highlight w:val="none"/>
        </w:rPr>
        <w:t>发包人提供资金来源证明的期限要求：</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发包人是否提供支付担保：</w:t>
      </w:r>
      <w:r>
        <w:rPr>
          <w:rFonts w:hint="eastAsia" w:ascii="宋体" w:hAnsi="宋体" w:cs="MingLiU_HKSCS"/>
          <w:color w:val="auto"/>
          <w:highlight w:val="none"/>
          <w:u w:val="single"/>
        </w:rPr>
        <w:t></w:t>
      </w:r>
      <w:r>
        <w:rPr>
          <w:rFonts w:hint="eastAsia" w:ascii="宋体" w:hAnsi="宋体" w:cs="MingLiU_HKSCS"/>
          <w:color w:val="auto"/>
          <w:highlight w:val="none"/>
          <w:u w:val="single"/>
          <w:lang w:val="en-US" w:eastAsia="zh-CN"/>
        </w:rPr>
        <w:t>提供</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u w:val="single"/>
        </w:rPr>
      </w:pPr>
      <w:r>
        <w:rPr>
          <w:rFonts w:ascii="宋体" w:hAnsi="宋体"/>
          <w:color w:val="auto"/>
          <w:highlight w:val="none"/>
        </w:rPr>
        <w:t>发包人提供支付担保的形式：</w:t>
      </w:r>
      <w:r>
        <w:rPr>
          <w:rFonts w:hint="eastAsia" w:ascii="宋体" w:hAnsi="宋体" w:cs="MingLiU_HKSCS"/>
          <w:color w:val="auto"/>
          <w:highlight w:val="none"/>
          <w:u w:val="single"/>
        </w:rPr>
        <w:t></w:t>
      </w:r>
      <w:r>
        <w:rPr>
          <w:rFonts w:hint="eastAsia" w:ascii="宋体" w:hAnsi="宋体" w:cs="MingLiU_HKSCS"/>
          <w:color w:val="auto"/>
          <w:highlight w:val="none"/>
          <w:u w:val="single"/>
          <w:lang w:val="en-US" w:eastAsia="zh-CN"/>
        </w:rPr>
        <w:t xml:space="preserve">银行保函 </w:t>
      </w:r>
      <w:r>
        <w:rPr>
          <w:rFonts w:ascii="宋体" w:hAnsi="宋体"/>
          <w:color w:val="auto"/>
          <w:highlight w:val="none"/>
        </w:rPr>
        <w:t>。</w:t>
      </w:r>
    </w:p>
    <w:p>
      <w:pPr>
        <w:keepNext/>
        <w:keepLines/>
        <w:tabs>
          <w:tab w:val="left" w:pos="1080"/>
        </w:tabs>
        <w:spacing w:line="360" w:lineRule="auto"/>
        <w:outlineLvl w:val="3"/>
        <w:rPr>
          <w:rFonts w:ascii="宋体" w:hAnsi="宋体"/>
          <w:bCs/>
          <w:color w:val="auto"/>
          <w:highlight w:val="none"/>
        </w:rPr>
      </w:pPr>
      <w:bookmarkStart w:id="63" w:name="_Toc351203635"/>
      <w:r>
        <w:rPr>
          <w:rFonts w:ascii="宋体" w:hAnsi="宋体"/>
          <w:bCs/>
          <w:color w:val="auto"/>
          <w:highlight w:val="none"/>
        </w:rPr>
        <w:t>3</w:t>
      </w:r>
      <w:bookmarkStart w:id="64" w:name="_Toc292559363"/>
      <w:bookmarkStart w:id="65" w:name="_Toc296891198"/>
      <w:bookmarkStart w:id="66" w:name="_Toc296944497"/>
      <w:bookmarkStart w:id="67" w:name="_Toc296503158"/>
      <w:bookmarkStart w:id="68" w:name="_Toc292559868"/>
      <w:bookmarkStart w:id="69" w:name="_Toc296347157"/>
      <w:bookmarkStart w:id="70" w:name="_Toc297120458"/>
      <w:bookmarkStart w:id="71" w:name="_Toc297048344"/>
      <w:bookmarkStart w:id="72" w:name="_Toc296346659"/>
      <w:bookmarkStart w:id="73" w:name="_Toc296890986"/>
      <w:r>
        <w:rPr>
          <w:rFonts w:ascii="宋体" w:hAnsi="宋体"/>
          <w:bCs/>
          <w:color w:val="auto"/>
          <w:highlight w:val="none"/>
        </w:rPr>
        <w:t>. 承包人</w:t>
      </w:r>
      <w:bookmarkEnd w:id="63"/>
    </w:p>
    <w:bookmarkEnd w:id="64"/>
    <w:bookmarkEnd w:id="65"/>
    <w:bookmarkEnd w:id="66"/>
    <w:bookmarkEnd w:id="67"/>
    <w:bookmarkEnd w:id="68"/>
    <w:bookmarkEnd w:id="69"/>
    <w:bookmarkEnd w:id="70"/>
    <w:bookmarkEnd w:id="71"/>
    <w:bookmarkEnd w:id="72"/>
    <w:bookmarkEnd w:id="73"/>
    <w:p>
      <w:pPr>
        <w:spacing w:line="360" w:lineRule="auto"/>
        <w:ind w:firstLine="420" w:firstLineChars="200"/>
        <w:rPr>
          <w:rFonts w:ascii="宋体" w:hAnsi="宋体"/>
          <w:color w:val="auto"/>
          <w:highlight w:val="none"/>
        </w:rPr>
      </w:pPr>
      <w:r>
        <w:rPr>
          <w:rFonts w:ascii="宋体" w:hAnsi="宋体"/>
          <w:color w:val="auto"/>
          <w:highlight w:val="none"/>
        </w:rPr>
        <w:t>3.1 承包人的一般义务</w:t>
      </w:r>
    </w:p>
    <w:p>
      <w:pPr>
        <w:spacing w:line="360" w:lineRule="auto"/>
        <w:ind w:firstLine="420" w:firstLineChars="200"/>
        <w:jc w:val="left"/>
        <w:rPr>
          <w:rFonts w:ascii="宋体" w:hAnsi="宋体"/>
          <w:color w:val="auto"/>
          <w:highlight w:val="none"/>
        </w:rPr>
      </w:pPr>
      <w:r>
        <w:rPr>
          <w:rFonts w:ascii="宋体" w:hAnsi="宋体"/>
          <w:color w:val="auto"/>
          <w:kern w:val="0"/>
          <w:highlight w:val="none"/>
        </w:rPr>
        <w:t>（</w:t>
      </w:r>
      <w:r>
        <w:rPr>
          <w:rFonts w:hint="eastAsia" w:ascii="宋体" w:hAnsi="宋体"/>
          <w:color w:val="auto"/>
          <w:kern w:val="0"/>
          <w:highlight w:val="none"/>
        </w:rPr>
        <w:t>9</w:t>
      </w:r>
      <w:r>
        <w:rPr>
          <w:rFonts w:ascii="宋体" w:hAnsi="宋体"/>
          <w:color w:val="auto"/>
          <w:kern w:val="0"/>
          <w:highlight w:val="none"/>
        </w:rPr>
        <w:t>）</w:t>
      </w:r>
      <w:r>
        <w:rPr>
          <w:rFonts w:ascii="宋体" w:hAnsi="宋体"/>
          <w:color w:val="auto"/>
          <w:highlight w:val="none"/>
        </w:rPr>
        <w:t>承包人提交的竣工资料的内容：</w:t>
      </w:r>
      <w:r>
        <w:rPr>
          <w:rFonts w:hint="eastAsia" w:ascii="宋体" w:hAnsi="宋体"/>
          <w:color w:val="auto"/>
          <w:szCs w:val="21"/>
          <w:highlight w:val="none"/>
          <w:u w:val="single"/>
        </w:rPr>
        <w:t>提供符合无锡市建设工程档案归档规范要求及无锡市城建档案馆要求的竣工图纸及资料，并向发包人提供竣工图及资料的电子版</w:t>
      </w:r>
      <w:r>
        <w:rPr>
          <w:rFonts w:ascii="宋体" w:hAnsi="宋体"/>
          <w:color w:val="auto"/>
          <w:highlight w:val="none"/>
        </w:rPr>
        <w:t>。</w:t>
      </w:r>
    </w:p>
    <w:p>
      <w:pPr>
        <w:spacing w:line="360" w:lineRule="auto"/>
        <w:ind w:firstLine="630" w:firstLineChars="300"/>
        <w:jc w:val="left"/>
        <w:rPr>
          <w:rFonts w:ascii="宋体" w:hAnsi="宋体"/>
          <w:color w:val="auto"/>
          <w:highlight w:val="none"/>
        </w:rPr>
      </w:pPr>
      <w:r>
        <w:rPr>
          <w:rFonts w:ascii="宋体" w:hAnsi="宋体"/>
          <w:color w:val="auto"/>
          <w:highlight w:val="none"/>
        </w:rPr>
        <w:t>承包人需要提交的竣工资料套数：</w:t>
      </w:r>
      <w:r>
        <w:rPr>
          <w:rFonts w:hint="eastAsia" w:ascii="宋体" w:hAnsi="宋体"/>
          <w:color w:val="auto"/>
          <w:highlight w:val="none"/>
          <w:u w:val="single"/>
        </w:rPr>
        <w:t xml:space="preserve">  3套  </w:t>
      </w:r>
      <w:r>
        <w:rPr>
          <w:rFonts w:ascii="宋体" w:hAnsi="宋体"/>
          <w:color w:val="auto"/>
          <w:highlight w:val="none"/>
        </w:rPr>
        <w:t>。</w:t>
      </w:r>
    </w:p>
    <w:p>
      <w:pPr>
        <w:spacing w:line="360" w:lineRule="auto"/>
        <w:ind w:left="638" w:leftChars="304"/>
        <w:jc w:val="left"/>
        <w:rPr>
          <w:rFonts w:ascii="宋体" w:hAnsi="宋体"/>
          <w:color w:val="auto"/>
          <w:highlight w:val="none"/>
        </w:rPr>
      </w:pPr>
      <w:r>
        <w:rPr>
          <w:rFonts w:ascii="宋体" w:hAnsi="宋体"/>
          <w:color w:val="auto"/>
          <w:highlight w:val="none"/>
        </w:rPr>
        <w:t>承包人提交的竣工资料的费用承担：</w:t>
      </w:r>
      <w:r>
        <w:rPr>
          <w:rFonts w:hint="eastAsia" w:ascii="宋体" w:hAnsi="宋体"/>
          <w:color w:val="auto"/>
          <w:highlight w:val="none"/>
          <w:u w:val="single"/>
        </w:rPr>
        <w:t xml:space="preserve">承包人承担 </w:t>
      </w:r>
      <w:r>
        <w:rPr>
          <w:rFonts w:ascii="宋体" w:hAnsi="宋体"/>
          <w:color w:val="auto"/>
          <w:highlight w:val="none"/>
        </w:rPr>
        <w:t>。</w:t>
      </w:r>
    </w:p>
    <w:p>
      <w:pPr>
        <w:spacing w:line="360" w:lineRule="auto"/>
        <w:ind w:left="638" w:leftChars="304"/>
        <w:jc w:val="left"/>
        <w:rPr>
          <w:rFonts w:ascii="宋体" w:hAnsi="宋体"/>
          <w:color w:val="auto"/>
          <w:highlight w:val="none"/>
        </w:rPr>
      </w:pPr>
      <w:r>
        <w:rPr>
          <w:rFonts w:ascii="宋体" w:hAnsi="宋体"/>
          <w:color w:val="auto"/>
          <w:highlight w:val="none"/>
        </w:rPr>
        <w:t>承包人提交的竣工资料移交时间：</w:t>
      </w:r>
      <w:r>
        <w:rPr>
          <w:rFonts w:hint="eastAsia" w:ascii="宋体" w:hAnsi="宋体"/>
          <w:color w:val="auto"/>
          <w:szCs w:val="21"/>
          <w:highlight w:val="none"/>
          <w:u w:val="single"/>
        </w:rPr>
        <w:t>竣工验收合格后 30 日内</w:t>
      </w:r>
      <w:r>
        <w:rPr>
          <w:rFonts w:ascii="宋体" w:hAnsi="宋体"/>
          <w:color w:val="auto"/>
          <w:highlight w:val="none"/>
        </w:rPr>
        <w:t>。</w:t>
      </w:r>
    </w:p>
    <w:p>
      <w:pPr>
        <w:spacing w:line="360" w:lineRule="auto"/>
        <w:ind w:firstLine="630" w:firstLineChars="300"/>
        <w:jc w:val="left"/>
        <w:rPr>
          <w:rFonts w:ascii="宋体" w:hAnsi="宋体"/>
          <w:color w:val="auto"/>
          <w:highlight w:val="none"/>
        </w:rPr>
      </w:pPr>
      <w:r>
        <w:rPr>
          <w:rFonts w:ascii="宋体" w:hAnsi="宋体"/>
          <w:color w:val="auto"/>
          <w:highlight w:val="none"/>
        </w:rPr>
        <w:t>承包人提交的竣工资料形式要求：</w:t>
      </w:r>
      <w:r>
        <w:rPr>
          <w:rFonts w:hint="eastAsia" w:ascii="宋体" w:hAnsi="宋体"/>
          <w:color w:val="auto"/>
          <w:highlight w:val="none"/>
          <w:u w:val="single"/>
        </w:rPr>
        <w:t xml:space="preserve">书面及电子 </w:t>
      </w:r>
      <w:r>
        <w:rPr>
          <w:rFonts w:ascii="宋体" w:hAnsi="宋体"/>
          <w:color w:val="auto"/>
          <w:highlight w:val="none"/>
        </w:rPr>
        <w:t>。</w:t>
      </w:r>
    </w:p>
    <w:p>
      <w:pPr>
        <w:spacing w:line="440" w:lineRule="exact"/>
        <w:ind w:firstLine="420" w:firstLineChars="200"/>
        <w:rPr>
          <w:rFonts w:ascii="宋体" w:hAnsi="宋体"/>
          <w:color w:val="auto"/>
          <w:kern w:val="0"/>
          <w:highlight w:val="none"/>
        </w:rPr>
      </w:pPr>
      <w:r>
        <w:rPr>
          <w:rFonts w:hint="eastAsia" w:ascii="宋体" w:hAnsi="宋体"/>
          <w:color w:val="auto"/>
          <w:kern w:val="0"/>
          <w:highlight w:val="none"/>
        </w:rPr>
        <w:t>（10）</w:t>
      </w:r>
      <w:r>
        <w:rPr>
          <w:rFonts w:ascii="宋体" w:hAnsi="宋体"/>
          <w:color w:val="auto"/>
          <w:kern w:val="0"/>
          <w:highlight w:val="none"/>
        </w:rPr>
        <w:t>承包人应履行的其他义务：</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1）承包人宗旨：保证与发包人密切配合，服从统一指挥、统一安排，高标准、严要求、安全优质、快速地完成该合同工程的施工建设，确保发包人满意。</w:t>
      </w:r>
    </w:p>
    <w:p>
      <w:pPr>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2）本工程确保一次验收100％达到合格标准，如因承包方原因一次验收达不到合格工程标准，则承包方必须返修整改达到合格标准为止，才能交付发包方，其返修费用均由承包方自行承担。返修工期计入总工期考核，并支付发包方质量违约金。</w:t>
      </w:r>
    </w:p>
    <w:p>
      <w:pPr>
        <w:spacing w:line="43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3）工程竣工验收通过后，承包方在90天内提供全部结算资料，由发包方委托具备相应资质的第三方咨询机构进行项目结算审核。</w:t>
      </w:r>
    </w:p>
    <w:p>
      <w:pPr>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4）涉及到工程价款的签证，应由监理方审核签署、跟踪审计复核、发包方确认作为结算依据 。所有签证承包方必须在事件发生后7天内报出签证申请，逾期作为让利。超出规定额度的还需由建设行政主管部门审核确认后方可作为结算依据。</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5）施工期间，承包方要做到文明施工，并符合市创建卫生城市的要求，材料堆放整齐，做好工地文明创建工作，在施工过程中如受到有关部门的通报批评，则每次按该工程总建筑面积0.5元／M2扣款。工程车辆上路行驶时抛、洒、滴、漏，涉及环卫方面的问题，由承包人负责解决及承担可能出现的费用。</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6）严格施工安全，承包人应对施工人员进行安全教育，避免发生人身伤亡事故和火灾事故，并应参加建筑、安装工程保险，施工中发生的质量、安全事故及责任和经济损失均由承包人负责，并按相关管理部门论定的责任相应处理。</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7）一旦中标项目负责人和专职安全员不得更换，必须全过程管理直至工程竣工，否则作违约处理，施工单位清理出场，承担一切直接、间接的经济损失并没收履约担保金。项目负责人必须保证每周有40小时在施工现场，专职安全员必须与施工同步在岗，由总监和甲方代表考核，缺勤乙方支付违约金1000元/小时给甲方，如有事应征得总监或业主同意。</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8）工期：</w:t>
      </w:r>
      <w:r>
        <w:rPr>
          <w:rFonts w:hint="eastAsia" w:ascii="宋体" w:hAnsi="宋体"/>
          <w:color w:val="auto"/>
          <w:szCs w:val="21"/>
          <w:highlight w:val="none"/>
          <w:u w:val="single"/>
          <w:lang w:val="en-US" w:eastAsia="zh-CN"/>
        </w:rPr>
        <w:t>50</w:t>
      </w:r>
      <w:r>
        <w:rPr>
          <w:rFonts w:hint="eastAsia" w:ascii="宋体" w:hAnsi="宋体"/>
          <w:color w:val="auto"/>
          <w:szCs w:val="21"/>
          <w:highlight w:val="none"/>
          <w:u w:val="single"/>
        </w:rPr>
        <w:t>日历天；计划开工时间以甲方开工令为准。延误工期承包方应按照合同价万分之五/天支付违约金给发包方，误期赔偿费不设上限。</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9）除通用条款约定的不可抗力外，另要约定的不可抗力由发包方、承包方及监理视事件情况共同论定。</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10）承包人采购或发包人供应的建筑材料，必须符合现行国家质量标准的要求。材料进场时必须附有出厂合格证，并按规定会同发包人（监理）工地代表共同抽样，送质检部门认可有效的检测单位复验，当发包人或质检部门按高于规范和规定的要求另行要求检验试验所发生的复验费以及新材料、新工艺、新设备的试验费，其费用按江苏省物价局、江苏省建设厅苏价物（2001）113号关于核定《江苏省建设工程质量检测和建筑材料试验收费标准》的通知规定由发包人承担费用；其余根据有关国家标准或验收规范要求的检验项目的试验费用由承包人承担。经复验合格后的材料，并对该进场后的复验材料进行实物检查，与复验结果相符的才能使用。遵循谁采购谁负责的原则，不合格的材料、设备由材料来源的采购方组织处理、清出现场。</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11）对施工过程中的主要质量控制的主要要求：施工方法、施工顺序承包人必须严格按发包人（监理）工地代表批准的施工组织设计（施工方案）组织施工，并由发包人（监理）工地代表监督实施。</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12）工程竣工后承包人逾期（90天）提交合同范围内的工程竣工结算时，发包人可相应延期支付承包人的工程款。</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13）</w:t>
      </w:r>
      <w:r>
        <w:rPr>
          <w:rFonts w:ascii="宋体" w:hAnsi="宋体"/>
          <w:color w:val="auto"/>
          <w:szCs w:val="21"/>
          <w:highlight w:val="none"/>
          <w:u w:val="single"/>
        </w:rPr>
        <w:t>有</w:t>
      </w:r>
      <w:r>
        <w:rPr>
          <w:rFonts w:hint="eastAsia" w:ascii="宋体" w:hAnsi="宋体"/>
          <w:color w:val="auto"/>
          <w:szCs w:val="21"/>
          <w:highlight w:val="none"/>
          <w:u w:val="single"/>
        </w:rPr>
        <w:t>暂估</w:t>
      </w:r>
      <w:r>
        <w:rPr>
          <w:rFonts w:ascii="宋体" w:hAnsi="宋体"/>
          <w:color w:val="auto"/>
          <w:szCs w:val="21"/>
          <w:highlight w:val="none"/>
          <w:u w:val="single"/>
        </w:rPr>
        <w:t>价的材料按</w:t>
      </w:r>
      <w:r>
        <w:rPr>
          <w:rFonts w:hint="eastAsia" w:ascii="宋体" w:hAnsi="宋体"/>
          <w:color w:val="auto"/>
          <w:szCs w:val="21"/>
          <w:highlight w:val="none"/>
          <w:u w:val="single"/>
        </w:rPr>
        <w:t>暂估</w:t>
      </w:r>
      <w:r>
        <w:rPr>
          <w:rFonts w:ascii="宋体" w:hAnsi="宋体"/>
          <w:color w:val="auto"/>
          <w:szCs w:val="21"/>
          <w:highlight w:val="none"/>
          <w:u w:val="single"/>
        </w:rPr>
        <w:t>价报价，中标后由发包方、承包方双方共同看样定货,发包方以确认单的形式明确材料的结算价格。</w:t>
      </w:r>
    </w:p>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14）关于农民工工资事项合同条款：a.承包人是本工程农民工管理的责任人，全面负责施工过程中农民工的管理、用工合同管理和民工工资发放等工作；b.承包人在施工过程中，必须确保按规定、按时支付农民工工资，民工工资必须直接发放到民工本人手中；c.发包人按合同约定支付工程款的，因承包人拖欠农民工工资而发生民工上诉、上访情况，由发包人先行垫付农民工工资及相关费用，垫付费用由发包人按垫付总额乘以N（具体数额见《系数N取值表》）系数向承包人收回，从工程款中直接扣除；d.发包人未按《合同》约定按时支付工程款，造成承包人拖欠农民工工资的，由发包人无条件支付农民工工资及相关费用，并支付承包人直接经济损失，且不得向承包人追讨，不得从工程款中扣除。</w:t>
      </w:r>
    </w:p>
    <w:p>
      <w:pPr>
        <w:tabs>
          <w:tab w:val="left" w:pos="8280"/>
        </w:tabs>
        <w:ind w:firstLine="535" w:firstLineChars="255"/>
        <w:rPr>
          <w:rFonts w:ascii="宋体" w:hAnsi="宋体"/>
          <w:color w:val="auto"/>
          <w:szCs w:val="21"/>
          <w:highlight w:val="none"/>
          <w:u w:val="single"/>
        </w:rPr>
      </w:pPr>
      <w:r>
        <w:rPr>
          <w:rFonts w:hint="eastAsia" w:ascii="宋体" w:hAnsi="宋体"/>
          <w:color w:val="auto"/>
          <w:szCs w:val="21"/>
          <w:highlight w:val="none"/>
          <w:u w:val="single"/>
        </w:rPr>
        <w:t>系数N取值表</w:t>
      </w:r>
    </w:p>
    <w:tbl>
      <w:tblPr>
        <w:tblStyle w:val="13"/>
        <w:tblW w:w="7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324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auto"/>
                <w:szCs w:val="21"/>
                <w:highlight w:val="none"/>
                <w:u w:val="single"/>
              </w:rPr>
            </w:pPr>
            <w:r>
              <w:rPr>
                <w:rFonts w:hint="eastAsia" w:ascii="宋体" w:hAnsi="宋体"/>
                <w:color w:val="auto"/>
                <w:szCs w:val="21"/>
                <w:highlight w:val="none"/>
                <w:u w:val="single"/>
              </w:rPr>
              <w:t>序号</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工程合同造价M</w:t>
            </w:r>
          </w:p>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（万元）</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系数N取值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M＜500</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2</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500≤M＜1000</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3</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1000≤M＜5000</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1"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4</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M≥5000</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00" w:lineRule="auto"/>
              <w:ind w:firstLine="390"/>
              <w:rPr>
                <w:rFonts w:ascii="宋体" w:hAnsi="宋体"/>
                <w:color w:val="auto"/>
                <w:szCs w:val="21"/>
                <w:highlight w:val="none"/>
                <w:u w:val="single"/>
              </w:rPr>
            </w:pPr>
            <w:r>
              <w:rPr>
                <w:rFonts w:hint="eastAsia" w:ascii="宋体" w:hAnsi="宋体"/>
                <w:color w:val="auto"/>
                <w:szCs w:val="21"/>
                <w:highlight w:val="none"/>
                <w:u w:val="single"/>
              </w:rPr>
              <w:t>1.1</w:t>
            </w:r>
          </w:p>
        </w:tc>
      </w:tr>
    </w:tbl>
    <w:p>
      <w:pPr>
        <w:tabs>
          <w:tab w:val="left" w:pos="8280"/>
        </w:tabs>
        <w:spacing w:line="440" w:lineRule="exact"/>
        <w:ind w:firstLine="420" w:firstLineChars="200"/>
        <w:rPr>
          <w:rFonts w:ascii="宋体" w:hAnsi="宋体"/>
          <w:color w:val="auto"/>
          <w:szCs w:val="21"/>
          <w:highlight w:val="none"/>
          <w:u w:val="single"/>
        </w:rPr>
      </w:pPr>
      <w:r>
        <w:rPr>
          <w:rFonts w:hint="eastAsia" w:ascii="宋体" w:hAnsi="宋体"/>
          <w:color w:val="auto"/>
          <w:szCs w:val="21"/>
          <w:highlight w:val="none"/>
          <w:u w:val="single"/>
        </w:rPr>
        <w:t>1</w:t>
      </w:r>
      <w:r>
        <w:rPr>
          <w:rFonts w:ascii="宋体" w:hAnsi="宋体"/>
          <w:color w:val="auto"/>
          <w:szCs w:val="21"/>
          <w:highlight w:val="none"/>
          <w:u w:val="single"/>
        </w:rPr>
        <w:t>5</w:t>
      </w:r>
      <w:r>
        <w:rPr>
          <w:rFonts w:hint="eastAsia" w:ascii="宋体" w:hAnsi="宋体"/>
          <w:color w:val="auto"/>
          <w:szCs w:val="21"/>
          <w:highlight w:val="none"/>
          <w:u w:val="single"/>
        </w:rPr>
        <w:t>）办理开工必须的各项手续，并承担相关责任和费用。承包人在中标后应积极配合发包人在规定的期限内办理施工许可证，若由于承包人原因未能按时办理，导致工程延期开工，则承包人应向发包人支付</w:t>
      </w:r>
      <w:r>
        <w:rPr>
          <w:rFonts w:ascii="宋体" w:hAnsi="宋体"/>
          <w:color w:val="auto"/>
          <w:szCs w:val="21"/>
          <w:highlight w:val="none"/>
          <w:u w:val="single"/>
        </w:rPr>
        <w:t>2</w:t>
      </w:r>
      <w:r>
        <w:rPr>
          <w:rFonts w:hint="eastAsia" w:ascii="宋体" w:hAnsi="宋体"/>
          <w:color w:val="auto"/>
          <w:szCs w:val="21"/>
          <w:highlight w:val="none"/>
          <w:u w:val="single"/>
        </w:rPr>
        <w:t>万元/天的违约金。</w:t>
      </w:r>
    </w:p>
    <w:p>
      <w:pPr>
        <w:tabs>
          <w:tab w:val="left" w:pos="8280"/>
        </w:tabs>
        <w:spacing w:line="440" w:lineRule="exact"/>
        <w:ind w:firstLine="420" w:firstLineChars="200"/>
        <w:rPr>
          <w:rFonts w:ascii="宋体" w:hAnsi="宋体"/>
          <w:color w:val="auto"/>
          <w:szCs w:val="21"/>
          <w:highlight w:val="none"/>
          <w:u w:val="single"/>
        </w:rPr>
      </w:pPr>
      <w:r>
        <w:rPr>
          <w:rFonts w:ascii="宋体" w:hAnsi="宋体"/>
          <w:color w:val="auto"/>
          <w:szCs w:val="21"/>
          <w:highlight w:val="none"/>
          <w:u w:val="single"/>
        </w:rPr>
        <w:t>16</w:t>
      </w:r>
      <w:r>
        <w:rPr>
          <w:rFonts w:hint="eastAsia" w:ascii="宋体" w:hAnsi="宋体"/>
          <w:color w:val="auto"/>
          <w:szCs w:val="21"/>
          <w:highlight w:val="none"/>
          <w:u w:val="single"/>
        </w:rPr>
        <w:t>)承包人接收定位或放线后应及时组织复验，如发现问题应立即提出矫正，不及时提出矫正的视为已确认该放线定位成果的正确性，因此产生的后果由承包人负责，交付后的现场成果保管由承包人负责。</w:t>
      </w:r>
    </w:p>
    <w:p>
      <w:pPr>
        <w:tabs>
          <w:tab w:val="left" w:pos="8280"/>
        </w:tabs>
        <w:spacing w:line="440" w:lineRule="exact"/>
        <w:ind w:firstLine="420" w:firstLineChars="200"/>
        <w:rPr>
          <w:rFonts w:ascii="宋体" w:hAnsi="宋体"/>
          <w:color w:val="auto"/>
          <w:szCs w:val="21"/>
          <w:highlight w:val="none"/>
          <w:u w:val="single"/>
        </w:rPr>
      </w:pPr>
      <w:r>
        <w:rPr>
          <w:rFonts w:ascii="宋体" w:hAnsi="宋体"/>
          <w:color w:val="auto"/>
          <w:szCs w:val="21"/>
          <w:highlight w:val="none"/>
          <w:u w:val="single"/>
        </w:rPr>
        <w:t>17</w:t>
      </w:r>
      <w:r>
        <w:rPr>
          <w:rFonts w:hint="eastAsia" w:ascii="宋体" w:hAnsi="宋体"/>
          <w:color w:val="auto"/>
          <w:szCs w:val="21"/>
          <w:highlight w:val="none"/>
          <w:u w:val="single"/>
        </w:rPr>
        <w:t>）承包人可先到工地踏勘以充分了解工地的位置、交通、情况、道路、存储空间、装卸限制及任何其他足以影响承包价的情况，任何因忽视或误解工地情况而导致的索赔或工期延长申请将不被批准。设计单位在设计文件中所介绍的施工方案仅作为参考，承包人应根据施工现场的实际情况、本招标文件中载明的施工组织要求、现场的交通管制条件、文明施工要求和各自的施工经验确定合理的施工组织方案，自主合理报价。</w:t>
      </w:r>
    </w:p>
    <w:p>
      <w:pPr>
        <w:tabs>
          <w:tab w:val="left" w:pos="8280"/>
        </w:tabs>
        <w:spacing w:line="440" w:lineRule="exact"/>
        <w:ind w:firstLine="420" w:firstLineChars="200"/>
        <w:rPr>
          <w:rFonts w:ascii="宋体" w:hAnsi="宋体"/>
          <w:color w:val="auto"/>
          <w:szCs w:val="21"/>
          <w:highlight w:val="none"/>
          <w:u w:val="single"/>
        </w:rPr>
      </w:pPr>
      <w:r>
        <w:rPr>
          <w:rFonts w:ascii="宋体" w:hAnsi="宋体"/>
          <w:color w:val="auto"/>
          <w:szCs w:val="21"/>
          <w:highlight w:val="none"/>
          <w:u w:val="single"/>
        </w:rPr>
        <w:t>18</w:t>
      </w:r>
      <w:r>
        <w:rPr>
          <w:rFonts w:hint="eastAsia" w:ascii="宋体" w:hAnsi="宋体"/>
          <w:color w:val="auto"/>
          <w:szCs w:val="21"/>
          <w:highlight w:val="none"/>
          <w:u w:val="single"/>
        </w:rPr>
        <w:t>）自进场之日起，承包人应全面负责照管、维护本工程和用于本工程的材料、设备以及工地范围内既有市政设施，直至工程竣工验收通过，移交手续完备。照管期间，如发生损失，应由承包人自理。为进一步落实工地的安全文明措施，避免遭受意外毁损或盗窃，造成不必要的人身伤害与财产损失，承包人应与工程所在地公安部门办理工地治安、管理手续并支付相应费用。</w:t>
      </w:r>
    </w:p>
    <w:p>
      <w:pPr>
        <w:tabs>
          <w:tab w:val="left" w:pos="8280"/>
        </w:tabs>
        <w:spacing w:line="440" w:lineRule="exact"/>
        <w:ind w:firstLine="420" w:firstLineChars="200"/>
        <w:rPr>
          <w:rFonts w:ascii="宋体" w:hAnsi="宋体"/>
          <w:color w:val="auto"/>
          <w:szCs w:val="21"/>
          <w:highlight w:val="none"/>
          <w:u w:val="single"/>
        </w:rPr>
      </w:pPr>
      <w:r>
        <w:rPr>
          <w:rFonts w:ascii="宋体" w:hAnsi="宋体"/>
          <w:color w:val="auto"/>
          <w:szCs w:val="21"/>
          <w:highlight w:val="none"/>
          <w:u w:val="single"/>
        </w:rPr>
        <w:t>19</w:t>
      </w:r>
      <w:r>
        <w:rPr>
          <w:rFonts w:hint="eastAsia" w:ascii="宋体" w:hAnsi="宋体"/>
          <w:color w:val="auto"/>
          <w:szCs w:val="21"/>
          <w:highlight w:val="none"/>
          <w:u w:val="single"/>
        </w:rPr>
        <w:t>）对施工过程中出现的工程渣土、建筑、装修垃圾等，承包人将优先考虑采用湿化装卸，使用符合密闭条件的工具，按照核定的载重量，在指定的时间、线路行驶，由此增加的费用承包人应考虑在投标报价中。承包人进场后开工前必须完成对本标段原地面地形的复测工作，并经监理人、发包人抽测确认，结果作为土石方工作量的计算依据。此后，承包人负责保管工地现场，外人倾倒的建筑、生活垃圾等均由承包人清运，费用自理。</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20）1、总承包服务费指总承包人为管理、协调发包人进行的专业工程发包，对发包人自行采购的材料、工程设备等进行保管以及施工现场管理垂直运输设施、脚手架的使用、现场临时水电的使用及管理、竣工资料汇总整理等服务及对分包的专业工程进行总承包管理和协调，并提供配合服务等所需的费用，费率不超过1%（若总包服务费费率超过1%，超过部分含在投标总价中，不另行结算），计算基础仅限于本项目的智能化、电梯及变电所工程的审计审定价，其他行业主管部门的相关配套工程(如供电、供水、燃气、通讯电讯等)不得计取总承包服务费，但总承包人不得因未计取费用而拒绝管理及配合。总承包单位只能向上述专业承包单位按照上述规定规定收取费用，具体双方自行协商。不得向各专业承包单位、甲供材料供应商收取任何其他费用，一旦发现并查实，视为总承包人违约，发包人有权在总承包人的任何应付款中直接扣除此不当收费，且总承包人还将支付发包人该专业工程按以上规定应收总包服务费或实际收取费用的较大者的二倍作为违约金。</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2、专业工程承包单位的选择确定由发包人组织招标，总承包人应提前书面告知发包人各专业单位的最迟进场时间(提前至少60天告知)。总承包人对整个工程实行管理、协调、控制，总承包人必须履行总承包管理的职责对整个工程（含分包工程）的进度、安全、质量负责。专业工程承包人如不能按照合同约定时间竣工及质量标准不能达到合同约定、安全文明施工不符要求，由专业承包人承担主要责任，但不免除总承包管理人的连带责任。</w:t>
      </w:r>
    </w:p>
    <w:p>
      <w:pP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u w:val="single"/>
        </w:rPr>
        <w:t>3、总承包管理的职责，对总承包管理范围内的工程实行全过程、及时、全面管理，具体为（1）管理：严格遵守部、省、市有关基本建设的规范、标准，与政府有关管理部门、发包人、监理人、设计人密切配合，确保工程质量目标的实现和安全、文明施工；（2）协调：确保施工顺利进行；（3）控制：确保工程进度目标的实现。</w:t>
      </w:r>
    </w:p>
    <w:p>
      <w:pPr>
        <w:pStyle w:val="8"/>
        <w:rPr>
          <w:rFonts w:hint="eastAsia" w:ascii="宋体" w:hAnsi="宋体"/>
          <w:b w:val="0"/>
          <w:bCs w:val="0"/>
          <w:color w:val="auto"/>
          <w:szCs w:val="21"/>
          <w:highlight w:val="none"/>
          <w:u w:val="none"/>
          <w:lang w:val="en-US" w:eastAsia="zh-CN"/>
        </w:rPr>
      </w:pPr>
      <w:r>
        <w:rPr>
          <w:rFonts w:hint="eastAsia" w:ascii="宋体" w:hAnsi="宋体"/>
          <w:color w:val="auto"/>
          <w:szCs w:val="21"/>
          <w:highlight w:val="none"/>
          <w:u w:val="none"/>
          <w:lang w:val="en-US" w:eastAsia="zh-CN"/>
        </w:rPr>
        <w:t xml:space="preserve"> </w:t>
      </w:r>
      <w:r>
        <w:rPr>
          <w:rFonts w:hint="eastAsia" w:ascii="宋体" w:hAnsi="宋体"/>
          <w:b w:val="0"/>
          <w:bCs w:val="0"/>
          <w:color w:val="auto"/>
          <w:szCs w:val="21"/>
          <w:highlight w:val="none"/>
          <w:u w:val="none"/>
          <w:lang w:val="en-US" w:eastAsia="zh-CN"/>
        </w:rPr>
        <w:t xml:space="preserve">  21）本项目承包人应支持、同意执行建设单位所制定的质量安全处罚条例等相关管理制度。</w:t>
      </w:r>
    </w:p>
    <w:p>
      <w:pPr>
        <w:rPr>
          <w:rFonts w:hint="eastAsia" w:eastAsia="宋体"/>
          <w:color w:val="auto"/>
          <w:highlight w:val="none"/>
          <w:lang w:val="en-US" w:eastAsia="zh-CN"/>
        </w:rPr>
      </w:pPr>
      <w:r>
        <w:rPr>
          <w:rFonts w:hint="eastAsia" w:ascii="宋体" w:hAnsi="宋体"/>
          <w:b w:val="0"/>
          <w:bCs w:val="0"/>
          <w:color w:val="auto"/>
          <w:szCs w:val="21"/>
          <w:highlight w:val="none"/>
          <w:u w:val="none"/>
          <w:lang w:val="en-US" w:eastAsia="zh-CN"/>
        </w:rPr>
        <w:t xml:space="preserve">   22)投标单位报价时应充分考虑市（区）疫情防控管理办法所产生的疫情相关费用，包含但不限于常态化及非常态化疫情防控措施费用，这部分费用包含在投标报价中，结算不另行计算。</w:t>
      </w:r>
    </w:p>
    <w:p>
      <w:pPr>
        <w:spacing w:line="360" w:lineRule="auto"/>
        <w:ind w:firstLine="420" w:firstLineChars="200"/>
        <w:rPr>
          <w:rFonts w:ascii="宋体" w:hAnsi="宋体"/>
          <w:color w:val="auto"/>
          <w:highlight w:val="none"/>
        </w:rPr>
      </w:pPr>
      <w:r>
        <w:rPr>
          <w:rFonts w:ascii="宋体" w:hAnsi="宋体"/>
          <w:color w:val="auto"/>
          <w:highlight w:val="none"/>
        </w:rPr>
        <w:t>3.2 项目经理</w:t>
      </w:r>
    </w:p>
    <w:p>
      <w:pPr>
        <w:spacing w:line="360" w:lineRule="auto"/>
        <w:ind w:firstLine="420" w:firstLineChars="200"/>
        <w:rPr>
          <w:rFonts w:ascii="宋体" w:hAnsi="宋体"/>
          <w:color w:val="auto"/>
          <w:highlight w:val="none"/>
        </w:rPr>
      </w:pPr>
      <w:r>
        <w:rPr>
          <w:rFonts w:ascii="宋体" w:hAnsi="宋体"/>
          <w:color w:val="auto"/>
          <w:kern w:val="0"/>
          <w:highlight w:val="none"/>
        </w:rPr>
        <w:t xml:space="preserve">3.2.1 </w:t>
      </w:r>
      <w:r>
        <w:rPr>
          <w:rFonts w:ascii="宋体" w:hAnsi="宋体"/>
          <w:color w:val="auto"/>
          <w:highlight w:val="none"/>
        </w:rPr>
        <w:t>项目经理：</w:t>
      </w:r>
    </w:p>
    <w:p>
      <w:pPr>
        <w:spacing w:line="360" w:lineRule="auto"/>
        <w:ind w:firstLine="420" w:firstLineChars="200"/>
        <w:rPr>
          <w:rFonts w:ascii="宋体" w:hAnsi="宋体"/>
          <w:color w:val="auto"/>
          <w:highlight w:val="none"/>
        </w:rPr>
      </w:pPr>
      <w:r>
        <w:rPr>
          <w:rFonts w:ascii="宋体" w:hAnsi="宋体"/>
          <w:color w:val="auto"/>
          <w:highlight w:val="none"/>
        </w:rPr>
        <w:t>姓    名：</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身份证号：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建造师执业资格等级：</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建造师注册证书号：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建造师执业印章号：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安全生产考核合格证书号：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联系电话：</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电子信箱：</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通信地址：</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承包人对项目经理的授权范围如下：</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关于项目经理每月在施工现场的时间要求：</w:t>
      </w:r>
      <w:r>
        <w:rPr>
          <w:rFonts w:hint="eastAsia" w:ascii="宋体" w:hAnsi="宋体"/>
          <w:color w:val="auto"/>
          <w:szCs w:val="21"/>
          <w:highlight w:val="none"/>
          <w:u w:val="single"/>
        </w:rPr>
        <w:t>每月不得少于80%的天数，有事临时离开需提前向发包人代表请假</w:t>
      </w:r>
      <w:r>
        <w:rPr>
          <w:rFonts w:ascii="宋体" w:hAnsi="宋体"/>
          <w:color w:val="auto"/>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承包人未提交劳动合同，以及没有为项目经理缴纳社会保险证明的违约责任：</w:t>
      </w:r>
      <w:r>
        <w:rPr>
          <w:rFonts w:hint="eastAsia" w:ascii="宋体" w:hAnsi="宋体"/>
          <w:color w:val="auto"/>
          <w:szCs w:val="21"/>
          <w:highlight w:val="none"/>
          <w:u w:val="single"/>
        </w:rPr>
        <w:t>处以2万元违约金，责令限期提交劳动合同并补缴社会保险</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u w:val="single"/>
        </w:rPr>
      </w:pPr>
      <w:r>
        <w:rPr>
          <w:rFonts w:ascii="宋体" w:hAnsi="宋体"/>
          <w:color w:val="auto"/>
          <w:kern w:val="0"/>
          <w:highlight w:val="none"/>
        </w:rPr>
        <w:t>项目经理未经批准，擅自离开施工现场的违约责任：</w:t>
      </w:r>
      <w:r>
        <w:rPr>
          <w:rFonts w:hint="eastAsia" w:ascii="宋体" w:hAnsi="宋体"/>
          <w:color w:val="auto"/>
          <w:szCs w:val="21"/>
          <w:highlight w:val="none"/>
          <w:u w:val="single"/>
        </w:rPr>
        <w:t>若项目经理未获发包人同意擅自离职，按 2000 元/天向发包人支付违约金，由发包人直接在工程款中扣除。</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3.2.3 承包人擅自更换项目经理的违约责任：</w:t>
      </w:r>
      <w:r>
        <w:rPr>
          <w:rFonts w:hint="eastAsia" w:ascii="宋体" w:hAnsi="宋体"/>
          <w:color w:val="auto"/>
          <w:szCs w:val="21"/>
          <w:highlight w:val="none"/>
          <w:u w:val="single"/>
        </w:rPr>
        <w:t>处以10万元违约金直至终止施工合同并没收履约保证金。</w:t>
      </w:r>
      <w:r>
        <w:rPr>
          <w:rFonts w:hint="eastAsia" w:ascii="宋体" w:hAnsi="宋体" w:cs="MingLiU_HKSCS"/>
          <w:color w:val="auto"/>
          <w:highlight w:val="none"/>
          <w:u w:val="single"/>
        </w:rPr>
        <w:t></w:t>
      </w:r>
      <w:r>
        <w:rPr>
          <w:rFonts w:ascii="宋体" w:hAnsi="宋体"/>
          <w:color w:val="auto"/>
          <w:highlight w:val="none"/>
        </w:rPr>
        <w:t>。</w:t>
      </w:r>
    </w:p>
    <w:p>
      <w:pPr>
        <w:spacing w:line="360" w:lineRule="auto"/>
        <w:outlineLvl w:val="0"/>
        <w:rPr>
          <w:rFonts w:ascii="宋体" w:hAnsi="宋体"/>
          <w:color w:val="auto"/>
          <w:highlight w:val="none"/>
        </w:rPr>
      </w:pPr>
      <w:r>
        <w:rPr>
          <w:rFonts w:ascii="宋体" w:hAnsi="宋体"/>
          <w:color w:val="auto"/>
          <w:highlight w:val="none"/>
        </w:rPr>
        <w:t xml:space="preserve">    3.2.4 承包人无正当理由拒绝更换项目经理的违约责任：</w:t>
      </w:r>
      <w:r>
        <w:rPr>
          <w:rFonts w:hint="eastAsia" w:ascii="宋体" w:hAnsi="宋体"/>
          <w:color w:val="auto"/>
          <w:szCs w:val="21"/>
          <w:highlight w:val="none"/>
          <w:u w:val="single"/>
        </w:rPr>
        <w:t>处以10万元违约金直至终止施工合同并没收履约保证金。</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3.3 承包人人员</w:t>
      </w:r>
    </w:p>
    <w:p>
      <w:pPr>
        <w:spacing w:line="360" w:lineRule="auto"/>
        <w:ind w:firstLine="420" w:firstLineChars="200"/>
        <w:rPr>
          <w:rFonts w:ascii="宋体" w:hAnsi="宋体"/>
          <w:color w:val="auto"/>
          <w:highlight w:val="none"/>
        </w:rPr>
      </w:pPr>
      <w:r>
        <w:rPr>
          <w:rFonts w:ascii="宋体" w:hAnsi="宋体"/>
          <w:color w:val="auto"/>
          <w:highlight w:val="none"/>
        </w:rPr>
        <w:t>3.3.1 承包人提交项目管理机构及施工现场管理人员安排报告的期限：</w:t>
      </w:r>
      <w:r>
        <w:rPr>
          <w:rFonts w:hint="eastAsia" w:ascii="宋体" w:hAnsi="宋体"/>
          <w:color w:val="auto"/>
          <w:szCs w:val="21"/>
          <w:highlight w:val="none"/>
          <w:u w:val="single"/>
        </w:rPr>
        <w:t>开工前7天</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3.3.3 承包人无正当理由拒绝撤换主要施工管理人员的违约责任：</w:t>
      </w:r>
      <w:r>
        <w:rPr>
          <w:rFonts w:hint="eastAsia" w:ascii="宋体" w:hAnsi="宋体"/>
          <w:color w:val="auto"/>
          <w:szCs w:val="21"/>
          <w:highlight w:val="none"/>
          <w:u w:val="single"/>
        </w:rPr>
        <w:t xml:space="preserve">处以5000元/人次罚款直至终止施工合同并没收履约保证金 </w:t>
      </w:r>
      <w:r>
        <w:rPr>
          <w:rFonts w:ascii="宋体" w:hAnsi="宋体"/>
          <w:color w:val="auto"/>
          <w:highlight w:val="none"/>
        </w:rPr>
        <w:t>。</w:t>
      </w:r>
    </w:p>
    <w:p>
      <w:pPr>
        <w:spacing w:line="360" w:lineRule="auto"/>
        <w:ind w:firstLine="420" w:firstLineChars="200"/>
        <w:rPr>
          <w:rFonts w:ascii="宋体" w:hAnsi="宋体"/>
          <w:color w:val="auto"/>
          <w:highlight w:val="none"/>
          <w:u w:val="single"/>
        </w:rPr>
      </w:pPr>
      <w:r>
        <w:rPr>
          <w:rFonts w:ascii="宋体" w:hAnsi="宋体"/>
          <w:color w:val="auto"/>
          <w:highlight w:val="none"/>
        </w:rPr>
        <w:t>3.3.4 承包人主要施工管理人员离开施工现场的批准要求：</w:t>
      </w:r>
      <w:r>
        <w:rPr>
          <w:rFonts w:hint="eastAsia" w:ascii="宋体" w:hAnsi="宋体"/>
          <w:color w:val="auto"/>
          <w:szCs w:val="21"/>
          <w:highlight w:val="none"/>
          <w:u w:val="single"/>
        </w:rPr>
        <w:t>发包人和监理人双方批准</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3.3.5承包人擅自更换主要施工管理人员的违约责任：</w:t>
      </w:r>
      <w:r>
        <w:rPr>
          <w:rFonts w:hint="eastAsia" w:ascii="宋体" w:hAnsi="宋体"/>
          <w:color w:val="auto"/>
          <w:szCs w:val="21"/>
          <w:highlight w:val="none"/>
          <w:u w:val="single"/>
        </w:rPr>
        <w:t>处以5000元/人次罚款直至终止施工合同并没收履约保证金</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承包人主要施工管理人员擅自离开施工现场的违约责任：</w:t>
      </w:r>
      <w:r>
        <w:rPr>
          <w:rFonts w:hint="eastAsia" w:ascii="宋体" w:hAnsi="宋体"/>
          <w:color w:val="auto"/>
          <w:szCs w:val="21"/>
          <w:highlight w:val="none"/>
          <w:u w:val="single"/>
        </w:rPr>
        <w:t>处以5000元/人次罚款直至终止施工合同并没收履约保证金</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w:t>
      </w:r>
      <w:bookmarkStart w:id="74" w:name="_Toc297048345"/>
      <w:bookmarkStart w:id="75" w:name="_Toc312677988"/>
      <w:bookmarkStart w:id="76" w:name="_Toc297216151"/>
      <w:bookmarkStart w:id="77" w:name="_Toc296346660"/>
      <w:bookmarkStart w:id="78" w:name="_Toc296944498"/>
      <w:bookmarkStart w:id="79" w:name="_Toc296347158"/>
      <w:bookmarkStart w:id="80" w:name="_Toc297120459"/>
      <w:bookmarkStart w:id="81" w:name="_Toc303539102"/>
      <w:bookmarkStart w:id="82" w:name="_Toc304295523"/>
      <w:bookmarkStart w:id="83" w:name="_Toc296891199"/>
      <w:bookmarkStart w:id="84" w:name="_Toc296890987"/>
      <w:bookmarkStart w:id="85" w:name="_Toc297123492"/>
      <w:bookmarkStart w:id="86" w:name="_Toc292559364"/>
      <w:bookmarkStart w:id="87" w:name="_Toc300934945"/>
      <w:bookmarkStart w:id="88" w:name="_Toc296503159"/>
      <w:bookmarkStart w:id="89" w:name="_Toc292559869"/>
      <w:r>
        <w:rPr>
          <w:rFonts w:ascii="宋体" w:hAnsi="宋体"/>
          <w:color w:val="auto"/>
          <w:highlight w:val="none"/>
        </w:rPr>
        <w:t>.5 分包</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Pr>
        <w:spacing w:line="360" w:lineRule="auto"/>
        <w:ind w:firstLine="420" w:firstLineChars="200"/>
        <w:rPr>
          <w:rFonts w:ascii="宋体" w:hAnsi="宋体"/>
          <w:color w:val="auto"/>
          <w:highlight w:val="none"/>
        </w:rPr>
      </w:pPr>
      <w:r>
        <w:rPr>
          <w:rFonts w:ascii="宋体" w:hAnsi="宋体"/>
          <w:color w:val="auto"/>
          <w:highlight w:val="none"/>
        </w:rPr>
        <w:t>3</w:t>
      </w:r>
      <w:bookmarkStart w:id="90" w:name="_Toc297048346"/>
      <w:bookmarkStart w:id="91" w:name="_Toc297120460"/>
      <w:bookmarkStart w:id="92" w:name="_Toc303539103"/>
      <w:bookmarkStart w:id="93" w:name="_Toc300934946"/>
      <w:bookmarkStart w:id="94" w:name="_Toc304295524"/>
      <w:bookmarkStart w:id="95" w:name="_Toc297123493"/>
      <w:bookmarkStart w:id="96" w:name="_Toc296891200"/>
      <w:bookmarkStart w:id="97" w:name="_Toc296944499"/>
      <w:bookmarkStart w:id="98" w:name="_Toc296347159"/>
      <w:bookmarkStart w:id="99" w:name="_Toc296346661"/>
      <w:bookmarkStart w:id="100" w:name="_Toc296890988"/>
      <w:bookmarkStart w:id="101" w:name="_Toc297216152"/>
      <w:bookmarkStart w:id="102" w:name="_Toc292559870"/>
      <w:bookmarkStart w:id="103" w:name="_Toc292559365"/>
      <w:bookmarkStart w:id="104" w:name="_Toc296503160"/>
      <w:bookmarkStart w:id="105" w:name="_Toc312677989"/>
      <w:bookmarkStart w:id="106" w:name="_Toc318581158"/>
      <w:r>
        <w:rPr>
          <w:rFonts w:ascii="宋体" w:hAnsi="宋体"/>
          <w:color w:val="auto"/>
          <w:highlight w:val="none"/>
        </w:rPr>
        <w:t>.5.1 分包的一般约定</w:t>
      </w:r>
    </w:p>
    <w:p>
      <w:pPr>
        <w:spacing w:line="360" w:lineRule="auto"/>
        <w:ind w:firstLine="420" w:firstLineChars="200"/>
        <w:jc w:val="left"/>
        <w:rPr>
          <w:rFonts w:ascii="宋体" w:hAnsi="宋体"/>
          <w:color w:val="auto"/>
          <w:highlight w:val="none"/>
        </w:rPr>
      </w:pPr>
      <w:r>
        <w:rPr>
          <w:rFonts w:ascii="宋体" w:hAnsi="宋体"/>
          <w:color w:val="auto"/>
          <w:highlight w:val="none"/>
        </w:rPr>
        <w:t>禁止分包的工程包括：</w:t>
      </w:r>
      <w:r>
        <w:rPr>
          <w:rFonts w:hint="eastAsia" w:ascii="宋体" w:hAnsi="宋体" w:cs="MingLiU_HKSCS"/>
          <w:color w:val="auto"/>
          <w:highlight w:val="none"/>
          <w:u w:val="single"/>
        </w:rPr>
        <w:t></w:t>
      </w:r>
      <w:r>
        <w:rPr>
          <w:rFonts w:hint="eastAsia" w:ascii="宋体" w:hAnsi="宋体"/>
          <w:color w:val="auto"/>
          <w:highlight w:val="none"/>
          <w:u w:val="single"/>
        </w:rPr>
        <w:t>不允许分包</w:t>
      </w:r>
      <w:r>
        <w:rPr>
          <w:rFonts w:ascii="宋体" w:hAnsi="宋体"/>
          <w:color w:val="auto"/>
          <w:highlight w:val="none"/>
        </w:rPr>
        <w:t>。</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主体结构、关键性工作的范围：</w:t>
      </w:r>
      <w:r>
        <w:rPr>
          <w:rFonts w:hint="eastAsia" w:ascii="宋体" w:hAnsi="宋体" w:cs="MingLiU_HKSCS"/>
          <w:color w:val="auto"/>
          <w:highlight w:val="none"/>
          <w:u w:val="single"/>
        </w:rPr>
        <w:t></w:t>
      </w:r>
      <w:r>
        <w:rPr>
          <w:rFonts w:hint="eastAsia" w:ascii="宋体" w:hAnsi="宋体"/>
          <w:color w:val="auto"/>
          <w:highlight w:val="none"/>
          <w:u w:val="single"/>
        </w:rPr>
        <w:t>不允许分包</w:t>
      </w:r>
      <w:r>
        <w:rPr>
          <w:rFonts w:ascii="宋体" w:hAnsi="宋体"/>
          <w:color w:val="auto"/>
          <w:highlight w:val="none"/>
        </w:rPr>
        <w: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Start w:id="107" w:name="_Toc297048347"/>
      <w:bookmarkStart w:id="108" w:name="_Toc297120461"/>
      <w:bookmarkStart w:id="109" w:name="_Toc296347160"/>
      <w:bookmarkStart w:id="110" w:name="_Toc297216153"/>
      <w:bookmarkStart w:id="111" w:name="_Toc296503161"/>
      <w:bookmarkStart w:id="112" w:name="_Toc297123494"/>
      <w:bookmarkStart w:id="113" w:name="_Toc300934947"/>
      <w:bookmarkStart w:id="114" w:name="_Toc304295525"/>
      <w:bookmarkStart w:id="115" w:name="_Toc296891201"/>
      <w:bookmarkStart w:id="116" w:name="_Toc296346662"/>
      <w:bookmarkStart w:id="117" w:name="_Toc296944500"/>
      <w:bookmarkStart w:id="118" w:name="_Toc296890989"/>
      <w:bookmarkStart w:id="119" w:name="_Toc303539104"/>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Pr>
        <w:spacing w:line="360" w:lineRule="auto"/>
        <w:rPr>
          <w:rFonts w:ascii="宋体" w:hAnsi="宋体"/>
          <w:color w:val="auto"/>
          <w:highlight w:val="none"/>
        </w:rPr>
      </w:pPr>
      <w:r>
        <w:rPr>
          <w:rFonts w:ascii="宋体" w:hAnsi="宋体"/>
          <w:color w:val="auto"/>
          <w:highlight w:val="none"/>
        </w:rPr>
        <w:t xml:space="preserve">    3</w:t>
      </w:r>
      <w:bookmarkStart w:id="120" w:name="_Toc318581159"/>
      <w:bookmarkStart w:id="121" w:name="_Toc312677990"/>
      <w:r>
        <w:rPr>
          <w:rFonts w:ascii="宋体" w:hAnsi="宋体"/>
          <w:color w:val="auto"/>
          <w:highlight w:val="none"/>
        </w:rPr>
        <w:t>.5.2分包的确定</w:t>
      </w:r>
    </w:p>
    <w:p>
      <w:pPr>
        <w:spacing w:line="360" w:lineRule="auto"/>
        <w:ind w:firstLine="420" w:firstLineChars="200"/>
        <w:rPr>
          <w:rFonts w:ascii="宋体" w:hAnsi="宋体"/>
          <w:color w:val="auto"/>
          <w:highlight w:val="none"/>
          <w:u w:val="single"/>
        </w:rPr>
      </w:pPr>
      <w:r>
        <w:rPr>
          <w:rFonts w:ascii="宋体" w:hAnsi="宋体"/>
          <w:color w:val="auto"/>
          <w:highlight w:val="none"/>
        </w:rPr>
        <w:t>允许分包的专业工程包括：</w:t>
      </w:r>
      <w:r>
        <w:rPr>
          <w:rFonts w:hint="eastAsia" w:ascii="宋体" w:hAnsi="宋体" w:cs="MingLiU_HKSCS"/>
          <w:color w:val="auto"/>
          <w:highlight w:val="none"/>
          <w:u w:val="single"/>
        </w:rPr>
        <w:t></w:t>
      </w:r>
      <w:r>
        <w:rPr>
          <w:rFonts w:hint="eastAsia" w:ascii="宋体" w:hAnsi="宋体"/>
          <w:color w:val="auto"/>
          <w:highlight w:val="none"/>
          <w:u w:val="single"/>
        </w:rPr>
        <w:t>不允许分包</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其他关于分包的约定：</w:t>
      </w:r>
      <w:r>
        <w:rPr>
          <w:rFonts w:hint="eastAsia" w:ascii="宋体" w:hAnsi="宋体"/>
          <w:color w:val="auto"/>
          <w:highlight w:val="none"/>
          <w:u w:val="single"/>
        </w:rPr>
        <w:t xml:space="preserve"> /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3.5.4 分包合同价款</w:t>
      </w:r>
    </w:p>
    <w:p>
      <w:pPr>
        <w:spacing w:line="360" w:lineRule="auto"/>
        <w:ind w:firstLine="420" w:firstLineChars="200"/>
        <w:rPr>
          <w:rFonts w:ascii="宋体" w:hAnsi="宋体"/>
          <w:color w:val="auto"/>
          <w:highlight w:val="none"/>
        </w:rPr>
      </w:pPr>
      <w:r>
        <w:rPr>
          <w:rFonts w:ascii="宋体" w:hAnsi="宋体"/>
          <w:color w:val="auto"/>
          <w:highlight w:val="none"/>
        </w:rPr>
        <w:t>关于分包合同价款支付的约定：</w:t>
      </w:r>
      <w:r>
        <w:rPr>
          <w:rFonts w:hint="eastAsia" w:ascii="宋体" w:hAnsi="宋体" w:cs="MingLiU_HKSCS"/>
          <w:color w:val="auto"/>
          <w:highlight w:val="none"/>
          <w:u w:val="single"/>
        </w:rPr>
        <w:t></w:t>
      </w:r>
      <w:r>
        <w:rPr>
          <w:rFonts w:hint="eastAsia" w:ascii="宋体" w:hAnsi="宋体"/>
          <w:color w:val="auto"/>
          <w:highlight w:val="none"/>
          <w:u w:val="single"/>
        </w:rPr>
        <w:t xml:space="preserve">/  </w:t>
      </w:r>
      <w:r>
        <w:rPr>
          <w:rFonts w:ascii="宋体" w:hAnsi="宋体"/>
          <w:color w:val="auto"/>
          <w:highlight w:val="none"/>
        </w:rPr>
        <w:t>。</w:t>
      </w:r>
    </w:p>
    <w:bookmarkEnd w:id="120"/>
    <w:bookmarkEnd w:id="121"/>
    <w:p>
      <w:pPr>
        <w:spacing w:line="360" w:lineRule="auto"/>
        <w:ind w:firstLine="420" w:firstLineChars="200"/>
        <w:rPr>
          <w:rFonts w:ascii="宋体" w:hAnsi="宋体"/>
          <w:color w:val="auto"/>
          <w:highlight w:val="none"/>
        </w:rPr>
      </w:pPr>
      <w:r>
        <w:rPr>
          <w:rFonts w:ascii="宋体" w:hAnsi="宋体"/>
          <w:color w:val="auto"/>
          <w:highlight w:val="none"/>
        </w:rPr>
        <w:t>3.6 工程照管与成品、半成品保护</w:t>
      </w:r>
    </w:p>
    <w:p>
      <w:pPr>
        <w:spacing w:line="360" w:lineRule="auto"/>
        <w:ind w:firstLine="420" w:firstLineChars="200"/>
        <w:rPr>
          <w:rFonts w:ascii="宋体" w:hAnsi="宋体"/>
          <w:color w:val="auto"/>
          <w:kern w:val="0"/>
          <w:highlight w:val="none"/>
          <w:u w:val="single"/>
        </w:rPr>
      </w:pPr>
      <w:r>
        <w:rPr>
          <w:rFonts w:ascii="宋体" w:hAnsi="宋体"/>
          <w:color w:val="auto"/>
          <w:kern w:val="0"/>
          <w:highlight w:val="none"/>
        </w:rPr>
        <w:t>承包人负责照管工程及工程相关的材料、工程设备的起始时间：</w:t>
      </w:r>
      <w:r>
        <w:rPr>
          <w:rFonts w:hint="eastAsia" w:ascii="宋体" w:hAnsi="宋体"/>
          <w:color w:val="auto"/>
          <w:kern w:val="0"/>
          <w:szCs w:val="21"/>
          <w:highlight w:val="none"/>
          <w:u w:val="single"/>
        </w:rPr>
        <w:t>设备、人员进场至验收交付使用前由承包人负责保修，无其它特殊要求的，费用由承包人承担</w:t>
      </w:r>
      <w:r>
        <w:rPr>
          <w:rFonts w:ascii="宋体" w:hAnsi="宋体"/>
          <w:color w:val="auto"/>
          <w:kern w:val="0"/>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3.7 履约担保</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承包人是否提供履约担保：</w:t>
      </w:r>
      <w:r>
        <w:rPr>
          <w:rFonts w:hint="eastAsia" w:ascii="宋体" w:hAnsi="宋体"/>
          <w:color w:val="auto"/>
          <w:highlight w:val="none"/>
          <w:u w:val="single"/>
          <w:lang w:val="en-US" w:eastAsia="zh-CN"/>
        </w:rPr>
        <w:t>提供</w:t>
      </w:r>
      <w:r>
        <w:rPr>
          <w:rFonts w:ascii="宋体" w:hAnsi="宋体"/>
          <w:color w:val="auto"/>
          <w:highlight w:val="none"/>
        </w:rPr>
        <w:t>。</w:t>
      </w:r>
    </w:p>
    <w:p>
      <w:pPr>
        <w:spacing w:line="360" w:lineRule="auto"/>
        <w:ind w:firstLine="420" w:firstLineChars="200"/>
        <w:jc w:val="left"/>
        <w:rPr>
          <w:rFonts w:hint="default" w:ascii="宋体" w:hAnsi="宋体" w:eastAsia="宋体"/>
          <w:color w:val="auto"/>
          <w:highlight w:val="none"/>
          <w:u w:val="single"/>
          <w:lang w:val="en-US" w:eastAsia="zh-CN"/>
        </w:rPr>
      </w:pPr>
      <w:r>
        <w:rPr>
          <w:rFonts w:ascii="宋体" w:hAnsi="宋体"/>
          <w:color w:val="auto"/>
          <w:highlight w:val="none"/>
          <w:u w:val="single"/>
        </w:rPr>
        <w:t>承包人提供履约担保的形式</w:t>
      </w:r>
      <w:r>
        <w:rPr>
          <w:rFonts w:hint="eastAsia" w:ascii="宋体" w:hAnsi="宋体"/>
          <w:color w:val="auto"/>
          <w:highlight w:val="none"/>
          <w:u w:val="single"/>
        </w:rPr>
        <w:t>、金额及期限的</w:t>
      </w:r>
      <w:r>
        <w:rPr>
          <w:rFonts w:ascii="宋体" w:hAnsi="宋体"/>
          <w:color w:val="auto"/>
          <w:highlight w:val="none"/>
          <w:u w:val="single"/>
        </w:rPr>
        <w:t>：</w:t>
      </w:r>
      <w:r>
        <w:rPr>
          <w:rFonts w:hint="eastAsia" w:ascii="宋体" w:hAnsi="宋体" w:eastAsia="宋体"/>
          <w:color w:val="auto"/>
          <w:highlight w:val="none"/>
          <w:u w:val="single"/>
        </w:rPr>
        <w:t>支票、汇票、本票或者金融机构、担保机构出具的保函等非现金形式提交</w:t>
      </w:r>
      <w:r>
        <w:rPr>
          <w:rFonts w:hint="eastAsia" w:ascii="宋体" w:hAnsi="宋体" w:eastAsia="宋体"/>
          <w:color w:val="auto"/>
          <w:highlight w:val="none"/>
          <w:u w:val="single"/>
          <w:lang w:eastAsia="zh-CN"/>
        </w:rPr>
        <w:t>，</w:t>
      </w:r>
      <w:r>
        <w:rPr>
          <w:rFonts w:hint="eastAsia" w:ascii="宋体" w:hAnsi="宋体" w:eastAsia="宋体"/>
          <w:color w:val="auto"/>
          <w:highlight w:val="none"/>
          <w:u w:val="single"/>
        </w:rPr>
        <w:t>签</w:t>
      </w:r>
      <w:r>
        <w:rPr>
          <w:rFonts w:hint="eastAsia" w:ascii="宋体" w:hAnsi="宋体" w:eastAsia="宋体"/>
          <w:color w:val="auto"/>
          <w:highlight w:val="none"/>
          <w:u w:val="single"/>
          <w:lang w:val="en-US" w:eastAsia="zh-CN"/>
        </w:rPr>
        <w:t>订</w:t>
      </w:r>
      <w:r>
        <w:rPr>
          <w:rFonts w:hint="eastAsia" w:ascii="宋体" w:hAnsi="宋体" w:eastAsia="宋体"/>
          <w:color w:val="auto"/>
          <w:highlight w:val="none"/>
          <w:u w:val="single"/>
        </w:rPr>
        <w:t>合同</w:t>
      </w:r>
      <w:r>
        <w:rPr>
          <w:rFonts w:hint="eastAsia" w:ascii="宋体" w:hAnsi="宋体" w:eastAsia="宋体"/>
          <w:color w:val="auto"/>
          <w:highlight w:val="none"/>
          <w:u w:val="single"/>
          <w:lang w:val="en-US" w:eastAsia="zh-CN"/>
        </w:rPr>
        <w:t>时</w:t>
      </w:r>
      <w:r>
        <w:rPr>
          <w:rFonts w:hint="eastAsia" w:ascii="宋体" w:hAnsi="宋体" w:eastAsia="宋体"/>
          <w:color w:val="auto"/>
          <w:highlight w:val="none"/>
          <w:u w:val="single"/>
        </w:rPr>
        <w:t>提供中标价10%的</w:t>
      </w:r>
      <w:r>
        <w:rPr>
          <w:rFonts w:hint="eastAsia" w:ascii="宋体" w:hAnsi="宋体" w:eastAsia="宋体"/>
          <w:color w:val="auto"/>
          <w:highlight w:val="none"/>
          <w:u w:val="single"/>
          <w:lang w:val="en-US" w:eastAsia="zh-CN"/>
        </w:rPr>
        <w:t>履约保证金</w:t>
      </w:r>
      <w:r>
        <w:rPr>
          <w:rFonts w:hint="eastAsia" w:ascii="宋体" w:hAnsi="宋体" w:eastAsia="宋体"/>
          <w:color w:val="auto"/>
          <w:highlight w:val="none"/>
          <w:u w:val="single"/>
        </w:rPr>
        <w:t>。履约保证金在本项目验收合格后</w:t>
      </w:r>
      <w:r>
        <w:rPr>
          <w:rFonts w:hint="eastAsia" w:ascii="宋体" w:hAnsi="宋体" w:eastAsia="宋体"/>
          <w:color w:val="auto"/>
          <w:highlight w:val="none"/>
          <w:u w:val="single"/>
          <w:lang w:val="en-US" w:eastAsia="zh-CN"/>
        </w:rPr>
        <w:t>一个月内</w:t>
      </w:r>
      <w:r>
        <w:rPr>
          <w:rFonts w:hint="eastAsia" w:ascii="宋体" w:hAnsi="宋体" w:eastAsia="宋体"/>
          <w:color w:val="auto"/>
          <w:highlight w:val="none"/>
          <w:u w:val="single"/>
        </w:rPr>
        <w:t>退还，不计利息。</w:t>
      </w:r>
      <w:r>
        <w:rPr>
          <w:rFonts w:hint="eastAsia" w:ascii="宋体" w:hAnsi="宋体"/>
          <w:color w:val="auto"/>
          <w:szCs w:val="21"/>
          <w:highlight w:val="none"/>
          <w:u w:val="single"/>
        </w:rPr>
        <w:t>履约过程中承包人在质量、工期、安全文明施工、现场管理人员到位、农名工工资支付等方面发生的不履约或违背合同规定的责任和义务的行为，都可能导致发包人扣缴其部分乃至全部履约保证金。</w:t>
      </w:r>
    </w:p>
    <w:p>
      <w:pPr>
        <w:keepNext/>
        <w:keepLines/>
        <w:tabs>
          <w:tab w:val="left" w:pos="1080"/>
        </w:tabs>
        <w:spacing w:line="360" w:lineRule="auto"/>
        <w:outlineLvl w:val="3"/>
        <w:rPr>
          <w:rFonts w:ascii="宋体" w:hAnsi="宋体"/>
          <w:bCs/>
          <w:color w:val="auto"/>
          <w:highlight w:val="none"/>
        </w:rPr>
      </w:pPr>
      <w:bookmarkStart w:id="122" w:name="_Toc351203636"/>
      <w:r>
        <w:rPr>
          <w:rFonts w:ascii="宋体" w:hAnsi="宋体"/>
          <w:bCs/>
          <w:color w:val="auto"/>
          <w:highlight w:val="none"/>
        </w:rPr>
        <w:t>4</w:t>
      </w:r>
      <w:bookmarkStart w:id="123" w:name="_Toc296347161"/>
      <w:bookmarkStart w:id="124" w:name="_Toc296346663"/>
      <w:bookmarkStart w:id="125" w:name="_Toc297120462"/>
      <w:bookmarkStart w:id="126" w:name="_Toc296891202"/>
      <w:bookmarkStart w:id="127" w:name="_Toc296503162"/>
      <w:bookmarkStart w:id="128" w:name="_Toc292559871"/>
      <w:bookmarkStart w:id="129" w:name="_Toc292559366"/>
      <w:bookmarkStart w:id="130" w:name="_Toc267251413"/>
      <w:bookmarkStart w:id="131" w:name="_Toc296890990"/>
      <w:bookmarkStart w:id="132" w:name="_Toc296944501"/>
      <w:bookmarkStart w:id="133" w:name="_Toc297048348"/>
      <w:r>
        <w:rPr>
          <w:rFonts w:ascii="宋体" w:hAnsi="宋体"/>
          <w:bCs/>
          <w:color w:val="auto"/>
          <w:highlight w:val="none"/>
        </w:rPr>
        <w:t>. 监</w:t>
      </w:r>
      <w:bookmarkEnd w:id="123"/>
      <w:bookmarkEnd w:id="124"/>
      <w:bookmarkEnd w:id="125"/>
      <w:bookmarkEnd w:id="126"/>
      <w:bookmarkEnd w:id="127"/>
      <w:bookmarkEnd w:id="128"/>
      <w:bookmarkEnd w:id="129"/>
      <w:bookmarkEnd w:id="130"/>
      <w:bookmarkEnd w:id="131"/>
      <w:bookmarkEnd w:id="132"/>
      <w:bookmarkEnd w:id="133"/>
      <w:r>
        <w:rPr>
          <w:rFonts w:ascii="宋体" w:hAnsi="宋体"/>
          <w:bCs/>
          <w:color w:val="auto"/>
          <w:highlight w:val="none"/>
        </w:rPr>
        <w:t>理人</w:t>
      </w:r>
      <w:bookmarkEnd w:id="122"/>
    </w:p>
    <w:p>
      <w:pPr>
        <w:spacing w:line="360" w:lineRule="auto"/>
        <w:ind w:firstLine="420" w:firstLineChars="200"/>
        <w:rPr>
          <w:rFonts w:ascii="宋体" w:hAnsi="宋体"/>
          <w:color w:val="auto"/>
          <w:highlight w:val="none"/>
        </w:rPr>
      </w:pPr>
      <w:r>
        <w:rPr>
          <w:rFonts w:ascii="宋体" w:hAnsi="宋体"/>
          <w:color w:val="auto"/>
          <w:highlight w:val="none"/>
        </w:rPr>
        <w:t>4.1监理人的一般规定</w:t>
      </w:r>
    </w:p>
    <w:p>
      <w:pPr>
        <w:spacing w:line="360" w:lineRule="auto"/>
        <w:ind w:firstLine="420" w:firstLineChars="200"/>
        <w:jc w:val="left"/>
        <w:rPr>
          <w:rFonts w:ascii="宋体" w:hAnsi="宋体"/>
          <w:color w:val="auto"/>
          <w:highlight w:val="none"/>
        </w:rPr>
      </w:pPr>
      <w:r>
        <w:rPr>
          <w:rFonts w:ascii="宋体" w:hAnsi="宋体"/>
          <w:color w:val="auto"/>
          <w:highlight w:val="none"/>
        </w:rPr>
        <w:t>关于监理人的监理内容：</w:t>
      </w:r>
      <w:r>
        <w:rPr>
          <w:rFonts w:hint="eastAsia" w:ascii="宋体" w:hAnsi="宋体"/>
          <w:color w:val="auto"/>
          <w:highlight w:val="none"/>
          <w:u w:val="single"/>
        </w:rPr>
        <w:t>详见本项目监理合同</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关于监理人的监理权限：</w:t>
      </w:r>
      <w:r>
        <w:rPr>
          <w:rFonts w:hint="eastAsia" w:ascii="宋体" w:hAnsi="宋体"/>
          <w:color w:val="auto"/>
          <w:highlight w:val="none"/>
          <w:u w:val="single"/>
        </w:rPr>
        <w:t>详见本项目监理合同</w:t>
      </w:r>
      <w:r>
        <w:rPr>
          <w:rFonts w:ascii="宋体" w:hAnsi="宋体"/>
          <w:color w:val="auto"/>
          <w:highlight w:val="non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关于监理人在施工现场的办公场所、生活场所的提供和费用承担的约定：</w:t>
      </w:r>
      <w:r>
        <w:rPr>
          <w:rFonts w:hint="eastAsia" w:ascii="宋体" w:hAnsi="宋体"/>
          <w:color w:val="auto"/>
          <w:highlight w:val="none"/>
          <w:u w:val="single"/>
        </w:rPr>
        <w:t>详见本项目监理合同</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4.2 监理人员</w:t>
      </w:r>
    </w:p>
    <w:p>
      <w:pPr>
        <w:spacing w:line="360" w:lineRule="auto"/>
        <w:ind w:firstLine="420" w:firstLineChars="200"/>
        <w:rPr>
          <w:rFonts w:ascii="宋体" w:hAnsi="宋体"/>
          <w:color w:val="auto"/>
          <w:highlight w:val="none"/>
        </w:rPr>
      </w:pPr>
      <w:r>
        <w:rPr>
          <w:rFonts w:ascii="宋体" w:hAnsi="宋体"/>
          <w:color w:val="auto"/>
          <w:highlight w:val="none"/>
        </w:rPr>
        <w:t>总监理工程师：</w:t>
      </w:r>
    </w:p>
    <w:p>
      <w:pPr>
        <w:spacing w:line="360" w:lineRule="auto"/>
        <w:ind w:firstLine="420" w:firstLineChars="200"/>
        <w:rPr>
          <w:rFonts w:ascii="宋体" w:hAnsi="宋体"/>
          <w:color w:val="auto"/>
          <w:highlight w:val="none"/>
        </w:rPr>
      </w:pPr>
      <w:r>
        <w:rPr>
          <w:rFonts w:ascii="宋体" w:hAnsi="宋体"/>
          <w:color w:val="auto"/>
          <w:highlight w:val="none"/>
        </w:rPr>
        <w:t>姓    名：</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职    务：</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监理工程师执业资格证书号：</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联系电话：</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电子信箱：</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通信地址：</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关于监理人的其他约定：</w:t>
      </w:r>
      <w:r>
        <w:rPr>
          <w:rFonts w:hint="eastAsia" w:ascii="宋体" w:hAnsi="宋体" w:cs="MingLiU_HKSCS"/>
          <w:color w:val="auto"/>
          <w:highlight w:val="none"/>
          <w:u w:val="single"/>
        </w:rPr>
        <w:t></w:t>
      </w:r>
      <w:r>
        <w:rPr>
          <w:rFonts w:hint="eastAsia" w:ascii="宋体" w:hAnsi="宋体"/>
          <w:color w:val="auto"/>
          <w:highlight w:val="none"/>
          <w:u w:val="single"/>
        </w:rPr>
        <w:t>详见本项目监理合同</w:t>
      </w:r>
      <w:r>
        <w:rPr>
          <w:rFonts w:hint="eastAsia" w:ascii="宋体" w:hAnsi="宋体" w:cs="MingLiU_HKSCS"/>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4.4 商定或确定</w:t>
      </w:r>
    </w:p>
    <w:p>
      <w:pPr>
        <w:spacing w:line="360" w:lineRule="auto"/>
        <w:ind w:firstLine="420" w:firstLineChars="200"/>
        <w:rPr>
          <w:rFonts w:ascii="宋体" w:hAnsi="宋体"/>
          <w:color w:val="auto"/>
          <w:highlight w:val="none"/>
        </w:rPr>
      </w:pPr>
      <w:bookmarkStart w:id="134" w:name="_Toc267251418"/>
      <w:r>
        <w:rPr>
          <w:rFonts w:ascii="宋体" w:hAnsi="宋体"/>
          <w:color w:val="auto"/>
          <w:highlight w:val="none"/>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（1）</w:t>
      </w:r>
      <w:r>
        <w:rPr>
          <w:rFonts w:ascii="宋体" w:hAnsi="宋体"/>
          <w:color w:val="auto"/>
          <w:highlight w:val="none"/>
        </w:rPr>
        <w:t>；</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（2）</w:t>
      </w:r>
      <w:r>
        <w:rPr>
          <w:rFonts w:ascii="宋体" w:hAnsi="宋体"/>
          <w:color w:val="auto"/>
          <w:highlight w:val="none"/>
        </w:rPr>
        <w:t>；</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（3）</w:t>
      </w:r>
      <w:r>
        <w:rPr>
          <w:rFonts w:ascii="宋体" w:hAnsi="宋体"/>
          <w:color w:val="auto"/>
          <w:highlight w:val="none"/>
        </w:rPr>
        <w:t>。</w:t>
      </w:r>
    </w:p>
    <w:p>
      <w:pPr>
        <w:keepNext/>
        <w:keepLines/>
        <w:tabs>
          <w:tab w:val="left" w:pos="1080"/>
        </w:tabs>
        <w:spacing w:line="360" w:lineRule="auto"/>
        <w:outlineLvl w:val="3"/>
        <w:rPr>
          <w:rFonts w:ascii="宋体" w:hAnsi="宋体"/>
          <w:bCs/>
          <w:color w:val="auto"/>
          <w:highlight w:val="none"/>
        </w:rPr>
      </w:pPr>
      <w:bookmarkStart w:id="135" w:name="_Toc351203637"/>
      <w:r>
        <w:rPr>
          <w:rFonts w:ascii="宋体" w:hAnsi="宋体"/>
          <w:bCs/>
          <w:color w:val="auto"/>
          <w:highlight w:val="none"/>
        </w:rPr>
        <w:t>5</w:t>
      </w:r>
      <w:bookmarkEnd w:id="134"/>
      <w:bookmarkStart w:id="136" w:name="_Toc292559367"/>
      <w:bookmarkStart w:id="137" w:name="_Toc292559872"/>
      <w:bookmarkStart w:id="138" w:name="_Toc296503163"/>
      <w:bookmarkStart w:id="139" w:name="_Toc296944502"/>
      <w:bookmarkStart w:id="140" w:name="_Toc296347162"/>
      <w:bookmarkStart w:id="141" w:name="_Toc296891203"/>
      <w:bookmarkStart w:id="142" w:name="_Toc296346664"/>
      <w:bookmarkStart w:id="143" w:name="_Toc297120463"/>
      <w:bookmarkStart w:id="144" w:name="_Toc296890991"/>
      <w:bookmarkStart w:id="145" w:name="_Toc297048349"/>
      <w:r>
        <w:rPr>
          <w:rFonts w:ascii="宋体" w:hAnsi="宋体"/>
          <w:bCs/>
          <w:color w:val="auto"/>
          <w:highlight w:val="none"/>
        </w:rPr>
        <w:t>. 工程质量</w:t>
      </w:r>
      <w:bookmarkEnd w:id="135"/>
    </w:p>
    <w:p>
      <w:pPr>
        <w:spacing w:line="360" w:lineRule="auto"/>
        <w:ind w:firstLine="420" w:firstLineChars="200"/>
        <w:outlineLvl w:val="0"/>
        <w:rPr>
          <w:rFonts w:ascii="宋体" w:hAnsi="宋体"/>
          <w:color w:val="auto"/>
          <w:highlight w:val="none"/>
        </w:rPr>
      </w:pPr>
      <w:r>
        <w:rPr>
          <w:rFonts w:ascii="宋体" w:hAnsi="宋体"/>
          <w:color w:val="auto"/>
          <w:highlight w:val="none"/>
        </w:rPr>
        <w:t>5.1 质量要求</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5</w:t>
      </w:r>
      <w:bookmarkStart w:id="146" w:name="_Toc312677997"/>
      <w:bookmarkStart w:id="147" w:name="_Toc300934949"/>
      <w:bookmarkStart w:id="148" w:name="_Toc303539106"/>
      <w:bookmarkStart w:id="149" w:name="_Toc304295527"/>
      <w:bookmarkStart w:id="150" w:name="_Toc297123496"/>
      <w:bookmarkStart w:id="151" w:name="_Toc318581164"/>
      <w:bookmarkStart w:id="152" w:name="_Toc297216155"/>
      <w:r>
        <w:rPr>
          <w:rFonts w:ascii="宋体" w:hAnsi="宋体"/>
          <w:color w:val="auto"/>
          <w:highlight w:val="none"/>
        </w:rPr>
        <w:t>.1.1 特殊质量标准和要求：</w:t>
      </w:r>
      <w:r>
        <w:rPr>
          <w:rFonts w:ascii="宋体" w:hAnsi="宋体"/>
          <w:color w:val="auto"/>
          <w:highlight w:val="none"/>
          <w:u w:val="single"/>
        </w:rPr>
        <w:t>一次性验收 100%合格（含消防验收合格）。（1）符合国家、 地区、行业及本合同质量验收标准，各标准规范之间存在不一致的，以标准较高者为准。（2） 承包方承建本工程必须做到文明施工，结合具体情况执行。（3）质量目标：工程质量必须达到 《建筑工程施工质量验收统一标准》（GB50300-2013）及全部相关规范或标准的要求，总承包工 程一次验收通过，否则承包人须根据本合同有关规定承担违约责任。（4）如本合同订立后相关 部门颁布新的规范或标准，且标准高于前述标准的，以新的规范或标准为准。（5）质量及安全 管理、文明施工等事项应遵守本合同规定。</w:t>
      </w:r>
    </w:p>
    <w:p>
      <w:pPr>
        <w:spacing w:line="360" w:lineRule="auto"/>
        <w:ind w:firstLine="420" w:firstLineChars="200"/>
        <w:jc w:val="left"/>
        <w:rPr>
          <w:rFonts w:hint="default" w:eastAsia="宋体"/>
          <w:b w:val="0"/>
          <w:bCs w:val="0"/>
          <w:color w:val="auto"/>
          <w:highlight w:val="none"/>
          <w:lang w:val="en-US" w:eastAsia="zh-CN"/>
        </w:rPr>
      </w:pPr>
      <w:r>
        <w:rPr>
          <w:rFonts w:ascii="宋体" w:hAnsi="宋体"/>
          <w:color w:val="auto"/>
          <w:highlight w:val="none"/>
        </w:rPr>
        <w:t>关于工程奖项的约定：</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5.3 隐蔽工程检查</w:t>
      </w:r>
    </w:p>
    <w:p>
      <w:pPr>
        <w:spacing w:line="360" w:lineRule="auto"/>
        <w:ind w:firstLine="420" w:firstLineChars="200"/>
        <w:jc w:val="left"/>
        <w:rPr>
          <w:rFonts w:ascii="宋体" w:hAnsi="宋体"/>
          <w:color w:val="auto"/>
          <w:highlight w:val="none"/>
        </w:rPr>
      </w:pPr>
      <w:r>
        <w:rPr>
          <w:rFonts w:ascii="宋体" w:hAnsi="宋体"/>
          <w:color w:val="auto"/>
          <w:highlight w:val="none"/>
        </w:rPr>
        <w:t>5.3.2承包人提前通知监理人隐蔽工程检查的期限的约定：</w:t>
      </w:r>
      <w:r>
        <w:rPr>
          <w:rFonts w:hint="eastAsia" w:ascii="宋体" w:hAnsi="宋体"/>
          <w:color w:val="auto"/>
          <w:szCs w:val="21"/>
          <w:highlight w:val="none"/>
          <w:u w:val="single"/>
        </w:rPr>
        <w:t>共同检查前</w:t>
      </w:r>
      <w:r>
        <w:rPr>
          <w:rFonts w:ascii="宋体" w:hAnsi="宋体"/>
          <w:color w:val="auto"/>
          <w:szCs w:val="21"/>
          <w:highlight w:val="none"/>
          <w:u w:val="single"/>
        </w:rPr>
        <w:t>48</w:t>
      </w:r>
      <w:r>
        <w:rPr>
          <w:rFonts w:hint="eastAsia" w:ascii="宋体" w:hAnsi="宋体"/>
          <w:color w:val="auto"/>
          <w:szCs w:val="21"/>
          <w:highlight w:val="none"/>
          <w:u w:val="single"/>
        </w:rPr>
        <w:t>小时书面通知监理人</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监理人不能按时进行检查时，应提前</w:t>
      </w:r>
      <w:r>
        <w:rPr>
          <w:rFonts w:hint="eastAsia" w:ascii="宋体" w:hAnsi="宋体"/>
          <w:color w:val="auto"/>
          <w:highlight w:val="none"/>
          <w:u w:val="single"/>
        </w:rPr>
        <w:t>24</w:t>
      </w:r>
      <w:r>
        <w:rPr>
          <w:rFonts w:ascii="宋体" w:hAnsi="宋体"/>
          <w:color w:val="auto"/>
          <w:highlight w:val="none"/>
        </w:rPr>
        <w:t>小时提交书面延期要求。</w:t>
      </w:r>
    </w:p>
    <w:p>
      <w:pPr>
        <w:spacing w:line="360" w:lineRule="auto"/>
        <w:ind w:firstLine="420" w:firstLineChars="200"/>
        <w:jc w:val="left"/>
        <w:rPr>
          <w:rFonts w:ascii="宋体" w:hAnsi="宋体"/>
          <w:color w:val="auto"/>
          <w:highlight w:val="none"/>
        </w:rPr>
      </w:pPr>
      <w:r>
        <w:rPr>
          <w:rFonts w:ascii="宋体" w:hAnsi="宋体"/>
          <w:color w:val="auto"/>
          <w:highlight w:val="none"/>
        </w:rPr>
        <w:t>关于延期最长不得超过：</w:t>
      </w:r>
      <w:r>
        <w:rPr>
          <w:rFonts w:hint="eastAsia" w:ascii="宋体" w:hAnsi="宋体"/>
          <w:color w:val="auto"/>
          <w:highlight w:val="none"/>
          <w:u w:val="single"/>
        </w:rPr>
        <w:t>48</w:t>
      </w:r>
      <w:r>
        <w:rPr>
          <w:rFonts w:ascii="宋体" w:hAnsi="宋体"/>
          <w:color w:val="auto"/>
          <w:highlight w:val="none"/>
        </w:rPr>
        <w:t>小时。</w:t>
      </w:r>
    </w:p>
    <w:p>
      <w:pPr>
        <w:keepNext/>
        <w:keepLines/>
        <w:tabs>
          <w:tab w:val="left" w:pos="1080"/>
        </w:tabs>
        <w:spacing w:line="360" w:lineRule="auto"/>
        <w:outlineLvl w:val="3"/>
        <w:rPr>
          <w:rFonts w:ascii="宋体" w:hAnsi="宋体"/>
          <w:bCs/>
          <w:color w:val="auto"/>
          <w:highlight w:val="none"/>
        </w:rPr>
      </w:pPr>
      <w:bookmarkStart w:id="153" w:name="_Toc351203638"/>
      <w:r>
        <w:rPr>
          <w:rFonts w:ascii="宋体" w:hAnsi="宋体"/>
          <w:bCs/>
          <w:color w:val="auto"/>
          <w:highlight w:val="none"/>
        </w:rPr>
        <w:t>6. 安全文明施工与环境保护</w:t>
      </w:r>
      <w:bookmarkEnd w:id="153"/>
    </w:p>
    <w:p>
      <w:pPr>
        <w:spacing w:line="360" w:lineRule="auto"/>
        <w:ind w:firstLine="420" w:firstLineChars="200"/>
        <w:rPr>
          <w:rFonts w:ascii="宋体" w:hAnsi="宋体"/>
          <w:color w:val="auto"/>
          <w:highlight w:val="none"/>
        </w:rPr>
      </w:pPr>
      <w:r>
        <w:rPr>
          <w:rFonts w:ascii="宋体" w:hAnsi="宋体"/>
          <w:color w:val="auto"/>
          <w:highlight w:val="none"/>
        </w:rPr>
        <w:t>6.1安全文明施工</w:t>
      </w:r>
    </w:p>
    <w:p>
      <w:pPr>
        <w:spacing w:line="360" w:lineRule="auto"/>
        <w:ind w:firstLine="420" w:firstLineChars="200"/>
        <w:jc w:val="left"/>
        <w:rPr>
          <w:rFonts w:ascii="宋体" w:hAnsi="宋体"/>
          <w:color w:val="auto"/>
          <w:highlight w:val="none"/>
        </w:rPr>
      </w:pPr>
      <w:r>
        <w:rPr>
          <w:rFonts w:ascii="宋体" w:hAnsi="宋体"/>
          <w:color w:val="auto"/>
          <w:highlight w:val="none"/>
        </w:rPr>
        <w:t>6.1.1 项目安全生产的达标目标及相应事项的约定：</w:t>
      </w:r>
      <w:r>
        <w:rPr>
          <w:rFonts w:hint="eastAsia" w:ascii="宋体" w:hAnsi="宋体"/>
          <w:color w:val="auto"/>
          <w:szCs w:val="21"/>
          <w:highlight w:val="none"/>
          <w:u w:val="single"/>
        </w:rPr>
        <w:t>按建设部现行的《建设工程安全生产管理条例》的有关规定、《无锡市建设工程文明施工管理办法》（市人民政府令第 120 号）和《市政府办公室关于印发无锡市企业安全生产风险抵押金管理暂行办法的通知》（锡政办发【2014】2 号）的有关条款以及招标文件中技术标准和要求规定执行，由承包人负责管理，监理和发包人监督执行，安全事故由责任方承担一切后果。环境保护按苏建招[2010]10 号文：关于在建设工程招标文件和施工合同中增加防止扬尘等要求的通知。由承包人负责承担施工范围内的一切安全责任。</w:t>
      </w:r>
    </w:p>
    <w:p>
      <w:pPr>
        <w:spacing w:line="360" w:lineRule="auto"/>
        <w:ind w:firstLine="420" w:firstLineChars="200"/>
        <w:jc w:val="left"/>
        <w:rPr>
          <w:rFonts w:ascii="宋体" w:hAnsi="宋体"/>
          <w:color w:val="auto"/>
          <w:highlight w:val="none"/>
        </w:rPr>
      </w:pPr>
      <w:r>
        <w:rPr>
          <w:rFonts w:ascii="宋体" w:hAnsi="宋体"/>
          <w:color w:val="auto"/>
          <w:highlight w:val="none"/>
        </w:rPr>
        <w:t>6.1.4 关于治安保卫的特别约定：</w:t>
      </w:r>
      <w:r>
        <w:rPr>
          <w:rFonts w:hint="eastAsia" w:ascii="宋体" w:hAnsi="宋体"/>
          <w:color w:val="auto"/>
          <w:highlight w:val="none"/>
          <w:u w:val="single"/>
        </w:rPr>
        <w:t>安全事故由承包人承担一切后果</w:t>
      </w:r>
      <w:r>
        <w:rPr>
          <w:rFonts w:hint="eastAsia"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关于编制施工场地治安管理计划的约定：</w:t>
      </w:r>
      <w:r>
        <w:rPr>
          <w:rFonts w:hint="eastAsia" w:ascii="宋体" w:hAnsi="宋体"/>
          <w:color w:val="auto"/>
          <w:szCs w:val="21"/>
          <w:highlight w:val="none"/>
          <w:u w:val="single"/>
        </w:rPr>
        <w:t>开工前3天</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6.1.5 文明施工</w:t>
      </w:r>
    </w:p>
    <w:p>
      <w:pPr>
        <w:spacing w:line="312" w:lineRule="auto"/>
        <w:ind w:firstLine="420" w:firstLineChars="200"/>
        <w:rPr>
          <w:rFonts w:ascii="宋体" w:hAnsi="宋体"/>
          <w:color w:val="auto"/>
          <w:highlight w:val="none"/>
        </w:rPr>
      </w:pPr>
      <w:r>
        <w:rPr>
          <w:rFonts w:hint="eastAsia" w:ascii="宋体" w:hAnsi="宋体"/>
          <w:color w:val="auto"/>
          <w:highlight w:val="none"/>
        </w:rPr>
        <w:t>合同当事人对文明施工的要求：</w:t>
      </w:r>
      <w:r>
        <w:rPr>
          <w:rFonts w:hint="eastAsia" w:ascii="宋体" w:hAnsi="宋体"/>
          <w:color w:val="auto"/>
          <w:szCs w:val="21"/>
          <w:highlight w:val="none"/>
          <w:u w:val="single"/>
        </w:rPr>
        <w:t>按建设行政主管部门的有关规定执行,无条件接受甲方建设工程项目的关于安全、质量、文明施工等方面的监督检查</w:t>
      </w:r>
      <w:r>
        <w:rPr>
          <w:rFonts w:hint="eastAsia"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6.1.6 关于安全文明施工费支付比例和支付期限的约定：</w:t>
      </w:r>
      <w:r>
        <w:rPr>
          <w:rFonts w:hint="eastAsia" w:ascii="宋体" w:hAnsi="宋体"/>
          <w:color w:val="auto"/>
          <w:highlight w:val="none"/>
          <w:u w:val="single"/>
        </w:rPr>
        <w:t>/</w:t>
      </w:r>
      <w:r>
        <w:rPr>
          <w:rFonts w:ascii="宋体" w:hAnsi="宋体"/>
          <w:color w:val="auto"/>
          <w:highlight w:val="none"/>
        </w:rPr>
        <w:t>。</w:t>
      </w:r>
    </w:p>
    <w:bookmarkEnd w:id="146"/>
    <w:bookmarkEnd w:id="147"/>
    <w:bookmarkEnd w:id="148"/>
    <w:bookmarkEnd w:id="149"/>
    <w:bookmarkEnd w:id="150"/>
    <w:bookmarkEnd w:id="151"/>
    <w:bookmarkEnd w:id="152"/>
    <w:p>
      <w:pPr>
        <w:keepNext/>
        <w:keepLines/>
        <w:tabs>
          <w:tab w:val="left" w:pos="1080"/>
        </w:tabs>
        <w:spacing w:line="360" w:lineRule="auto"/>
        <w:outlineLvl w:val="3"/>
        <w:rPr>
          <w:rFonts w:ascii="宋体" w:hAnsi="宋体"/>
          <w:bCs/>
          <w:color w:val="auto"/>
          <w:highlight w:val="none"/>
        </w:rPr>
      </w:pPr>
      <w:bookmarkStart w:id="154" w:name="_Toc351203639"/>
      <w:r>
        <w:rPr>
          <w:rFonts w:ascii="宋体" w:hAnsi="宋体"/>
          <w:bCs/>
          <w:color w:val="auto"/>
          <w:highlight w:val="none"/>
        </w:rPr>
        <w:t>7. 工期和进度</w:t>
      </w:r>
      <w:bookmarkEnd w:id="154"/>
    </w:p>
    <w:p>
      <w:pPr>
        <w:spacing w:line="360" w:lineRule="auto"/>
        <w:ind w:firstLine="420" w:firstLineChars="200"/>
        <w:rPr>
          <w:rFonts w:ascii="宋体" w:hAnsi="宋体"/>
          <w:color w:val="auto"/>
          <w:highlight w:val="none"/>
        </w:rPr>
      </w:pPr>
      <w:r>
        <w:rPr>
          <w:rFonts w:ascii="宋体" w:hAnsi="宋体"/>
          <w:color w:val="auto"/>
          <w:highlight w:val="none"/>
        </w:rPr>
        <w:t>7.1 施工组织设计</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highlight w:val="none"/>
        </w:rPr>
        <w:t>7.1.</w:t>
      </w:r>
      <w:r>
        <w:rPr>
          <w:rFonts w:hint="eastAsia" w:ascii="宋体" w:hAnsi="宋体"/>
          <w:color w:val="auto"/>
          <w:highlight w:val="none"/>
        </w:rPr>
        <w:t>1 合</w:t>
      </w:r>
      <w:r>
        <w:rPr>
          <w:rFonts w:hint="eastAsia" w:ascii="宋体" w:hAnsi="宋体"/>
          <w:color w:val="auto"/>
          <w:kern w:val="0"/>
          <w:highlight w:val="none"/>
        </w:rPr>
        <w:t>同当事人约定的</w:t>
      </w:r>
      <w:r>
        <w:rPr>
          <w:rFonts w:ascii="宋体" w:hAnsi="宋体"/>
          <w:color w:val="auto"/>
          <w:kern w:val="0"/>
          <w:highlight w:val="none"/>
        </w:rPr>
        <w:t>施工组织设计</w:t>
      </w:r>
      <w:r>
        <w:rPr>
          <w:rFonts w:hint="eastAsia" w:ascii="宋体" w:hAnsi="宋体"/>
          <w:color w:val="auto"/>
          <w:kern w:val="0"/>
          <w:highlight w:val="none"/>
        </w:rPr>
        <w:t>应包括的其他内容</w:t>
      </w:r>
      <w:r>
        <w:rPr>
          <w:rFonts w:ascii="宋体" w:hAnsi="宋体"/>
          <w:color w:val="auto"/>
          <w:kern w:val="0"/>
          <w:highlight w:val="none"/>
        </w:rPr>
        <w:t>：</w:t>
      </w:r>
      <w:r>
        <w:rPr>
          <w:rFonts w:hint="eastAsia" w:ascii="宋体" w:hAnsi="宋体"/>
          <w:color w:val="auto"/>
          <w:szCs w:val="21"/>
          <w:highlight w:val="none"/>
          <w:u w:val="single"/>
        </w:rPr>
        <w:t>开工前3天内提交施工组织设计。计划应有横道网络图。施工组织设计及进度计划须报发包人及发包人委派的监理工程师审查。承包人向发包人及监理工程师提交符合工程实际情况的施工组织设计和工程进度计划，并得到监理工程师的认可。施工组织设计应详细说明整个工程进度计划、劳动力计划、机械设备进场计划、材料计划、安全文明施工措施费使用计划、需要配合的事项、可能遇到的不利因素及相应的措施，承包人必须按监理工程师确认的进度计划组织施工，接受监理工程师对进度的检查和监督。每月25日前报下月施工进度计划，每周例会前2日历天报下周进度计划。在施工过程中，工程实际进度与经确认的施工组织设计和工程进度不符时，承包人应按现场监理工程师的要求提出改进措施，经监理工程师确认后执行，因承包人的原因导致实际进度与进度计划不符，承包人无权就改进措施提出追加合同价款。</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highlight w:val="none"/>
        </w:rPr>
        <w:t>7.1.2</w:t>
      </w:r>
      <w:r>
        <w:rPr>
          <w:rFonts w:ascii="宋体" w:hAnsi="宋体"/>
          <w:color w:val="auto"/>
          <w:kern w:val="0"/>
          <w:highlight w:val="none"/>
        </w:rPr>
        <w:t>施工组织设计的提交和修改</w:t>
      </w:r>
    </w:p>
    <w:p>
      <w:pPr>
        <w:autoSpaceDE w:val="0"/>
        <w:autoSpaceDN w:val="0"/>
        <w:adjustRightInd w:val="0"/>
        <w:spacing w:line="360" w:lineRule="auto"/>
        <w:ind w:firstLine="420" w:firstLineChars="200"/>
        <w:jc w:val="left"/>
        <w:rPr>
          <w:rFonts w:ascii="宋体" w:hAnsi="宋体"/>
          <w:color w:val="auto"/>
          <w:highlight w:val="none"/>
        </w:rPr>
      </w:pPr>
      <w:r>
        <w:rPr>
          <w:rFonts w:ascii="宋体" w:hAnsi="宋体"/>
          <w:color w:val="auto"/>
          <w:kern w:val="0"/>
          <w:highlight w:val="none"/>
        </w:rPr>
        <w:t>承包人提交详细施工组织设计的期限的约定：</w:t>
      </w:r>
      <w:r>
        <w:rPr>
          <w:rFonts w:hint="eastAsia" w:ascii="宋体" w:hAnsi="宋体"/>
          <w:color w:val="auto"/>
          <w:szCs w:val="21"/>
          <w:highlight w:val="none"/>
          <w:u w:val="single"/>
        </w:rPr>
        <w:t>开工前3天</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发包人和监理人在收到</w:t>
      </w:r>
      <w:r>
        <w:rPr>
          <w:rFonts w:hint="eastAsia" w:ascii="宋体" w:hAnsi="宋体"/>
          <w:color w:val="auto"/>
          <w:highlight w:val="none"/>
        </w:rPr>
        <w:t>详细的施工组织设计</w:t>
      </w:r>
      <w:r>
        <w:rPr>
          <w:rFonts w:ascii="宋体" w:hAnsi="宋体"/>
          <w:color w:val="auto"/>
          <w:highlight w:val="none"/>
        </w:rPr>
        <w:t>后确认或提出修改意见的期限：</w:t>
      </w:r>
      <w:r>
        <w:rPr>
          <w:rFonts w:hint="eastAsia" w:ascii="宋体" w:hAnsi="宋体"/>
          <w:color w:val="auto"/>
          <w:szCs w:val="21"/>
          <w:highlight w:val="none"/>
          <w:u w:val="single"/>
        </w:rPr>
        <w:t xml:space="preserve">合同签订 7 天内。发包人和监理人对承包人提交的施工组织设计（包括修改后的施工组织设计）的确认，不能减轻或免除承包人根据法律规定和合同约定应承担的任何责任或义务。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7</w:t>
      </w:r>
      <w:bookmarkStart w:id="155" w:name="_Toc297216173"/>
      <w:bookmarkStart w:id="156" w:name="_Toc312678005"/>
      <w:bookmarkStart w:id="157" w:name="_Toc312677479"/>
      <w:bookmarkStart w:id="158" w:name="_Toc303539123"/>
      <w:bookmarkStart w:id="159" w:name="_Toc304295541"/>
      <w:bookmarkStart w:id="160" w:name="_Toc297123514"/>
      <w:bookmarkStart w:id="161" w:name="_Toc300934966"/>
      <w:r>
        <w:rPr>
          <w:rFonts w:ascii="宋体" w:hAnsi="宋体"/>
          <w:color w:val="auto"/>
          <w:highlight w:val="none"/>
        </w:rPr>
        <w:t>.2 施工进度计划</w:t>
      </w:r>
    </w:p>
    <w:p>
      <w:pPr>
        <w:spacing w:line="360" w:lineRule="auto"/>
        <w:ind w:firstLine="420" w:firstLineChars="200"/>
        <w:jc w:val="left"/>
        <w:rPr>
          <w:rFonts w:ascii="宋体" w:hAnsi="宋体"/>
          <w:color w:val="auto"/>
          <w:highlight w:val="none"/>
        </w:rPr>
      </w:pPr>
      <w:r>
        <w:rPr>
          <w:rFonts w:ascii="宋体" w:hAnsi="宋体"/>
          <w:color w:val="auto"/>
          <w:highlight w:val="none"/>
        </w:rPr>
        <w:t>7.2.2 施工进度计划的修订</w:t>
      </w:r>
    </w:p>
    <w:p>
      <w:pPr>
        <w:spacing w:line="360" w:lineRule="auto"/>
        <w:ind w:firstLine="420" w:firstLineChars="200"/>
        <w:jc w:val="left"/>
        <w:rPr>
          <w:rFonts w:ascii="宋体" w:hAnsi="宋体"/>
          <w:color w:val="auto"/>
          <w:highlight w:val="none"/>
        </w:rPr>
      </w:pPr>
      <w:r>
        <w:rPr>
          <w:rFonts w:ascii="宋体" w:hAnsi="宋体"/>
          <w:color w:val="auto"/>
          <w:highlight w:val="none"/>
        </w:rPr>
        <w:t>发包人和监理人在收到修订的施工进度计划后确认或提出修改意见的期限：</w:t>
      </w:r>
      <w:r>
        <w:rPr>
          <w:rFonts w:hint="eastAsia" w:ascii="宋体" w:hAnsi="宋体"/>
          <w:color w:val="auto"/>
          <w:szCs w:val="21"/>
          <w:highlight w:val="none"/>
          <w:u w:val="single"/>
        </w:rPr>
        <w:t>收到后5天内</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7.3 开工</w:t>
      </w:r>
    </w:p>
    <w:p>
      <w:pPr>
        <w:spacing w:line="360" w:lineRule="auto"/>
        <w:ind w:firstLine="420" w:firstLineChars="200"/>
        <w:jc w:val="left"/>
        <w:rPr>
          <w:rFonts w:ascii="宋体" w:hAnsi="宋体"/>
          <w:color w:val="auto"/>
          <w:highlight w:val="none"/>
        </w:rPr>
      </w:pPr>
      <w:r>
        <w:rPr>
          <w:rFonts w:ascii="宋体" w:hAnsi="宋体"/>
          <w:color w:val="auto"/>
          <w:highlight w:val="none"/>
        </w:rPr>
        <w:t>7.3.1 开工准备</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关于承包人提交</w:t>
      </w:r>
      <w:r>
        <w:rPr>
          <w:rFonts w:ascii="宋体" w:hAnsi="宋体"/>
          <w:color w:val="auto"/>
          <w:kern w:val="0"/>
          <w:highlight w:val="none"/>
        </w:rPr>
        <w:t>工程开工报审表的期限：</w:t>
      </w:r>
      <w:r>
        <w:rPr>
          <w:rFonts w:hint="eastAsia" w:ascii="宋体" w:hAnsi="宋体"/>
          <w:color w:val="auto"/>
          <w:szCs w:val="21"/>
          <w:highlight w:val="none"/>
          <w:u w:val="single"/>
        </w:rPr>
        <w:t>合同签订后、开工前</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关于发包人应完成的其他开工准备工作及期限：</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关于承包人应完成的其他开工准备工作及期限：</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7.3.2开工通知</w:t>
      </w:r>
    </w:p>
    <w:p>
      <w:pPr>
        <w:spacing w:line="360" w:lineRule="auto"/>
        <w:ind w:firstLine="420" w:firstLineChars="200"/>
        <w:jc w:val="left"/>
        <w:rPr>
          <w:rFonts w:ascii="宋体" w:hAnsi="宋体"/>
          <w:color w:val="auto"/>
          <w:highlight w:val="none"/>
        </w:rPr>
      </w:pPr>
      <w:r>
        <w:rPr>
          <w:rFonts w:ascii="宋体" w:hAnsi="宋体"/>
          <w:color w:val="auto"/>
          <w:highlight w:val="none"/>
        </w:rPr>
        <w:t>因发包人原因造成监理人未能在计划开工日期之日起</w:t>
      </w:r>
      <w:r>
        <w:rPr>
          <w:rFonts w:hint="eastAsia" w:ascii="宋体" w:hAnsi="宋体"/>
          <w:color w:val="auto"/>
          <w:highlight w:val="none"/>
          <w:u w:val="single"/>
        </w:rPr>
        <w:t>90</w:t>
      </w:r>
      <w:r>
        <w:rPr>
          <w:rFonts w:ascii="宋体" w:hAnsi="宋体"/>
          <w:color w:val="auto"/>
          <w:highlight w:val="none"/>
        </w:rPr>
        <w:t>天内发出开工通知的，承包人有权提出价格调整要求，或者解除合同。</w:t>
      </w:r>
    </w:p>
    <w:bookmarkEnd w:id="155"/>
    <w:bookmarkEnd w:id="156"/>
    <w:bookmarkEnd w:id="157"/>
    <w:bookmarkEnd w:id="158"/>
    <w:bookmarkEnd w:id="159"/>
    <w:bookmarkEnd w:id="160"/>
    <w:bookmarkEnd w:id="161"/>
    <w:p>
      <w:pPr>
        <w:spacing w:line="360" w:lineRule="auto"/>
        <w:ind w:firstLine="420" w:firstLineChars="200"/>
        <w:rPr>
          <w:rFonts w:ascii="宋体" w:hAnsi="宋体"/>
          <w:color w:val="auto"/>
          <w:highlight w:val="none"/>
        </w:rPr>
      </w:pPr>
      <w:r>
        <w:rPr>
          <w:rFonts w:ascii="宋体" w:hAnsi="宋体"/>
          <w:color w:val="auto"/>
          <w:highlight w:val="none"/>
        </w:rPr>
        <w:t>7.4 测量放线</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7.4.1发包人通过监理人向承包人提供测量基准点、基准线和水准点及其书面资料的期限：</w:t>
      </w:r>
      <w:r>
        <w:rPr>
          <w:rFonts w:hint="eastAsia" w:ascii="宋体" w:hAnsi="宋体"/>
          <w:color w:val="auto"/>
          <w:szCs w:val="21"/>
          <w:highlight w:val="none"/>
          <w:u w:val="single"/>
        </w:rPr>
        <w:t>开工前3天</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7</w:t>
      </w:r>
      <w:bookmarkStart w:id="162" w:name="_Toc300934968"/>
      <w:bookmarkStart w:id="163" w:name="_Toc304295546"/>
      <w:bookmarkStart w:id="164" w:name="_Toc312678010"/>
      <w:bookmarkStart w:id="165" w:name="_Toc312677484"/>
      <w:bookmarkStart w:id="166" w:name="_Toc297123516"/>
      <w:bookmarkStart w:id="167" w:name="_Toc303539125"/>
      <w:bookmarkStart w:id="168" w:name="_Toc297216175"/>
      <w:r>
        <w:rPr>
          <w:rFonts w:ascii="宋体" w:hAnsi="宋体"/>
          <w:color w:val="auto"/>
          <w:highlight w:val="none"/>
        </w:rPr>
        <w:t>.5 工期延误</w:t>
      </w:r>
    </w:p>
    <w:bookmarkEnd w:id="162"/>
    <w:bookmarkEnd w:id="163"/>
    <w:bookmarkEnd w:id="164"/>
    <w:bookmarkEnd w:id="165"/>
    <w:bookmarkEnd w:id="166"/>
    <w:bookmarkEnd w:id="167"/>
    <w:bookmarkEnd w:id="168"/>
    <w:p>
      <w:pPr>
        <w:spacing w:line="360" w:lineRule="auto"/>
        <w:ind w:firstLine="420" w:firstLineChars="200"/>
        <w:jc w:val="left"/>
        <w:rPr>
          <w:rFonts w:ascii="宋体" w:hAnsi="宋体"/>
          <w:color w:val="auto"/>
          <w:highlight w:val="none"/>
        </w:rPr>
      </w:pPr>
      <w:r>
        <w:rPr>
          <w:rFonts w:ascii="宋体" w:hAnsi="宋体"/>
          <w:color w:val="auto"/>
          <w:highlight w:val="none"/>
        </w:rPr>
        <w:t>7.5.1 因发包人原因导致工期延误</w:t>
      </w:r>
    </w:p>
    <w:p>
      <w:pPr>
        <w:spacing w:line="360" w:lineRule="auto"/>
        <w:ind w:firstLine="420" w:firstLineChars="200"/>
        <w:jc w:val="left"/>
        <w:rPr>
          <w:rFonts w:ascii="宋体" w:hAnsi="宋体"/>
          <w:color w:val="auto"/>
          <w:highlight w:val="none"/>
        </w:rPr>
      </w:pPr>
      <w:r>
        <w:rPr>
          <w:rFonts w:ascii="宋体" w:hAnsi="宋体"/>
          <w:color w:val="auto"/>
          <w:highlight w:val="none"/>
        </w:rPr>
        <w:t>（7）因发包人原因导致工期延误的其他情形：</w:t>
      </w:r>
      <w:r>
        <w:rPr>
          <w:rFonts w:hint="eastAsia" w:ascii="宋体" w:hAnsi="宋体"/>
          <w:color w:val="auto"/>
          <w:szCs w:val="21"/>
          <w:highlight w:val="none"/>
          <w:u w:val="single"/>
        </w:rPr>
        <w:t>①重大设计变更而影响施工进度②不可抗力，此延误工期须在发现后七天内办理签证，逾期不予认可</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7</w:t>
      </w:r>
      <w:bookmarkStart w:id="169" w:name="_Toc312677486"/>
      <w:bookmarkStart w:id="170" w:name="_Toc318581169"/>
      <w:bookmarkStart w:id="171" w:name="_Toc312678012"/>
      <w:bookmarkStart w:id="172" w:name="_Toc297123518"/>
      <w:bookmarkStart w:id="173" w:name="_Toc297216177"/>
      <w:bookmarkStart w:id="174" w:name="_Toc300934970"/>
      <w:bookmarkStart w:id="175" w:name="_Toc304295548"/>
      <w:bookmarkStart w:id="176" w:name="_Toc303539127"/>
      <w:r>
        <w:rPr>
          <w:rFonts w:ascii="宋体" w:hAnsi="宋体"/>
          <w:color w:val="auto"/>
          <w:highlight w:val="none"/>
        </w:rPr>
        <w:t>.5.2 因承包人原因导致工期延误</w:t>
      </w:r>
    </w:p>
    <w:bookmarkEnd w:id="169"/>
    <w:bookmarkEnd w:id="170"/>
    <w:bookmarkEnd w:id="171"/>
    <w:p>
      <w:pPr>
        <w:spacing w:line="360" w:lineRule="auto"/>
        <w:ind w:firstLine="420" w:firstLineChars="200"/>
        <w:jc w:val="left"/>
        <w:rPr>
          <w:rFonts w:ascii="宋体" w:hAnsi="宋体"/>
          <w:color w:val="auto"/>
          <w:szCs w:val="21"/>
          <w:highlight w:val="none"/>
        </w:rPr>
      </w:pPr>
      <w:r>
        <w:rPr>
          <w:rFonts w:ascii="宋体" w:hAnsi="宋体"/>
          <w:color w:val="auto"/>
          <w:highlight w:val="none"/>
        </w:rPr>
        <w:t>因</w:t>
      </w:r>
      <w:bookmarkStart w:id="177" w:name="_Toc312678013"/>
      <w:bookmarkStart w:id="178" w:name="_Toc312677487"/>
      <w:bookmarkStart w:id="179" w:name="_Toc318581170"/>
      <w:r>
        <w:rPr>
          <w:rFonts w:ascii="宋体" w:hAnsi="宋体"/>
          <w:color w:val="auto"/>
          <w:highlight w:val="none"/>
        </w:rPr>
        <w:t>承包人原因造成工期延误，逾期竣工违约金的计算方法为：</w:t>
      </w:r>
      <w:bookmarkEnd w:id="172"/>
      <w:bookmarkEnd w:id="173"/>
      <w:bookmarkEnd w:id="174"/>
      <w:bookmarkEnd w:id="175"/>
      <w:bookmarkEnd w:id="176"/>
      <w:bookmarkEnd w:id="177"/>
      <w:bookmarkEnd w:id="178"/>
      <w:bookmarkEnd w:id="179"/>
      <w:r>
        <w:rPr>
          <w:rFonts w:hint="eastAsia" w:ascii="宋体" w:hAnsi="宋体"/>
          <w:color w:val="auto"/>
          <w:szCs w:val="21"/>
          <w:highlight w:val="none"/>
          <w:u w:val="single"/>
        </w:rPr>
        <w:t>扣除报价中的赶工措施费，并支付合同价万分之五/天的违约金</w:t>
      </w:r>
      <w:r>
        <w:rPr>
          <w:rFonts w:ascii="宋体" w:hAnsi="宋体"/>
          <w:color w:val="auto"/>
          <w:szCs w:val="21"/>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因承包人原因造成工期延误，逾</w:t>
      </w:r>
      <w:bookmarkStart w:id="180" w:name="_Toc312678014"/>
      <w:bookmarkStart w:id="181" w:name="_Toc318581171"/>
      <w:r>
        <w:rPr>
          <w:rFonts w:ascii="宋体" w:hAnsi="宋体"/>
          <w:color w:val="auto"/>
          <w:highlight w:val="none"/>
        </w:rPr>
        <w:t>期竣工违约金的上限：</w:t>
      </w:r>
      <w:r>
        <w:rPr>
          <w:rFonts w:hint="eastAsia" w:ascii="宋体" w:hAnsi="宋体"/>
          <w:color w:val="auto"/>
          <w:szCs w:val="21"/>
          <w:highlight w:val="none"/>
          <w:u w:val="single"/>
        </w:rPr>
        <w:t>计划开工时间以甲方开工令为准。延误工期承包方应按照合同价万分之五/天支付违约金给发包方，误期赔偿费不设上限。工程施工项目合同签约时，应根据合同工期明确具体的开工、竣工时间。届时，若合同竣工日期满但尚未完工的，应提交完整且合理的可证明延期时间的相应书面资料供审批确认。工程实际竣工后、工程项目结算送审前，应针对合同工期、审批后可延长工期与实际完工工期进行比对，若仍有延误，将由审计单位按合同执行工期违约处罚</w:t>
      </w:r>
      <w:r>
        <w:rPr>
          <w:rFonts w:ascii="宋体" w:hAnsi="宋体"/>
          <w:color w:val="auto"/>
          <w:szCs w:val="21"/>
          <w:highlight w:val="none"/>
        </w:rPr>
        <w:t>。</w:t>
      </w:r>
    </w:p>
    <w:bookmarkEnd w:id="180"/>
    <w:bookmarkEnd w:id="181"/>
    <w:p>
      <w:pPr>
        <w:spacing w:line="360" w:lineRule="auto"/>
        <w:ind w:firstLine="420" w:firstLineChars="200"/>
        <w:rPr>
          <w:rFonts w:ascii="宋体" w:hAnsi="宋体"/>
          <w:color w:val="auto"/>
          <w:highlight w:val="none"/>
        </w:rPr>
      </w:pPr>
      <w:r>
        <w:rPr>
          <w:rFonts w:ascii="宋体" w:hAnsi="宋体"/>
          <w:color w:val="auto"/>
          <w:highlight w:val="none"/>
        </w:rPr>
        <w:t>7</w:t>
      </w:r>
      <w:bookmarkStart w:id="182" w:name="_Toc300934971"/>
      <w:bookmarkStart w:id="183" w:name="_Toc312678015"/>
      <w:bookmarkStart w:id="184" w:name="_Toc304295549"/>
      <w:bookmarkStart w:id="185" w:name="_Toc297216178"/>
      <w:bookmarkStart w:id="186" w:name="_Toc303539128"/>
      <w:bookmarkStart w:id="187" w:name="_Toc297123519"/>
      <w:r>
        <w:rPr>
          <w:rFonts w:ascii="宋体" w:hAnsi="宋体"/>
          <w:color w:val="auto"/>
          <w:highlight w:val="none"/>
        </w:rPr>
        <w:t>.6 不</w:t>
      </w:r>
      <w:bookmarkEnd w:id="182"/>
      <w:bookmarkEnd w:id="183"/>
      <w:bookmarkEnd w:id="184"/>
      <w:bookmarkEnd w:id="185"/>
      <w:bookmarkEnd w:id="186"/>
      <w:bookmarkEnd w:id="187"/>
      <w:r>
        <w:rPr>
          <w:rFonts w:ascii="宋体" w:hAnsi="宋体"/>
          <w:color w:val="auto"/>
          <w:highlight w:val="none"/>
        </w:rPr>
        <w:t>利物质条件</w:t>
      </w:r>
    </w:p>
    <w:p>
      <w:pPr>
        <w:spacing w:line="360" w:lineRule="auto"/>
        <w:ind w:firstLine="420" w:firstLineChars="200"/>
        <w:jc w:val="left"/>
        <w:rPr>
          <w:rFonts w:ascii="宋体" w:hAnsi="宋体"/>
          <w:color w:val="auto"/>
          <w:highlight w:val="none"/>
        </w:rPr>
      </w:pPr>
      <w:bookmarkStart w:id="188" w:name="_Toc297123520"/>
      <w:bookmarkStart w:id="189" w:name="_Toc303539129"/>
      <w:bookmarkStart w:id="190" w:name="_Toc297216179"/>
      <w:bookmarkStart w:id="191" w:name="_Toc318581172"/>
      <w:bookmarkStart w:id="192" w:name="_Toc312678016"/>
      <w:bookmarkStart w:id="193" w:name="_Toc304295550"/>
      <w:bookmarkStart w:id="194" w:name="_Toc300934972"/>
      <w:r>
        <w:rPr>
          <w:rFonts w:ascii="宋体" w:hAnsi="宋体"/>
          <w:color w:val="auto"/>
          <w:highlight w:val="none"/>
        </w:rPr>
        <w:t>不利物质条件的其他情形和有关约定：</w:t>
      </w:r>
      <w:r>
        <w:rPr>
          <w:rFonts w:hint="eastAsia" w:ascii="宋体" w:hAnsi="宋体"/>
          <w:color w:val="auto"/>
          <w:highlight w:val="none"/>
          <w:u w:val="single"/>
        </w:rPr>
        <w:t xml:space="preserve">/      </w:t>
      </w:r>
      <w:r>
        <w:rPr>
          <w:rFonts w:ascii="宋体" w:hAnsi="宋体"/>
          <w:color w:val="auto"/>
          <w:highlight w:val="none"/>
        </w:rPr>
        <w:t>。</w:t>
      </w:r>
    </w:p>
    <w:bookmarkEnd w:id="188"/>
    <w:bookmarkEnd w:id="189"/>
    <w:bookmarkEnd w:id="190"/>
    <w:bookmarkEnd w:id="191"/>
    <w:bookmarkEnd w:id="192"/>
    <w:bookmarkEnd w:id="193"/>
    <w:bookmarkEnd w:id="194"/>
    <w:p>
      <w:pPr>
        <w:spacing w:line="360" w:lineRule="auto"/>
        <w:ind w:firstLine="420" w:firstLineChars="200"/>
        <w:rPr>
          <w:rFonts w:ascii="宋体" w:hAnsi="宋体"/>
          <w:color w:val="auto"/>
          <w:highlight w:val="none"/>
        </w:rPr>
      </w:pPr>
      <w:r>
        <w:rPr>
          <w:rFonts w:ascii="宋体" w:hAnsi="宋体"/>
          <w:color w:val="auto"/>
          <w:highlight w:val="none"/>
        </w:rPr>
        <w:t>7</w:t>
      </w:r>
      <w:bookmarkStart w:id="195" w:name="_Toc300934973"/>
      <w:bookmarkStart w:id="196" w:name="_Toc312678017"/>
      <w:bookmarkStart w:id="197" w:name="_Toc303539130"/>
      <w:bookmarkStart w:id="198" w:name="_Toc297216180"/>
      <w:bookmarkStart w:id="199" w:name="_Toc304295551"/>
      <w:bookmarkStart w:id="200" w:name="_Toc297123521"/>
      <w:r>
        <w:rPr>
          <w:rFonts w:ascii="宋体" w:hAnsi="宋体"/>
          <w:color w:val="auto"/>
          <w:highlight w:val="none"/>
        </w:rPr>
        <w:t>.7异常恶劣的气候条件</w:t>
      </w:r>
    </w:p>
    <w:bookmarkEnd w:id="195"/>
    <w:bookmarkEnd w:id="196"/>
    <w:bookmarkEnd w:id="197"/>
    <w:bookmarkEnd w:id="198"/>
    <w:bookmarkEnd w:id="199"/>
    <w:bookmarkEnd w:id="200"/>
    <w:p>
      <w:pPr>
        <w:spacing w:line="360" w:lineRule="auto"/>
        <w:ind w:firstLine="420" w:firstLineChars="200"/>
        <w:jc w:val="left"/>
        <w:rPr>
          <w:rFonts w:ascii="宋体" w:hAnsi="宋体"/>
          <w:color w:val="auto"/>
          <w:highlight w:val="none"/>
        </w:rPr>
      </w:pPr>
      <w:r>
        <w:rPr>
          <w:rFonts w:ascii="宋体" w:hAnsi="宋体"/>
          <w:color w:val="auto"/>
          <w:highlight w:val="none"/>
        </w:rPr>
        <w:t>发包人和承包人同意以下情形视为异常恶劣的气候条件：</w:t>
      </w:r>
    </w:p>
    <w:p>
      <w:pPr>
        <w:spacing w:line="360" w:lineRule="auto"/>
        <w:ind w:firstLine="420" w:firstLineChars="200"/>
        <w:jc w:val="left"/>
        <w:rPr>
          <w:rFonts w:ascii="宋体" w:hAnsi="宋体"/>
          <w:color w:val="auto"/>
          <w:highlight w:val="none"/>
        </w:rPr>
      </w:pPr>
      <w:r>
        <w:rPr>
          <w:rFonts w:ascii="宋体" w:hAnsi="宋体"/>
          <w:color w:val="auto"/>
          <w:highlight w:val="none"/>
        </w:rPr>
        <w:t>（1）</w:t>
      </w:r>
      <w:r>
        <w:rPr>
          <w:rFonts w:hint="eastAsia" w:ascii="宋体" w:hAnsi="宋体"/>
          <w:color w:val="auto"/>
          <w:szCs w:val="21"/>
          <w:highlight w:val="none"/>
          <w:u w:val="single"/>
        </w:rPr>
        <w:t>双方另行协商</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（2）；</w:t>
      </w:r>
    </w:p>
    <w:p>
      <w:pPr>
        <w:spacing w:line="360" w:lineRule="auto"/>
        <w:ind w:firstLine="420" w:firstLineChars="200"/>
        <w:jc w:val="left"/>
        <w:rPr>
          <w:rFonts w:ascii="宋体" w:hAnsi="宋体"/>
          <w:color w:val="auto"/>
          <w:highlight w:val="none"/>
        </w:rPr>
      </w:pPr>
      <w:r>
        <w:rPr>
          <w:rFonts w:ascii="宋体" w:hAnsi="宋体"/>
          <w:color w:val="auto"/>
          <w:highlight w:val="none"/>
        </w:rPr>
        <w:t>（3）。</w:t>
      </w:r>
    </w:p>
    <w:p>
      <w:pPr>
        <w:spacing w:line="360" w:lineRule="auto"/>
        <w:ind w:firstLine="420" w:firstLineChars="200"/>
        <w:outlineLvl w:val="0"/>
        <w:rPr>
          <w:rFonts w:ascii="宋体" w:hAnsi="宋体"/>
          <w:color w:val="auto"/>
          <w:highlight w:val="none"/>
        </w:rPr>
      </w:pPr>
      <w:r>
        <w:rPr>
          <w:rFonts w:ascii="宋体" w:hAnsi="宋体"/>
          <w:color w:val="auto"/>
          <w:highlight w:val="none"/>
        </w:rPr>
        <w:t>7.9 提前竣工的奖励</w:t>
      </w:r>
    </w:p>
    <w:p>
      <w:pPr>
        <w:spacing w:line="360" w:lineRule="auto"/>
        <w:ind w:firstLine="420" w:firstLineChars="200"/>
        <w:jc w:val="left"/>
        <w:rPr>
          <w:rFonts w:ascii="宋体" w:hAnsi="宋体"/>
          <w:color w:val="auto"/>
          <w:highlight w:val="none"/>
        </w:rPr>
      </w:pPr>
      <w:r>
        <w:rPr>
          <w:rFonts w:ascii="宋体" w:hAnsi="宋体"/>
          <w:color w:val="auto"/>
          <w:highlight w:val="none"/>
        </w:rPr>
        <w:t>7.9.2提前竣工的奖励：</w:t>
      </w:r>
      <w:r>
        <w:rPr>
          <w:rFonts w:hint="eastAsia" w:ascii="宋体" w:hAnsi="宋体"/>
          <w:color w:val="auto"/>
          <w:highlight w:val="none"/>
          <w:u w:val="single"/>
        </w:rPr>
        <w:t>/</w:t>
      </w:r>
      <w:r>
        <w:rPr>
          <w:rFonts w:ascii="宋体" w:hAnsi="宋体"/>
          <w:color w:val="auto"/>
          <w:highlight w:val="none"/>
        </w:rPr>
        <w:t>。</w:t>
      </w:r>
    </w:p>
    <w:p>
      <w:pPr>
        <w:keepNext/>
        <w:keepLines/>
        <w:tabs>
          <w:tab w:val="left" w:pos="1080"/>
        </w:tabs>
        <w:spacing w:line="360" w:lineRule="auto"/>
        <w:outlineLvl w:val="3"/>
        <w:rPr>
          <w:rFonts w:ascii="宋体" w:hAnsi="宋体"/>
          <w:bCs/>
          <w:color w:val="auto"/>
          <w:highlight w:val="none"/>
        </w:rPr>
      </w:pPr>
      <w:bookmarkStart w:id="201" w:name="_Toc351203640"/>
      <w:r>
        <w:rPr>
          <w:rFonts w:ascii="宋体" w:hAnsi="宋体"/>
          <w:bCs/>
          <w:color w:val="auto"/>
          <w:highlight w:val="none"/>
        </w:rPr>
        <w:t>8. 材料与设备</w:t>
      </w:r>
      <w:bookmarkEnd w:id="201"/>
    </w:p>
    <w:bookmarkEnd w:id="136"/>
    <w:bookmarkEnd w:id="137"/>
    <w:bookmarkEnd w:id="138"/>
    <w:bookmarkEnd w:id="139"/>
    <w:bookmarkEnd w:id="140"/>
    <w:bookmarkEnd w:id="141"/>
    <w:bookmarkEnd w:id="142"/>
    <w:bookmarkEnd w:id="143"/>
    <w:bookmarkEnd w:id="144"/>
    <w:bookmarkEnd w:id="145"/>
    <w:p>
      <w:pPr>
        <w:spacing w:line="360" w:lineRule="auto"/>
        <w:ind w:firstLine="420" w:firstLineChars="200"/>
        <w:rPr>
          <w:rFonts w:ascii="宋体" w:hAnsi="宋体"/>
          <w:color w:val="auto"/>
          <w:highlight w:val="none"/>
        </w:rPr>
      </w:pPr>
      <w:r>
        <w:rPr>
          <w:rFonts w:ascii="宋体" w:hAnsi="宋体"/>
          <w:color w:val="auto"/>
          <w:highlight w:val="none"/>
        </w:rPr>
        <w:t>8</w:t>
      </w:r>
      <w:bookmarkStart w:id="202" w:name="_Toc280868654"/>
      <w:bookmarkStart w:id="203" w:name="_Toc296890995"/>
      <w:bookmarkStart w:id="204" w:name="_Toc297216186"/>
      <w:bookmarkStart w:id="205" w:name="_Toc296944506"/>
      <w:bookmarkStart w:id="206" w:name="_Toc296891207"/>
      <w:bookmarkStart w:id="207" w:name="_Toc296347166"/>
      <w:bookmarkStart w:id="208" w:name="_Toc312677493"/>
      <w:bookmarkStart w:id="209" w:name="_Toc297123527"/>
      <w:bookmarkStart w:id="210" w:name="_Toc304295556"/>
      <w:bookmarkStart w:id="211" w:name="_Toc312678019"/>
      <w:bookmarkStart w:id="212" w:name="_Toc297120467"/>
      <w:bookmarkStart w:id="213" w:name="_Toc303539136"/>
      <w:bookmarkStart w:id="214" w:name="_Toc296503167"/>
      <w:bookmarkStart w:id="215" w:name="_Toc296346668"/>
      <w:bookmarkStart w:id="216" w:name="_Toc292559877"/>
      <w:bookmarkStart w:id="217" w:name="_Toc300934979"/>
      <w:bookmarkStart w:id="218" w:name="_Toc292559372"/>
      <w:bookmarkStart w:id="219" w:name="_Toc297048353"/>
      <w:bookmarkStart w:id="220" w:name="_Toc280868655"/>
      <w:bookmarkStart w:id="221" w:name="_Toc267251424"/>
      <w:bookmarkStart w:id="222" w:name="_Toc280868656"/>
      <w:r>
        <w:rPr>
          <w:rFonts w:ascii="宋体" w:hAnsi="宋体"/>
          <w:color w:val="auto"/>
          <w:highlight w:val="none"/>
        </w:rPr>
        <w:t>.4材料与工程设备的保管与使用</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Pr>
        <w:spacing w:line="360" w:lineRule="auto"/>
        <w:ind w:firstLine="420" w:firstLineChars="200"/>
        <w:jc w:val="left"/>
        <w:rPr>
          <w:rFonts w:ascii="宋体" w:hAnsi="宋体"/>
          <w:color w:val="auto"/>
          <w:highlight w:val="none"/>
        </w:rPr>
      </w:pPr>
      <w:r>
        <w:rPr>
          <w:rFonts w:ascii="宋体" w:hAnsi="宋体"/>
          <w:color w:val="auto"/>
          <w:highlight w:val="none"/>
        </w:rPr>
        <w:t>8</w:t>
      </w:r>
      <w:bookmarkStart w:id="223" w:name="_Toc292559878"/>
      <w:bookmarkStart w:id="224" w:name="_Toc292559373"/>
      <w:bookmarkStart w:id="225" w:name="_Toc312677494"/>
      <w:bookmarkStart w:id="226" w:name="_Toc312678020"/>
      <w:bookmarkStart w:id="227" w:name="_Toc297048354"/>
      <w:bookmarkStart w:id="228" w:name="_Toc296503168"/>
      <w:bookmarkStart w:id="229" w:name="_Toc296891208"/>
      <w:bookmarkStart w:id="230" w:name="_Toc296346669"/>
      <w:bookmarkStart w:id="231" w:name="_Toc318581173"/>
      <w:bookmarkStart w:id="232" w:name="_Toc296944507"/>
      <w:bookmarkStart w:id="233" w:name="_Toc297216187"/>
      <w:bookmarkStart w:id="234" w:name="_Toc300934980"/>
      <w:bookmarkStart w:id="235" w:name="_Toc304295557"/>
      <w:bookmarkStart w:id="236" w:name="_Toc296347167"/>
      <w:bookmarkStart w:id="237" w:name="_Toc297123528"/>
      <w:bookmarkStart w:id="238" w:name="_Toc297120468"/>
      <w:bookmarkStart w:id="239" w:name="_Toc296890996"/>
      <w:bookmarkStart w:id="240" w:name="_Toc303539137"/>
      <w:r>
        <w:rPr>
          <w:rFonts w:ascii="宋体" w:hAnsi="宋体"/>
          <w:color w:val="auto"/>
          <w:highlight w:val="none"/>
        </w:rPr>
        <w:t>.4.1发包人供应的材料设备的保管费用的承担：</w:t>
      </w:r>
      <w:r>
        <w:rPr>
          <w:rFonts w:hint="eastAsia" w:ascii="宋体" w:hAnsi="宋体"/>
          <w:color w:val="auto"/>
          <w:szCs w:val="21"/>
          <w:highlight w:val="none"/>
          <w:u w:val="single"/>
        </w:rPr>
        <w:t>由承包人承担</w:t>
      </w:r>
      <w:r>
        <w:rPr>
          <w:rFonts w:ascii="宋体" w:hAnsi="宋体"/>
          <w:color w:val="auto"/>
          <w:highlight w:val="none"/>
        </w:rPr>
        <w:t>。</w:t>
      </w:r>
      <w:bookmarkEnd w:id="223"/>
      <w:bookmarkEnd w:id="224"/>
    </w:p>
    <w:p>
      <w:pPr>
        <w:spacing w:line="360" w:lineRule="auto"/>
        <w:ind w:firstLine="420" w:firstLineChars="200"/>
        <w:outlineLvl w:val="0"/>
        <w:rPr>
          <w:rFonts w:ascii="宋体" w:hAnsi="宋体"/>
          <w:color w:val="auto"/>
          <w:highlight w:val="none"/>
        </w:rPr>
      </w:pPr>
      <w:r>
        <w:rPr>
          <w:rFonts w:ascii="宋体" w:hAnsi="宋体"/>
          <w:color w:val="auto"/>
          <w:highlight w:val="none"/>
        </w:rPr>
        <w:t>8.6 样品</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8.6.1样品的报送</w:t>
      </w:r>
      <w:r>
        <w:rPr>
          <w:rFonts w:hint="eastAsia" w:ascii="宋体" w:hAnsi="宋体"/>
          <w:color w:val="auto"/>
          <w:kern w:val="0"/>
          <w:highlight w:val="none"/>
        </w:rPr>
        <w:t>与封存</w:t>
      </w:r>
    </w:p>
    <w:p>
      <w:pPr>
        <w:autoSpaceDE w:val="0"/>
        <w:autoSpaceDN w:val="0"/>
        <w:adjustRightInd w:val="0"/>
        <w:spacing w:line="360" w:lineRule="auto"/>
        <w:ind w:firstLine="420" w:firstLineChars="200"/>
        <w:jc w:val="left"/>
        <w:rPr>
          <w:rFonts w:ascii="宋体" w:hAnsi="宋体"/>
          <w:color w:val="auto"/>
          <w:highlight w:val="none"/>
        </w:rPr>
      </w:pPr>
      <w:r>
        <w:rPr>
          <w:rFonts w:ascii="宋体" w:hAnsi="宋体"/>
          <w:color w:val="auto"/>
          <w:kern w:val="0"/>
          <w:highlight w:val="none"/>
        </w:rPr>
        <w:t>需要承包人报送样品的材料或工程设备，样品的种类、名称、规格、数量要求：</w:t>
      </w:r>
      <w:r>
        <w:rPr>
          <w:rFonts w:hint="eastAsia" w:ascii="宋体" w:hAnsi="宋体"/>
          <w:color w:val="auto"/>
          <w:szCs w:val="21"/>
          <w:highlight w:val="none"/>
          <w:u w:val="single"/>
        </w:rPr>
        <w:t>按发包人要求提供</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8.8 施工设备和临时设施</w:t>
      </w:r>
    </w:p>
    <w:p>
      <w:pPr>
        <w:autoSpaceDE w:val="0"/>
        <w:autoSpaceDN w:val="0"/>
        <w:adjustRightInd w:val="0"/>
        <w:spacing w:line="360" w:lineRule="auto"/>
        <w:ind w:firstLine="420" w:firstLineChars="200"/>
        <w:jc w:val="left"/>
        <w:rPr>
          <w:rFonts w:ascii="宋体" w:hAnsi="宋体"/>
          <w:color w:val="auto"/>
          <w:highlight w:val="none"/>
        </w:rPr>
      </w:pPr>
      <w:r>
        <w:rPr>
          <w:rFonts w:ascii="宋体" w:hAnsi="宋体"/>
          <w:color w:val="auto"/>
          <w:highlight w:val="none"/>
        </w:rPr>
        <w:t>8.8.1 承包人提供的施工设备和临时设施</w:t>
      </w:r>
    </w:p>
    <w:p>
      <w:pPr>
        <w:autoSpaceDE w:val="0"/>
        <w:autoSpaceDN w:val="0"/>
        <w:adjustRightInd w:val="0"/>
        <w:spacing w:line="360" w:lineRule="auto"/>
        <w:ind w:firstLine="420" w:firstLineChars="200"/>
        <w:jc w:val="left"/>
        <w:rPr>
          <w:rFonts w:ascii="宋体" w:hAnsi="宋体"/>
          <w:color w:val="auto"/>
          <w:highlight w:val="none"/>
        </w:rPr>
      </w:pPr>
      <w:r>
        <w:rPr>
          <w:rFonts w:ascii="宋体" w:hAnsi="宋体"/>
          <w:color w:val="auto"/>
          <w:highlight w:val="none"/>
        </w:rPr>
        <w:t>关于修建临时设施费用承担的约定：</w:t>
      </w:r>
      <w:r>
        <w:rPr>
          <w:rFonts w:hint="eastAsia" w:ascii="宋体" w:hAnsi="宋体"/>
          <w:color w:val="auto"/>
          <w:szCs w:val="21"/>
          <w:highlight w:val="none"/>
          <w:u w:val="single"/>
        </w:rPr>
        <w:t>由承包人承担，所需费用已含在投标报价中。</w:t>
      </w:r>
      <w:r>
        <w:rPr>
          <w:rFonts w:ascii="宋体" w:hAnsi="宋体"/>
          <w:color w:val="auto"/>
          <w:highlight w:val="none"/>
        </w:rPr>
        <w:t>。</w:t>
      </w:r>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Pr>
        <w:keepNext/>
        <w:keepLines/>
        <w:tabs>
          <w:tab w:val="left" w:pos="1080"/>
        </w:tabs>
        <w:spacing w:line="360" w:lineRule="auto"/>
        <w:outlineLvl w:val="3"/>
        <w:rPr>
          <w:rFonts w:ascii="宋体" w:hAnsi="宋体"/>
          <w:bCs/>
          <w:color w:val="auto"/>
          <w:highlight w:val="none"/>
        </w:rPr>
      </w:pPr>
      <w:bookmarkStart w:id="241" w:name="_Toc351203641"/>
      <w:r>
        <w:rPr>
          <w:rFonts w:ascii="宋体" w:hAnsi="宋体"/>
          <w:bCs/>
          <w:color w:val="auto"/>
          <w:highlight w:val="none"/>
        </w:rPr>
        <w:t>9</w:t>
      </w:r>
      <w:bookmarkEnd w:id="220"/>
      <w:bookmarkEnd w:id="221"/>
      <w:bookmarkEnd w:id="222"/>
      <w:bookmarkStart w:id="242" w:name="_Toc303539139"/>
      <w:bookmarkStart w:id="243" w:name="_Toc297123533"/>
      <w:bookmarkStart w:id="244" w:name="_Toc312677495"/>
      <w:bookmarkStart w:id="245" w:name="_Toc297216192"/>
      <w:bookmarkStart w:id="246" w:name="_Toc304295559"/>
      <w:bookmarkStart w:id="247" w:name="_Toc300934982"/>
      <w:bookmarkStart w:id="248" w:name="_Toc312678021"/>
      <w:bookmarkStart w:id="249" w:name="_Toc297120473"/>
      <w:bookmarkStart w:id="250" w:name="_Toc296891001"/>
      <w:bookmarkStart w:id="251" w:name="_Toc296346674"/>
      <w:bookmarkStart w:id="252" w:name="_Toc267251428"/>
      <w:bookmarkStart w:id="253" w:name="_Toc296944512"/>
      <w:bookmarkStart w:id="254" w:name="_Toc267251427"/>
      <w:bookmarkStart w:id="255" w:name="_Toc296891213"/>
      <w:bookmarkStart w:id="256" w:name="_Toc292559378"/>
      <w:bookmarkStart w:id="257" w:name="_Toc296347172"/>
      <w:bookmarkStart w:id="258" w:name="_Toc297048359"/>
      <w:bookmarkStart w:id="259" w:name="_Toc296503173"/>
      <w:bookmarkStart w:id="260" w:name="_Toc292559883"/>
      <w:r>
        <w:rPr>
          <w:rFonts w:ascii="宋体" w:hAnsi="宋体"/>
          <w:bCs/>
          <w:color w:val="auto"/>
          <w:highlight w:val="none"/>
        </w:rPr>
        <w:t>. 试验与检验</w:t>
      </w:r>
      <w:bookmarkEnd w:id="241"/>
    </w:p>
    <w:bookmarkEnd w:id="242"/>
    <w:bookmarkEnd w:id="243"/>
    <w:bookmarkEnd w:id="244"/>
    <w:bookmarkEnd w:id="245"/>
    <w:bookmarkEnd w:id="246"/>
    <w:bookmarkEnd w:id="247"/>
    <w:bookmarkEnd w:id="248"/>
    <w:p>
      <w:pPr>
        <w:spacing w:line="360" w:lineRule="auto"/>
        <w:ind w:firstLine="420" w:firstLineChars="200"/>
        <w:rPr>
          <w:rFonts w:ascii="宋体" w:hAnsi="宋体"/>
          <w:color w:val="auto"/>
          <w:highlight w:val="none"/>
        </w:rPr>
      </w:pPr>
      <w:r>
        <w:rPr>
          <w:rFonts w:ascii="宋体" w:hAnsi="宋体"/>
          <w:color w:val="auto"/>
          <w:highlight w:val="none"/>
        </w:rPr>
        <w:t>9</w:t>
      </w:r>
      <w:bookmarkStart w:id="261" w:name="_Toc312677496"/>
      <w:bookmarkStart w:id="262" w:name="_Toc303539140"/>
      <w:bookmarkStart w:id="263" w:name="_Toc297216193"/>
      <w:bookmarkStart w:id="264" w:name="_Toc312678022"/>
      <w:bookmarkStart w:id="265" w:name="_Toc297123534"/>
      <w:bookmarkStart w:id="266" w:name="_Toc304295560"/>
      <w:bookmarkStart w:id="267" w:name="_Toc300934983"/>
      <w:r>
        <w:rPr>
          <w:rFonts w:ascii="宋体" w:hAnsi="宋体"/>
          <w:color w:val="auto"/>
          <w:highlight w:val="none"/>
        </w:rPr>
        <w:t>.1试验设备与试验人员</w:t>
      </w:r>
    </w:p>
    <w:bookmarkEnd w:id="261"/>
    <w:bookmarkEnd w:id="262"/>
    <w:bookmarkEnd w:id="263"/>
    <w:bookmarkEnd w:id="264"/>
    <w:bookmarkEnd w:id="265"/>
    <w:bookmarkEnd w:id="266"/>
    <w:bookmarkEnd w:id="267"/>
    <w:p>
      <w:pPr>
        <w:spacing w:line="360" w:lineRule="auto"/>
        <w:ind w:firstLine="420" w:firstLineChars="200"/>
        <w:jc w:val="left"/>
        <w:rPr>
          <w:rFonts w:ascii="宋体" w:hAnsi="宋体"/>
          <w:color w:val="auto"/>
          <w:highlight w:val="none"/>
        </w:rPr>
      </w:pPr>
      <w:r>
        <w:rPr>
          <w:rFonts w:ascii="宋体" w:hAnsi="宋体"/>
          <w:color w:val="auto"/>
          <w:highlight w:val="none"/>
        </w:rPr>
        <w:t>9</w:t>
      </w:r>
      <w:bookmarkStart w:id="268" w:name="_Toc312677497"/>
      <w:bookmarkStart w:id="269" w:name="_Toc312678023"/>
      <w:bookmarkStart w:id="270" w:name="_Toc304295561"/>
      <w:bookmarkStart w:id="271" w:name="_Toc300934984"/>
      <w:bookmarkStart w:id="272" w:name="_Toc297123535"/>
      <w:bookmarkStart w:id="273" w:name="_Toc297216194"/>
      <w:bookmarkStart w:id="274" w:name="_Toc303539141"/>
      <w:bookmarkStart w:id="275" w:name="_Toc318581174"/>
      <w:r>
        <w:rPr>
          <w:rFonts w:ascii="宋体" w:hAnsi="宋体"/>
          <w:color w:val="auto"/>
          <w:highlight w:val="none"/>
        </w:rPr>
        <w:t>.1.2 试验设备</w:t>
      </w:r>
    </w:p>
    <w:p>
      <w:pPr>
        <w:spacing w:line="360" w:lineRule="auto"/>
        <w:ind w:firstLine="420" w:firstLineChars="200"/>
        <w:jc w:val="left"/>
        <w:rPr>
          <w:rFonts w:ascii="宋体" w:hAnsi="宋体"/>
          <w:color w:val="auto"/>
          <w:highlight w:val="none"/>
        </w:rPr>
      </w:pPr>
      <w:r>
        <w:rPr>
          <w:rFonts w:ascii="宋体" w:hAnsi="宋体"/>
          <w:color w:val="auto"/>
          <w:highlight w:val="none"/>
        </w:rPr>
        <w:t>施工现场需要配置的试验场所：</w:t>
      </w:r>
      <w:bookmarkEnd w:id="268"/>
      <w:bookmarkEnd w:id="269"/>
      <w:bookmarkEnd w:id="270"/>
      <w:bookmarkEnd w:id="271"/>
      <w:bookmarkEnd w:id="272"/>
      <w:bookmarkEnd w:id="273"/>
      <w:bookmarkEnd w:id="274"/>
      <w:bookmarkStart w:id="276" w:name="_Toc312677498"/>
      <w:bookmarkStart w:id="277" w:name="_Toc297123536"/>
      <w:bookmarkStart w:id="278" w:name="_Toc312678024"/>
      <w:bookmarkStart w:id="279" w:name="_Toc304295562"/>
      <w:bookmarkStart w:id="280" w:name="_Toc297216195"/>
      <w:bookmarkStart w:id="281" w:name="_Toc300934985"/>
      <w:bookmarkStart w:id="282" w:name="_Toc303539142"/>
      <w:r>
        <w:rPr>
          <w:rFonts w:hint="eastAsia" w:ascii="宋体" w:hAnsi="宋体"/>
          <w:color w:val="auto"/>
          <w:szCs w:val="21"/>
          <w:highlight w:val="none"/>
          <w:u w:val="single"/>
        </w:rPr>
        <w:t>按有关规定执行</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施工现场需要配备的试验设备：</w:t>
      </w:r>
      <w:r>
        <w:rPr>
          <w:rFonts w:hint="eastAsia" w:ascii="宋体" w:hAnsi="宋体"/>
          <w:color w:val="auto"/>
          <w:szCs w:val="21"/>
          <w:highlight w:val="none"/>
          <w:u w:val="single"/>
        </w:rPr>
        <w:t>按有关规定执行</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施工现场需要具备的其他试验条件：</w:t>
      </w:r>
      <w:r>
        <w:rPr>
          <w:rFonts w:hint="eastAsia" w:ascii="宋体" w:hAnsi="宋体"/>
          <w:color w:val="auto"/>
          <w:szCs w:val="21"/>
          <w:highlight w:val="none"/>
          <w:u w:val="single"/>
        </w:rPr>
        <w:t>按有关规定执行</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9.4 现场工艺试验</w:t>
      </w:r>
    </w:p>
    <w:p>
      <w:pPr>
        <w:spacing w:line="360" w:lineRule="auto"/>
        <w:ind w:firstLine="420" w:firstLineChars="200"/>
        <w:jc w:val="left"/>
        <w:rPr>
          <w:rFonts w:ascii="宋体" w:hAnsi="宋体"/>
          <w:color w:val="auto"/>
          <w:highlight w:val="none"/>
        </w:rPr>
      </w:pPr>
      <w:r>
        <w:rPr>
          <w:rFonts w:ascii="宋体" w:hAnsi="宋体"/>
          <w:color w:val="auto"/>
          <w:highlight w:val="none"/>
        </w:rPr>
        <w:t>现场工艺试验的有关约定：</w:t>
      </w:r>
      <w:r>
        <w:rPr>
          <w:rFonts w:hint="eastAsia" w:ascii="宋体" w:hAnsi="宋体"/>
          <w:color w:val="auto"/>
          <w:szCs w:val="21"/>
          <w:highlight w:val="none"/>
          <w:u w:val="single"/>
        </w:rPr>
        <w:t>按有关规定执行</w:t>
      </w:r>
      <w:r>
        <w:rPr>
          <w:rFonts w:ascii="宋体" w:hAnsi="宋体"/>
          <w:color w:val="auto"/>
          <w:highlight w:val="none"/>
        </w:rPr>
        <w:t>。</w:t>
      </w:r>
    </w:p>
    <w:bookmarkEnd w:id="275"/>
    <w:bookmarkEnd w:id="276"/>
    <w:bookmarkEnd w:id="277"/>
    <w:bookmarkEnd w:id="278"/>
    <w:bookmarkEnd w:id="279"/>
    <w:bookmarkEnd w:id="280"/>
    <w:bookmarkEnd w:id="281"/>
    <w:bookmarkEnd w:id="282"/>
    <w:p>
      <w:pPr>
        <w:keepNext/>
        <w:keepLines/>
        <w:tabs>
          <w:tab w:val="left" w:pos="1080"/>
        </w:tabs>
        <w:spacing w:line="360" w:lineRule="auto"/>
        <w:outlineLvl w:val="3"/>
        <w:rPr>
          <w:rFonts w:ascii="宋体" w:hAnsi="宋体"/>
          <w:bCs/>
          <w:color w:val="auto"/>
          <w:highlight w:val="none"/>
        </w:rPr>
      </w:pPr>
      <w:bookmarkStart w:id="283" w:name="_Toc351203642"/>
      <w:r>
        <w:rPr>
          <w:rFonts w:ascii="宋体" w:hAnsi="宋体"/>
          <w:bCs/>
          <w:color w:val="auto"/>
          <w:highlight w:val="none"/>
        </w:rPr>
        <w:t>1</w:t>
      </w:r>
      <w:bookmarkEnd w:id="249"/>
      <w:bookmarkEnd w:id="250"/>
      <w:bookmarkEnd w:id="251"/>
      <w:bookmarkEnd w:id="252"/>
      <w:bookmarkEnd w:id="253"/>
      <w:bookmarkEnd w:id="254"/>
      <w:bookmarkEnd w:id="255"/>
      <w:bookmarkEnd w:id="256"/>
      <w:bookmarkEnd w:id="257"/>
      <w:bookmarkEnd w:id="258"/>
      <w:bookmarkEnd w:id="259"/>
      <w:bookmarkEnd w:id="260"/>
      <w:bookmarkStart w:id="284" w:name="_Toc303539146"/>
      <w:bookmarkStart w:id="285" w:name="_Toc296347192"/>
      <w:bookmarkStart w:id="286" w:name="_Toc297120493"/>
      <w:bookmarkStart w:id="287" w:name="_Toc292559903"/>
      <w:bookmarkStart w:id="288" w:name="_Toc297048379"/>
      <w:bookmarkStart w:id="289" w:name="_Toc296503193"/>
      <w:bookmarkStart w:id="290" w:name="_Toc296944532"/>
      <w:bookmarkStart w:id="291" w:name="_Toc296891021"/>
      <w:bookmarkStart w:id="292" w:name="_Toc304295566"/>
      <w:bookmarkStart w:id="293" w:name="_Toc296891233"/>
      <w:bookmarkStart w:id="294" w:name="_Toc296346694"/>
      <w:bookmarkStart w:id="295" w:name="_Toc297123540"/>
      <w:bookmarkStart w:id="296" w:name="_Toc292559398"/>
      <w:bookmarkStart w:id="297" w:name="_Toc297216199"/>
      <w:bookmarkStart w:id="298" w:name="_Toc300934989"/>
      <w:bookmarkStart w:id="299" w:name="_Toc312678025"/>
      <w:bookmarkStart w:id="300" w:name="_Toc312677499"/>
      <w:bookmarkStart w:id="301" w:name="_Toc267251441"/>
      <w:bookmarkStart w:id="302" w:name="_Toc267251433"/>
      <w:bookmarkStart w:id="303" w:name="_Toc267251435"/>
      <w:bookmarkStart w:id="304" w:name="_Toc267251439"/>
      <w:bookmarkStart w:id="305" w:name="_Toc267251440"/>
      <w:bookmarkStart w:id="306" w:name="_Toc267251437"/>
      <w:bookmarkStart w:id="307" w:name="_Toc267251442"/>
      <w:r>
        <w:rPr>
          <w:rFonts w:ascii="宋体" w:hAnsi="宋体"/>
          <w:bCs/>
          <w:color w:val="auto"/>
          <w:highlight w:val="none"/>
        </w:rPr>
        <w:t>0. 变更</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bookmarkEnd w:id="299"/>
    <w:bookmarkEnd w:id="300"/>
    <w:p>
      <w:pPr>
        <w:spacing w:line="360" w:lineRule="auto"/>
        <w:ind w:firstLine="420" w:firstLineChars="200"/>
        <w:rPr>
          <w:rFonts w:ascii="宋体" w:hAnsi="宋体"/>
          <w:color w:val="auto"/>
          <w:highlight w:val="none"/>
        </w:rPr>
      </w:pPr>
      <w:r>
        <w:rPr>
          <w:rFonts w:ascii="宋体" w:hAnsi="宋体"/>
          <w:color w:val="auto"/>
          <w:highlight w:val="none"/>
        </w:rPr>
        <w:t>1</w:t>
      </w:r>
      <w:bookmarkStart w:id="308" w:name="_Toc297120494"/>
      <w:bookmarkStart w:id="309" w:name="_Toc292559904"/>
      <w:bookmarkStart w:id="310" w:name="_Toc312677500"/>
      <w:bookmarkStart w:id="311" w:name="_Toc296347193"/>
      <w:bookmarkStart w:id="312" w:name="_Toc312678026"/>
      <w:bookmarkStart w:id="313" w:name="_Toc296891234"/>
      <w:bookmarkStart w:id="314" w:name="_Toc300934990"/>
      <w:bookmarkStart w:id="315" w:name="_Toc296944533"/>
      <w:bookmarkStart w:id="316" w:name="_Toc292559399"/>
      <w:bookmarkStart w:id="317" w:name="_Toc297216200"/>
      <w:bookmarkStart w:id="318" w:name="_Toc296891022"/>
      <w:bookmarkStart w:id="319" w:name="_Toc304295567"/>
      <w:bookmarkStart w:id="320" w:name="_Toc296346695"/>
      <w:bookmarkStart w:id="321" w:name="_Toc303539147"/>
      <w:bookmarkStart w:id="322" w:name="_Toc297048380"/>
      <w:bookmarkStart w:id="323" w:name="_Toc297123541"/>
      <w:bookmarkStart w:id="324" w:name="_Toc296503194"/>
      <w:r>
        <w:rPr>
          <w:rFonts w:ascii="宋体" w:hAnsi="宋体"/>
          <w:color w:val="auto"/>
          <w:highlight w:val="none"/>
        </w:rPr>
        <w:t>0.1变更的范围</w:t>
      </w:r>
    </w:p>
    <w:p>
      <w:pPr>
        <w:spacing w:line="360" w:lineRule="auto"/>
        <w:ind w:firstLine="420" w:firstLineChars="200"/>
        <w:jc w:val="left"/>
        <w:rPr>
          <w:rFonts w:ascii="宋体" w:hAnsi="宋体"/>
          <w:color w:val="auto"/>
          <w:highlight w:val="none"/>
        </w:rPr>
      </w:pPr>
      <w:r>
        <w:rPr>
          <w:rFonts w:ascii="宋体" w:hAnsi="宋体"/>
          <w:color w:val="auto"/>
          <w:highlight w:val="none"/>
        </w:rPr>
        <w:t>关于变更的范围的约定：</w:t>
      </w:r>
      <w:r>
        <w:rPr>
          <w:rFonts w:hint="eastAsia" w:ascii="宋体" w:hAnsi="宋体"/>
          <w:color w:val="auto"/>
          <w:highlight w:val="none"/>
          <w:u w:val="single"/>
        </w:rPr>
        <w:t>（1）在工程实施过程中，发包人发出的设计变更、签证、增减或调整工作内容及施工进度、变更材料、材质的指令等，是合同的一部分，承包人须无条件按发包人的要求实施并承担合同义务，否则视作违约。（2）发生变更、施工条件变化等，要由监理工程师、发包人、跟踪审计同时确认方为有效；由于设计变更、现场签证等引起的新的工程量清单项目或清单项目工程数量的增减，其综合单价由承包人提出，经发包人及跟踪审计单位确认后，作为竣工结算依据</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10.4 变更估价</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10.4.1 变更估价原则</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 xml:space="preserve">关于变更估价的约定: </w:t>
      </w:r>
      <w:r>
        <w:rPr>
          <w:rFonts w:hint="eastAsia" w:ascii="宋体" w:hAnsi="宋体"/>
          <w:color w:val="auto"/>
          <w:highlight w:val="none"/>
          <w:u w:val="single"/>
        </w:rPr>
        <w:t>见本合同条款第12条</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303539150"/>
      <w:bookmarkStart w:id="326" w:name="_Toc296891237"/>
      <w:bookmarkStart w:id="327" w:name="_Toc300934993"/>
      <w:bookmarkStart w:id="328" w:name="_Toc297123544"/>
      <w:bookmarkStart w:id="329" w:name="_Toc297048383"/>
      <w:bookmarkStart w:id="330" w:name="_Toc292559402"/>
      <w:bookmarkStart w:id="331" w:name="_Toc296503197"/>
      <w:bookmarkStart w:id="332" w:name="_Toc296347196"/>
      <w:bookmarkStart w:id="333" w:name="_Toc296944536"/>
      <w:bookmarkStart w:id="334" w:name="_Toc296346698"/>
      <w:bookmarkStart w:id="335" w:name="_Toc296891025"/>
      <w:bookmarkStart w:id="336" w:name="_Toc297120497"/>
      <w:bookmarkStart w:id="337" w:name="_Toc297216203"/>
      <w:bookmarkStart w:id="338" w:name="_Toc292559907"/>
      <w:bookmarkStart w:id="339" w:name="_Toc312677503"/>
      <w:bookmarkStart w:id="340" w:name="_Toc304295570"/>
      <w:bookmarkStart w:id="341" w:name="_Toc312678029"/>
      <w:r>
        <w:rPr>
          <w:rFonts w:ascii="宋体" w:hAnsi="宋体"/>
          <w:color w:val="auto"/>
          <w:highlight w:val="none"/>
        </w:rPr>
        <w:t>0.5承</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Start w:id="342" w:name="_Toc300934994"/>
      <w:bookmarkStart w:id="343" w:name="_Toc297120503"/>
      <w:bookmarkStart w:id="344" w:name="_Toc296347202"/>
      <w:bookmarkStart w:id="345" w:name="_Toc292559913"/>
      <w:bookmarkStart w:id="346" w:name="_Toc292559408"/>
      <w:bookmarkStart w:id="347" w:name="_Toc296944542"/>
      <w:bookmarkStart w:id="348" w:name="_Toc296503203"/>
      <w:bookmarkStart w:id="349" w:name="_Toc296891031"/>
      <w:bookmarkStart w:id="350" w:name="_Toc297048389"/>
      <w:bookmarkStart w:id="351" w:name="_Toc303539151"/>
      <w:bookmarkStart w:id="352" w:name="_Toc297123545"/>
      <w:bookmarkStart w:id="353" w:name="_Toc297216204"/>
      <w:bookmarkStart w:id="354" w:name="_Toc296346704"/>
      <w:bookmarkStart w:id="355" w:name="_Toc296891243"/>
      <w:r>
        <w:rPr>
          <w:rFonts w:ascii="宋体" w:hAnsi="宋体"/>
          <w:color w:val="auto"/>
          <w:highlight w:val="none"/>
        </w:rPr>
        <w:t>包人的合理化建议</w:t>
      </w:r>
    </w:p>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Pr>
        <w:spacing w:line="360" w:lineRule="auto"/>
        <w:ind w:firstLine="420" w:firstLineChars="200"/>
        <w:jc w:val="left"/>
        <w:rPr>
          <w:rFonts w:ascii="宋体" w:hAnsi="宋体"/>
          <w:color w:val="auto"/>
          <w:highlight w:val="none"/>
        </w:rPr>
      </w:pPr>
      <w:r>
        <w:rPr>
          <w:rFonts w:ascii="宋体" w:hAnsi="宋体"/>
          <w:color w:val="auto"/>
          <w:highlight w:val="none"/>
        </w:rPr>
        <w:t>监理人审查承包人合理化建议的期限：</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发包人审批承包人合理化建议的期限：</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承</w:t>
      </w:r>
      <w:bookmarkStart w:id="356" w:name="_Toc296503204"/>
      <w:bookmarkStart w:id="357" w:name="_Toc292559409"/>
      <w:bookmarkStart w:id="358" w:name="_Toc297123546"/>
      <w:bookmarkStart w:id="359" w:name="_Toc296347203"/>
      <w:bookmarkStart w:id="360" w:name="_Toc318581175"/>
      <w:bookmarkStart w:id="361" w:name="_Toc297216205"/>
      <w:bookmarkStart w:id="362" w:name="_Toc300934995"/>
      <w:bookmarkStart w:id="363" w:name="_Toc292559914"/>
      <w:bookmarkStart w:id="364" w:name="_Toc304295571"/>
      <w:bookmarkStart w:id="365" w:name="_Toc296891244"/>
      <w:bookmarkStart w:id="366" w:name="_Toc297048390"/>
      <w:bookmarkStart w:id="367" w:name="_Toc296346705"/>
      <w:bookmarkStart w:id="368" w:name="_Toc296944543"/>
      <w:bookmarkStart w:id="369" w:name="_Toc312678030"/>
      <w:bookmarkStart w:id="370" w:name="_Toc296891032"/>
      <w:bookmarkStart w:id="371" w:name="_Toc297120504"/>
      <w:bookmarkStart w:id="372" w:name="_Toc303539152"/>
      <w:bookmarkStart w:id="373" w:name="_Toc312677504"/>
      <w:r>
        <w:rPr>
          <w:rFonts w:ascii="宋体" w:hAnsi="宋体"/>
          <w:color w:val="auto"/>
          <w:highlight w:val="none"/>
        </w:rPr>
        <w:t>包人提出的合理化建议降低了合同价格或者提高了工程经济效益的奖励的方法和金额为：</w:t>
      </w:r>
      <w:r>
        <w:rPr>
          <w:rFonts w:hint="eastAsia" w:ascii="宋体" w:hAnsi="宋体"/>
          <w:color w:val="auto"/>
          <w:highlight w:val="none"/>
          <w:u w:val="single"/>
        </w:rPr>
        <w:t xml:space="preserve"> /</w:t>
      </w:r>
      <w:r>
        <w:rPr>
          <w:rFonts w:ascii="宋体" w:hAnsi="宋体"/>
          <w:color w:val="auto"/>
          <w:highlight w:val="none"/>
        </w:rPr>
        <w:t>。</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Pr>
        <w:spacing w:line="360" w:lineRule="auto"/>
        <w:ind w:firstLine="420" w:firstLineChars="200"/>
        <w:outlineLvl w:val="0"/>
        <w:rPr>
          <w:rFonts w:ascii="宋体" w:hAnsi="宋体"/>
          <w:color w:val="auto"/>
          <w:highlight w:val="none"/>
        </w:rPr>
      </w:pPr>
      <w:r>
        <w:rPr>
          <w:rFonts w:ascii="宋体" w:hAnsi="宋体"/>
          <w:color w:val="auto"/>
          <w:highlight w:val="none"/>
        </w:rPr>
        <w:t>1</w:t>
      </w:r>
      <w:bookmarkStart w:id="374" w:name="_Toc312677507"/>
      <w:bookmarkStart w:id="375" w:name="_Toc297123548"/>
      <w:bookmarkStart w:id="376" w:name="_Toc292559909"/>
      <w:bookmarkStart w:id="377" w:name="_Toc297120499"/>
      <w:bookmarkStart w:id="378" w:name="_Toc300934997"/>
      <w:bookmarkStart w:id="379" w:name="_Toc297216207"/>
      <w:bookmarkStart w:id="380" w:name="_Toc297048385"/>
      <w:bookmarkStart w:id="381" w:name="_Toc296891239"/>
      <w:bookmarkStart w:id="382" w:name="_Toc303539154"/>
      <w:bookmarkStart w:id="383" w:name="_Toc296503199"/>
      <w:bookmarkStart w:id="384" w:name="_Toc296891027"/>
      <w:bookmarkStart w:id="385" w:name="_Toc296346700"/>
      <w:bookmarkStart w:id="386" w:name="_Toc296347198"/>
      <w:bookmarkStart w:id="387" w:name="_Toc292559404"/>
      <w:bookmarkStart w:id="388" w:name="_Toc304295574"/>
      <w:bookmarkStart w:id="389" w:name="_Toc296944538"/>
      <w:bookmarkStart w:id="390" w:name="_Toc312678033"/>
      <w:r>
        <w:rPr>
          <w:rFonts w:ascii="宋体" w:hAnsi="宋体"/>
          <w:color w:val="auto"/>
          <w:highlight w:val="none"/>
        </w:rPr>
        <w:t>0.7 暂估价</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spacing w:line="360" w:lineRule="auto"/>
        <w:ind w:firstLine="420" w:firstLineChars="200"/>
        <w:jc w:val="left"/>
        <w:rPr>
          <w:rFonts w:ascii="宋体" w:hAnsi="宋体"/>
          <w:color w:val="auto"/>
          <w:highlight w:val="none"/>
        </w:rPr>
      </w:pPr>
      <w:r>
        <w:rPr>
          <w:rFonts w:ascii="宋体" w:hAnsi="宋体"/>
          <w:color w:val="auto"/>
          <w:kern w:val="0"/>
          <w:highlight w:val="none"/>
        </w:rPr>
        <w:t>暂</w:t>
      </w:r>
      <w:bookmarkStart w:id="391" w:name="_Toc318581176"/>
      <w:bookmarkStart w:id="392" w:name="_Toc312677508"/>
      <w:bookmarkStart w:id="393" w:name="_Toc312678034"/>
      <w:r>
        <w:rPr>
          <w:rFonts w:ascii="宋体" w:hAnsi="宋体"/>
          <w:color w:val="auto"/>
          <w:kern w:val="0"/>
          <w:highlight w:val="none"/>
        </w:rPr>
        <w:t>估价材料和工程设备的明细详见附件</w:t>
      </w:r>
      <w:r>
        <w:rPr>
          <w:rFonts w:hint="eastAsia" w:ascii="宋体" w:hAnsi="宋体"/>
          <w:color w:val="auto"/>
          <w:kern w:val="0"/>
          <w:highlight w:val="none"/>
        </w:rPr>
        <w:t>11：《</w:t>
      </w:r>
      <w:r>
        <w:rPr>
          <w:rFonts w:ascii="宋体" w:hAnsi="宋体"/>
          <w:color w:val="auto"/>
          <w:highlight w:val="none"/>
        </w:rPr>
        <w:t>暂估价一览表</w:t>
      </w:r>
      <w:r>
        <w:rPr>
          <w:rFonts w:hint="eastAsia" w:ascii="宋体" w:hAnsi="宋体"/>
          <w:color w:val="auto"/>
          <w:highlight w:val="none"/>
        </w:rPr>
        <w:t>》</w:t>
      </w:r>
      <w:r>
        <w:rPr>
          <w:rFonts w:hint="eastAsia" w:ascii="宋体" w:hAnsi="宋体"/>
          <w:color w:val="auto"/>
          <w:kern w:val="0"/>
          <w:highlight w:val="none"/>
        </w:rPr>
        <w:t>。</w:t>
      </w:r>
    </w:p>
    <w:bookmarkEnd w:id="391"/>
    <w:bookmarkEnd w:id="392"/>
    <w:bookmarkEnd w:id="393"/>
    <w:p>
      <w:pPr>
        <w:spacing w:line="360" w:lineRule="auto"/>
        <w:ind w:firstLine="420" w:firstLineChars="200"/>
        <w:jc w:val="left"/>
        <w:rPr>
          <w:rFonts w:ascii="宋体" w:hAnsi="宋体"/>
          <w:color w:val="auto"/>
          <w:highlight w:val="none"/>
        </w:rPr>
      </w:pPr>
      <w:r>
        <w:rPr>
          <w:rFonts w:ascii="宋体" w:hAnsi="宋体"/>
          <w:color w:val="auto"/>
          <w:highlight w:val="none"/>
        </w:rPr>
        <w:t>1</w:t>
      </w:r>
      <w:bookmarkStart w:id="394" w:name="_Toc318581177"/>
      <w:bookmarkStart w:id="395" w:name="_Toc312677509"/>
      <w:bookmarkStart w:id="396" w:name="_Toc312678035"/>
      <w:r>
        <w:rPr>
          <w:rFonts w:ascii="宋体" w:hAnsi="宋体"/>
          <w:color w:val="auto"/>
          <w:highlight w:val="none"/>
        </w:rPr>
        <w:t>0.7.1 依法必须招标的暂估价项目</w:t>
      </w:r>
    </w:p>
    <w:bookmarkEnd w:id="394"/>
    <w:bookmarkEnd w:id="395"/>
    <w:bookmarkEnd w:id="396"/>
    <w:p>
      <w:pPr>
        <w:spacing w:line="360" w:lineRule="auto"/>
        <w:ind w:firstLine="420" w:firstLineChars="200"/>
        <w:jc w:val="left"/>
        <w:rPr>
          <w:rFonts w:ascii="宋体" w:hAnsi="宋体"/>
          <w:color w:val="auto"/>
          <w:highlight w:val="none"/>
        </w:rPr>
      </w:pPr>
      <w:r>
        <w:rPr>
          <w:rFonts w:ascii="宋体" w:hAnsi="宋体"/>
          <w:color w:val="auto"/>
          <w:highlight w:val="none"/>
        </w:rPr>
        <w:t>对于依法必须招标的暂估价项目的确认和批准采取第</w:t>
      </w:r>
      <w:r>
        <w:rPr>
          <w:rFonts w:hint="eastAsia" w:ascii="宋体" w:hAnsi="宋体"/>
          <w:color w:val="auto"/>
          <w:highlight w:val="none"/>
          <w:u w:val="single"/>
        </w:rPr>
        <w:t>2</w:t>
      </w:r>
      <w:r>
        <w:rPr>
          <w:rFonts w:ascii="宋体" w:hAnsi="宋体"/>
          <w:color w:val="auto"/>
          <w:highlight w:val="none"/>
        </w:rPr>
        <w:t>种方式确定。</w:t>
      </w:r>
    </w:p>
    <w:p>
      <w:pPr>
        <w:spacing w:line="360" w:lineRule="auto"/>
        <w:ind w:firstLine="420" w:firstLineChars="200"/>
        <w:jc w:val="left"/>
        <w:rPr>
          <w:rFonts w:ascii="宋体" w:hAnsi="宋体"/>
          <w:color w:val="auto"/>
          <w:highlight w:val="none"/>
        </w:rPr>
      </w:pPr>
      <w:r>
        <w:rPr>
          <w:rFonts w:ascii="宋体" w:hAnsi="宋体"/>
          <w:color w:val="auto"/>
          <w:highlight w:val="none"/>
        </w:rPr>
        <w:t>10.7.2 不属于依法必须招标的暂估价项目</w:t>
      </w:r>
    </w:p>
    <w:p>
      <w:pPr>
        <w:spacing w:line="360" w:lineRule="auto"/>
        <w:ind w:firstLine="420" w:firstLineChars="200"/>
        <w:jc w:val="left"/>
        <w:rPr>
          <w:rFonts w:ascii="宋体" w:hAnsi="宋体"/>
          <w:color w:val="auto"/>
          <w:highlight w:val="none"/>
        </w:rPr>
      </w:pPr>
      <w:r>
        <w:rPr>
          <w:rFonts w:ascii="宋体" w:hAnsi="宋体"/>
          <w:color w:val="auto"/>
          <w:highlight w:val="none"/>
        </w:rPr>
        <w:t>对于不属于依法必须招标的暂估价项目的确认和批准采取第</w:t>
      </w:r>
      <w:r>
        <w:rPr>
          <w:rFonts w:hint="eastAsia" w:ascii="宋体" w:hAnsi="宋体"/>
          <w:color w:val="auto"/>
          <w:highlight w:val="none"/>
          <w:u w:val="single"/>
        </w:rPr>
        <w:t>1</w:t>
      </w:r>
      <w:r>
        <w:rPr>
          <w:rFonts w:ascii="宋体" w:hAnsi="宋体"/>
          <w:color w:val="auto"/>
          <w:highlight w:val="none"/>
        </w:rPr>
        <w:t xml:space="preserve"> 种方式确定。</w:t>
      </w:r>
    </w:p>
    <w:p>
      <w:pPr>
        <w:spacing w:line="360" w:lineRule="auto"/>
        <w:ind w:firstLine="420" w:firstLineChars="200"/>
        <w:jc w:val="left"/>
        <w:rPr>
          <w:rFonts w:ascii="宋体" w:hAnsi="宋体"/>
          <w:color w:val="auto"/>
          <w:kern w:val="0"/>
          <w:highlight w:val="none"/>
        </w:rPr>
      </w:pPr>
      <w:r>
        <w:rPr>
          <w:rFonts w:ascii="宋体" w:hAnsi="宋体"/>
          <w:color w:val="auto"/>
          <w:highlight w:val="none"/>
        </w:rPr>
        <w:t>第3种方式：</w:t>
      </w:r>
      <w:r>
        <w:rPr>
          <w:rFonts w:ascii="宋体" w:hAnsi="宋体"/>
          <w:color w:val="auto"/>
          <w:kern w:val="0"/>
          <w:highlight w:val="none"/>
        </w:rPr>
        <w:t>承包人直接实施的暂估价项目</w:t>
      </w:r>
    </w:p>
    <w:p>
      <w:pPr>
        <w:spacing w:line="360" w:lineRule="auto"/>
        <w:ind w:firstLine="420" w:firstLineChars="200"/>
        <w:jc w:val="left"/>
        <w:rPr>
          <w:rFonts w:ascii="宋体" w:hAnsi="宋体"/>
          <w:color w:val="auto"/>
          <w:highlight w:val="none"/>
        </w:rPr>
      </w:pPr>
      <w:r>
        <w:rPr>
          <w:rFonts w:ascii="宋体" w:hAnsi="宋体"/>
          <w:color w:val="auto"/>
          <w:highlight w:val="none"/>
        </w:rPr>
        <w:t>承包人直接实施的暂估价项目的约定：</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10.8 暂列金额</w:t>
      </w:r>
    </w:p>
    <w:p>
      <w:pPr>
        <w:autoSpaceDE w:val="0"/>
        <w:autoSpaceDN w:val="0"/>
        <w:adjustRightInd w:val="0"/>
        <w:spacing w:line="360" w:lineRule="auto"/>
        <w:ind w:firstLine="420" w:firstLineChars="200"/>
        <w:jc w:val="left"/>
        <w:rPr>
          <w:rFonts w:ascii="宋体" w:hAnsi="宋体"/>
          <w:color w:val="auto"/>
          <w:kern w:val="0"/>
          <w:highlight w:val="none"/>
        </w:rPr>
      </w:pPr>
      <w:r>
        <w:rPr>
          <w:rFonts w:hint="eastAsia" w:ascii="宋体" w:hAnsi="宋体"/>
          <w:color w:val="auto"/>
          <w:kern w:val="0"/>
          <w:highlight w:val="none"/>
        </w:rPr>
        <w:t>合同当事人关于暂列金额使用的约定：</w:t>
      </w:r>
      <w:r>
        <w:rPr>
          <w:rFonts w:hint="eastAsia" w:ascii="宋体" w:hAnsi="宋体"/>
          <w:color w:val="auto"/>
          <w:highlight w:val="none"/>
          <w:u w:val="single"/>
        </w:rPr>
        <w:t xml:space="preserve">经发包人同意        </w:t>
      </w:r>
      <w:r>
        <w:rPr>
          <w:rFonts w:hint="eastAsia" w:ascii="宋体" w:hAnsi="宋体"/>
          <w:color w:val="auto"/>
          <w:kern w:val="0"/>
          <w:highlight w:val="none"/>
        </w:rPr>
        <w:t>。</w:t>
      </w:r>
    </w:p>
    <w:p>
      <w:pPr>
        <w:keepNext/>
        <w:keepLines/>
        <w:tabs>
          <w:tab w:val="left" w:pos="1080"/>
        </w:tabs>
        <w:spacing w:line="360" w:lineRule="auto"/>
        <w:outlineLvl w:val="3"/>
        <w:rPr>
          <w:rFonts w:ascii="宋体" w:hAnsi="宋体"/>
          <w:bCs/>
          <w:color w:val="auto"/>
          <w:highlight w:val="none"/>
        </w:rPr>
      </w:pPr>
      <w:bookmarkStart w:id="397" w:name="_Toc351203643"/>
      <w:r>
        <w:rPr>
          <w:rFonts w:ascii="宋体" w:hAnsi="宋体"/>
          <w:bCs/>
          <w:color w:val="auto"/>
          <w:highlight w:val="none"/>
        </w:rPr>
        <w:t>11. 价格调整</w:t>
      </w:r>
      <w:bookmarkEnd w:id="397"/>
    </w:p>
    <w:p>
      <w:pPr>
        <w:spacing w:line="360" w:lineRule="auto"/>
        <w:ind w:firstLine="420" w:firstLineChars="200"/>
        <w:rPr>
          <w:rFonts w:ascii="宋体" w:hAnsi="宋体"/>
          <w:color w:val="auto"/>
          <w:highlight w:val="none"/>
        </w:rPr>
      </w:pPr>
      <w:bookmarkStart w:id="398" w:name="_Toc296347200"/>
      <w:bookmarkStart w:id="399" w:name="_Toc303539157"/>
      <w:bookmarkStart w:id="400" w:name="_Toc296503201"/>
      <w:bookmarkStart w:id="401" w:name="_Toc304295577"/>
      <w:bookmarkStart w:id="402" w:name="_Toc296891241"/>
      <w:bookmarkStart w:id="403" w:name="_Toc296346702"/>
      <w:bookmarkStart w:id="404" w:name="_Toc300935000"/>
      <w:bookmarkStart w:id="405" w:name="_Toc297123550"/>
      <w:bookmarkStart w:id="406" w:name="_Toc297048387"/>
      <w:bookmarkStart w:id="407" w:name="_Toc292559911"/>
      <w:bookmarkStart w:id="408" w:name="_Toc296944540"/>
      <w:bookmarkStart w:id="409" w:name="_Toc312678039"/>
      <w:bookmarkStart w:id="410" w:name="_Toc296891029"/>
      <w:bookmarkStart w:id="411" w:name="_Toc297216209"/>
      <w:bookmarkStart w:id="412" w:name="_Toc292559406"/>
      <w:bookmarkStart w:id="413" w:name="_Toc297120501"/>
      <w:r>
        <w:rPr>
          <w:rFonts w:ascii="宋体" w:hAnsi="宋体"/>
          <w:color w:val="auto"/>
          <w:highlight w:val="none"/>
        </w:rPr>
        <w:t>11.1 市场价格波动引起的调整</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Pr>
        <w:spacing w:line="360" w:lineRule="auto"/>
        <w:ind w:firstLine="420" w:firstLineChars="200"/>
        <w:jc w:val="left"/>
        <w:rPr>
          <w:rFonts w:hint="eastAsia" w:ascii="宋体" w:hAnsi="宋体"/>
          <w:color w:val="auto"/>
          <w:kern w:val="0"/>
          <w:highlight w:val="none"/>
        </w:rPr>
      </w:pPr>
      <w:r>
        <w:rPr>
          <w:rFonts w:ascii="宋体" w:hAnsi="宋体"/>
          <w:color w:val="auto"/>
          <w:kern w:val="0"/>
          <w:highlight w:val="none"/>
        </w:rPr>
        <w:t>市场价格波动是否调整合同价格的约定：</w:t>
      </w:r>
      <w:r>
        <w:rPr>
          <w:rFonts w:hint="eastAsia" w:ascii="宋体" w:hAnsi="宋体"/>
          <w:color w:val="auto"/>
          <w:kern w:val="0"/>
          <w:highlight w:val="none"/>
        </w:rPr>
        <w:t>a.主要工程材料、人工价格与预算编制基期价相比，波动幅度超过合同约定幅度的部分；具体调整方法如下：</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①人工费调整：按《江苏省住房和城乡建设厅关于对建设工程人工工资单价实行动态管理的通知》（苏建价〔2012〕号），对建设工程人工工资单价实行动态管理，根据预算基准期的人工价格与施工期内各期指导价的差额计算。</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②材料、设备价格调整：当工程施工期间非主要建筑材料价格上涨或下降的，其差价均由承包人承担或收益，不作调整；当工程施工期间第一类主要建筑材料价格上涨或下降幅度在 10%以内的，其差价由承包人承担或受益，超过10%的部分由发包人承担或受益；当工程施工期间第二类主要建筑材料价格上涨或下降幅度在5%以内的，其差价由承包人承担或受益，超过5%的部分由发包人承担或受益。其中，</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第一类主要建筑材料包含的材料范围为：商品砼、沥青砼、砌块、水泥、电缆桥架。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第二类主要建筑材料包含的材料范围为：钢材、沥青、电线、电缆。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除第一类和第二类主要建筑材料外的其他材料等不在上述调价范围内。主要建筑材料差价的取定：应以工程所在地造价管理部门发布的材料指导价格为基准（无指导价的材料以发承包双方确认的价格为准），差价为施工期同类材料加权平均指导价格与预算基准期（递交投标文件截止日期前28天）的材料指导价格的差额。</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施工期材料加权平均指导价按下列公式计算：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施工期材料加权平均指导价=Σ（每月实际使用量×当月材料指导价）/同类材料总用量；</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因承包人原因造成工期延误的，延误期间发生的人工、材料价格上涨差额由承包人承担，材料价格下降差额由发包人收益。</w:t>
      </w:r>
    </w:p>
    <w:p>
      <w:pPr>
        <w:spacing w:line="360" w:lineRule="auto"/>
        <w:ind w:firstLine="420" w:firstLineChars="200"/>
        <w:jc w:val="left"/>
        <w:rPr>
          <w:rFonts w:ascii="宋体" w:hAnsi="宋体"/>
          <w:color w:val="auto"/>
          <w:highlight w:val="none"/>
        </w:rPr>
      </w:pPr>
      <w:r>
        <w:rPr>
          <w:rFonts w:ascii="宋体" w:hAnsi="宋体"/>
          <w:color w:val="auto"/>
          <w:highlight w:val="none"/>
        </w:rPr>
        <w:t>因市场价格波动调整合同价格，采用以下第</w:t>
      </w:r>
      <w:r>
        <w:rPr>
          <w:rFonts w:hint="eastAsia" w:ascii="宋体" w:hAnsi="宋体"/>
          <w:color w:val="auto"/>
          <w:highlight w:val="none"/>
          <w:u w:val="single"/>
        </w:rPr>
        <w:t>/</w:t>
      </w:r>
      <w:r>
        <w:rPr>
          <w:rFonts w:ascii="宋体" w:hAnsi="宋体"/>
          <w:color w:val="auto"/>
          <w:highlight w:val="none"/>
        </w:rPr>
        <w:t>种方式对合同价格进行调整：</w:t>
      </w:r>
    </w:p>
    <w:p>
      <w:pPr>
        <w:spacing w:line="360" w:lineRule="auto"/>
        <w:ind w:firstLine="420" w:firstLineChars="200"/>
        <w:jc w:val="left"/>
        <w:rPr>
          <w:rFonts w:ascii="宋体" w:hAnsi="宋体"/>
          <w:color w:val="auto"/>
          <w:highlight w:val="none"/>
        </w:rPr>
      </w:pPr>
      <w:r>
        <w:rPr>
          <w:rFonts w:ascii="宋体" w:hAnsi="宋体"/>
          <w:color w:val="auto"/>
          <w:highlight w:val="none"/>
        </w:rPr>
        <w:t>第1种方式：采用价格指数</w:t>
      </w:r>
      <w:r>
        <w:rPr>
          <w:rFonts w:hint="eastAsia" w:ascii="宋体" w:hAnsi="宋体"/>
          <w:color w:val="auto"/>
          <w:highlight w:val="none"/>
        </w:rPr>
        <w:t>进行价格</w:t>
      </w:r>
      <w:r>
        <w:rPr>
          <w:rFonts w:ascii="宋体" w:hAnsi="宋体"/>
          <w:color w:val="auto"/>
          <w:highlight w:val="none"/>
        </w:rPr>
        <w:t>调整。</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 xml:space="preserve">关于各可调因子、定值和变值权重，以及基本价格指数及其来源的约定：；  </w:t>
      </w:r>
    </w:p>
    <w:p>
      <w:pPr>
        <w:spacing w:line="360" w:lineRule="auto"/>
        <w:ind w:firstLine="420" w:firstLineChars="200"/>
        <w:jc w:val="left"/>
        <w:rPr>
          <w:rFonts w:ascii="宋体" w:hAnsi="宋体"/>
          <w:color w:val="auto"/>
          <w:highlight w:val="none"/>
        </w:rPr>
      </w:pPr>
      <w:r>
        <w:rPr>
          <w:rFonts w:ascii="宋体" w:hAnsi="宋体"/>
          <w:color w:val="auto"/>
          <w:highlight w:val="none"/>
        </w:rPr>
        <w:t>第2种方式：采用造价信息</w:t>
      </w:r>
      <w:r>
        <w:rPr>
          <w:rFonts w:hint="eastAsia" w:ascii="宋体" w:hAnsi="宋体"/>
          <w:color w:val="auto"/>
          <w:highlight w:val="none"/>
        </w:rPr>
        <w:t>进行价格</w:t>
      </w:r>
      <w:r>
        <w:rPr>
          <w:rFonts w:ascii="宋体" w:hAnsi="宋体"/>
          <w:color w:val="auto"/>
          <w:highlight w:val="none"/>
        </w:rPr>
        <w:t>调整。</w:t>
      </w:r>
    </w:p>
    <w:p>
      <w:pPr>
        <w:spacing w:line="360" w:lineRule="auto"/>
        <w:ind w:firstLine="420" w:firstLineChars="200"/>
        <w:jc w:val="left"/>
        <w:rPr>
          <w:rFonts w:ascii="宋体" w:hAnsi="宋体"/>
          <w:color w:val="auto"/>
          <w:highlight w:val="none"/>
        </w:rPr>
      </w:pPr>
      <w:r>
        <w:rPr>
          <w:rFonts w:ascii="宋体" w:hAnsi="宋体"/>
          <w:color w:val="auto"/>
          <w:highlight w:val="none"/>
        </w:rPr>
        <w:t>（2）关于基准价格的约定：。</w:t>
      </w:r>
    </w:p>
    <w:p>
      <w:pPr>
        <w:spacing w:line="360" w:lineRule="auto"/>
        <w:ind w:firstLine="420" w:firstLineChars="200"/>
        <w:jc w:val="left"/>
        <w:rPr>
          <w:rFonts w:ascii="宋体" w:hAnsi="宋体"/>
          <w:color w:val="auto"/>
          <w:highlight w:val="none"/>
        </w:rPr>
      </w:pPr>
      <w:r>
        <w:rPr>
          <w:rFonts w:ascii="宋体" w:hAnsi="宋体"/>
          <w:color w:val="auto"/>
          <w:highlight w:val="none"/>
        </w:rPr>
        <w:t>专用合同条款</w:t>
      </w:r>
      <w:r>
        <w:rPr>
          <w:rFonts w:hint="eastAsia" w:ascii="宋体" w:hAnsi="宋体" w:cs="宋体"/>
          <w:color w:val="auto"/>
          <w:highlight w:val="none"/>
        </w:rPr>
        <w:t>①</w:t>
      </w:r>
      <w:r>
        <w:rPr>
          <w:rFonts w:ascii="宋体" w:hAnsi="宋体"/>
          <w:color w:val="auto"/>
          <w:highlight w:val="none"/>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60" w:lineRule="auto"/>
        <w:ind w:firstLine="420" w:firstLineChars="200"/>
        <w:jc w:val="left"/>
        <w:rPr>
          <w:rFonts w:ascii="宋体" w:hAnsi="宋体"/>
          <w:color w:val="auto"/>
          <w:highlight w:val="none"/>
        </w:rPr>
      </w:pPr>
      <w:r>
        <w:rPr>
          <w:rFonts w:hint="eastAsia" w:ascii="宋体" w:hAnsi="宋体" w:cs="宋体"/>
          <w:color w:val="auto"/>
          <w:highlight w:val="none"/>
        </w:rPr>
        <w:t>②</w:t>
      </w:r>
      <w:r>
        <w:rPr>
          <w:rFonts w:ascii="宋体" w:hAnsi="宋体"/>
          <w:color w:val="auto"/>
          <w:highlight w:val="none"/>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60" w:lineRule="auto"/>
        <w:ind w:firstLine="420" w:firstLineChars="200"/>
        <w:jc w:val="left"/>
        <w:rPr>
          <w:rFonts w:ascii="宋体" w:hAnsi="宋体"/>
          <w:color w:val="auto"/>
          <w:highlight w:val="none"/>
        </w:rPr>
      </w:pPr>
      <w:r>
        <w:rPr>
          <w:rFonts w:hint="eastAsia" w:ascii="宋体" w:hAnsi="宋体" w:cs="宋体"/>
          <w:color w:val="auto"/>
          <w:highlight w:val="none"/>
        </w:rPr>
        <w:t>③</w:t>
      </w:r>
      <w:r>
        <w:rPr>
          <w:rFonts w:ascii="宋体" w:hAnsi="宋体"/>
          <w:color w:val="auto"/>
          <w:highlight w:val="none"/>
        </w:rPr>
        <w:t>承包人在已标价工程量清单或预算书中载明的材料单价等于基准单价的：专用合同条款合同履行期间材料单价涨跌幅以基准单价为基础超过±%时，其超过部分据实调整。</w:t>
      </w:r>
    </w:p>
    <w:p>
      <w:pPr>
        <w:spacing w:line="360" w:lineRule="auto"/>
        <w:ind w:firstLine="420" w:firstLineChars="200"/>
        <w:jc w:val="left"/>
        <w:rPr>
          <w:rFonts w:ascii="宋体" w:hAnsi="宋体"/>
          <w:color w:val="auto"/>
          <w:highlight w:val="none"/>
        </w:rPr>
      </w:pPr>
      <w:r>
        <w:rPr>
          <w:rFonts w:ascii="宋体" w:hAnsi="宋体"/>
          <w:color w:val="auto"/>
          <w:highlight w:val="none"/>
        </w:rPr>
        <w:t>第3种方式：其他价格调整方式：</w:t>
      </w:r>
      <w:r>
        <w:rPr>
          <w:rFonts w:hint="eastAsia" w:ascii="宋体" w:hAnsi="宋体"/>
          <w:color w:val="auto"/>
          <w:highlight w:val="none"/>
          <w:u w:val="single"/>
        </w:rPr>
        <w:t xml:space="preserve">/         </w:t>
      </w:r>
      <w:r>
        <w:rPr>
          <w:rFonts w:ascii="宋体" w:hAnsi="宋体"/>
          <w:color w:val="auto"/>
          <w:highlight w:val="none"/>
        </w:rPr>
        <w:t>。</w:t>
      </w:r>
    </w:p>
    <w:bookmarkEnd w:id="301"/>
    <w:bookmarkEnd w:id="302"/>
    <w:bookmarkEnd w:id="303"/>
    <w:bookmarkEnd w:id="304"/>
    <w:bookmarkEnd w:id="305"/>
    <w:bookmarkEnd w:id="306"/>
    <w:p>
      <w:pPr>
        <w:keepNext/>
        <w:keepLines/>
        <w:tabs>
          <w:tab w:val="left" w:pos="1080"/>
        </w:tabs>
        <w:spacing w:line="360" w:lineRule="auto"/>
        <w:outlineLvl w:val="3"/>
        <w:rPr>
          <w:rFonts w:ascii="宋体" w:hAnsi="宋体"/>
          <w:bCs/>
          <w:color w:val="auto"/>
          <w:highlight w:val="none"/>
        </w:rPr>
      </w:pPr>
      <w:bookmarkStart w:id="414" w:name="_Toc292559915"/>
      <w:bookmarkStart w:id="415" w:name="_Toc296347204"/>
      <w:bookmarkStart w:id="416" w:name="_Toc296891033"/>
      <w:bookmarkStart w:id="417" w:name="_Toc292559410"/>
      <w:bookmarkStart w:id="418" w:name="_Toc297120505"/>
      <w:bookmarkStart w:id="419" w:name="_Toc296944544"/>
      <w:bookmarkStart w:id="420" w:name="_Toc297048391"/>
      <w:bookmarkStart w:id="421" w:name="_Toc296346706"/>
      <w:bookmarkStart w:id="422" w:name="_Toc296891245"/>
      <w:bookmarkStart w:id="423" w:name="_Toc296503205"/>
      <w:bookmarkStart w:id="424" w:name="_Toc351203644"/>
      <w:bookmarkStart w:id="425" w:name="_Toc300935002"/>
      <w:bookmarkStart w:id="426" w:name="_Toc312678040"/>
      <w:bookmarkStart w:id="427" w:name="_Toc303539159"/>
      <w:bookmarkStart w:id="428" w:name="_Toc304295579"/>
      <w:bookmarkStart w:id="429" w:name="_Toc297216211"/>
      <w:bookmarkStart w:id="430" w:name="_Toc297123552"/>
      <w:r>
        <w:rPr>
          <w:rFonts w:ascii="宋体" w:hAnsi="宋体"/>
          <w:bCs/>
          <w:color w:val="auto"/>
          <w:highlight w:val="none"/>
        </w:rPr>
        <w:t xml:space="preserve">12. </w:t>
      </w:r>
      <w:bookmarkEnd w:id="414"/>
      <w:bookmarkEnd w:id="415"/>
      <w:bookmarkEnd w:id="416"/>
      <w:bookmarkEnd w:id="417"/>
      <w:bookmarkEnd w:id="418"/>
      <w:bookmarkEnd w:id="419"/>
      <w:bookmarkEnd w:id="420"/>
      <w:bookmarkEnd w:id="421"/>
      <w:bookmarkEnd w:id="422"/>
      <w:bookmarkEnd w:id="423"/>
      <w:r>
        <w:rPr>
          <w:rFonts w:ascii="宋体" w:hAnsi="宋体"/>
          <w:bCs/>
          <w:color w:val="auto"/>
          <w:highlight w:val="none"/>
        </w:rPr>
        <w:t>合同价格、计量与支付</w:t>
      </w:r>
      <w:bookmarkEnd w:id="424"/>
    </w:p>
    <w:bookmarkEnd w:id="425"/>
    <w:bookmarkEnd w:id="426"/>
    <w:bookmarkEnd w:id="427"/>
    <w:bookmarkEnd w:id="428"/>
    <w:bookmarkEnd w:id="429"/>
    <w:bookmarkEnd w:id="430"/>
    <w:p>
      <w:pPr>
        <w:spacing w:line="360" w:lineRule="auto"/>
        <w:ind w:firstLine="420" w:firstLineChars="200"/>
        <w:rPr>
          <w:rFonts w:ascii="宋体" w:hAnsi="宋体"/>
          <w:color w:val="auto"/>
          <w:highlight w:val="none"/>
        </w:rPr>
      </w:pPr>
      <w:bookmarkStart w:id="431" w:name="_Toc292559916"/>
      <w:bookmarkStart w:id="432" w:name="_Toc267251461"/>
      <w:bookmarkStart w:id="433" w:name="_Toc292559411"/>
      <w:bookmarkStart w:id="434" w:name="_Toc297120506"/>
      <w:bookmarkStart w:id="435" w:name="_Toc296891246"/>
      <w:bookmarkStart w:id="436" w:name="_Toc297048392"/>
      <w:bookmarkStart w:id="437" w:name="_Toc296503206"/>
      <w:bookmarkStart w:id="438" w:name="_Toc296346707"/>
      <w:bookmarkStart w:id="439" w:name="_Toc296944545"/>
      <w:bookmarkStart w:id="440" w:name="_Toc296891034"/>
      <w:bookmarkStart w:id="441" w:name="_Toc296347205"/>
      <w:bookmarkStart w:id="442" w:name="_Toc303539160"/>
      <w:bookmarkStart w:id="443" w:name="_Toc304295580"/>
      <w:bookmarkStart w:id="444" w:name="_Toc300935003"/>
      <w:bookmarkStart w:id="445" w:name="_Toc312678041"/>
      <w:bookmarkStart w:id="446" w:name="_Toc297123553"/>
      <w:bookmarkStart w:id="447" w:name="_Toc297216212"/>
      <w:r>
        <w:rPr>
          <w:rFonts w:ascii="宋体" w:hAnsi="宋体"/>
          <w:color w:val="auto"/>
          <w:highlight w:val="none"/>
        </w:rPr>
        <w:t>12.1 合</w:t>
      </w:r>
      <w:bookmarkEnd w:id="431"/>
      <w:bookmarkEnd w:id="432"/>
      <w:bookmarkEnd w:id="433"/>
      <w:r>
        <w:rPr>
          <w:rFonts w:ascii="宋体" w:hAnsi="宋体"/>
          <w:color w:val="auto"/>
          <w:highlight w:val="none"/>
        </w:rPr>
        <w:t>同价</w:t>
      </w:r>
      <w:bookmarkEnd w:id="434"/>
      <w:bookmarkEnd w:id="435"/>
      <w:bookmarkEnd w:id="436"/>
      <w:bookmarkEnd w:id="437"/>
      <w:bookmarkEnd w:id="438"/>
      <w:bookmarkEnd w:id="439"/>
      <w:bookmarkEnd w:id="440"/>
      <w:bookmarkEnd w:id="441"/>
      <w:r>
        <w:rPr>
          <w:rFonts w:ascii="宋体" w:hAnsi="宋体"/>
          <w:color w:val="auto"/>
          <w:highlight w:val="none"/>
        </w:rPr>
        <w:t>格形式</w:t>
      </w:r>
    </w:p>
    <w:bookmarkEnd w:id="442"/>
    <w:bookmarkEnd w:id="443"/>
    <w:bookmarkEnd w:id="444"/>
    <w:bookmarkEnd w:id="445"/>
    <w:bookmarkEnd w:id="446"/>
    <w:bookmarkEnd w:id="447"/>
    <w:p>
      <w:pPr>
        <w:spacing w:line="360" w:lineRule="auto"/>
        <w:ind w:firstLine="420" w:firstLineChars="200"/>
        <w:jc w:val="left"/>
        <w:rPr>
          <w:color w:val="auto"/>
          <w:highlight w:val="none"/>
        </w:rPr>
      </w:pPr>
      <w:r>
        <w:rPr>
          <w:rFonts w:ascii="宋体" w:hAnsi="宋体"/>
          <w:color w:val="auto"/>
          <w:highlight w:val="none"/>
        </w:rPr>
        <w:t>1、单价合同</w:t>
      </w:r>
    </w:p>
    <w:p>
      <w:pPr>
        <w:spacing w:line="360" w:lineRule="auto"/>
        <w:ind w:firstLine="420" w:firstLineChars="200"/>
        <w:jc w:val="lef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标内总价在投标报价的清单价格基础上的审定价后让利，让利系数为【1-（磋商最终报价-暂列金额-暂估价）/（投标文件报价-暂列金额-暂估价）*100%】</w:t>
      </w:r>
    </w:p>
    <w:p>
      <w:pPr>
        <w:snapToGrid w:val="0"/>
        <w:spacing w:line="440" w:lineRule="exact"/>
        <w:ind w:firstLine="420" w:firstLineChars="200"/>
        <w:rPr>
          <w:rFonts w:cs="宋体" w:asciiTheme="minorEastAsia" w:hAnsiTheme="minorEastAsia" w:eastAsiaTheme="minorEastAsia"/>
          <w:color w:val="auto"/>
          <w:highlight w:val="none"/>
          <w:u w:val="single"/>
        </w:rPr>
      </w:pPr>
      <w:r>
        <w:rPr>
          <w:rFonts w:hint="eastAsia" w:cs="宋体" w:asciiTheme="minorEastAsia" w:hAnsiTheme="minorEastAsia" w:eastAsiaTheme="minorEastAsia"/>
          <w:color w:val="auto"/>
          <w:highlight w:val="none"/>
        </w:rPr>
        <w:t>综合单价包含的风险范围：</w:t>
      </w:r>
      <w:bookmarkStart w:id="448" w:name="EB826c24c469b74454bb02a23818bb6713"/>
      <w:r>
        <w:rPr>
          <w:rFonts w:hint="eastAsia" w:cs="宋体" w:asciiTheme="minorEastAsia" w:hAnsiTheme="minorEastAsia" w:eastAsiaTheme="minorEastAsia"/>
          <w:color w:val="auto"/>
          <w:highlight w:val="none"/>
          <w:u w:val="single"/>
        </w:rPr>
        <w:t>投标报价日期与实际开工日期之间以及工程建设周期内市场价格的波动风险等因素。</w:t>
      </w:r>
      <w:bookmarkEnd w:id="448"/>
    </w:p>
    <w:p>
      <w:pPr>
        <w:spacing w:line="360" w:lineRule="auto"/>
        <w:ind w:firstLine="420" w:firstLineChars="200"/>
        <w:jc w:val="left"/>
        <w:rPr>
          <w:rFonts w:asciiTheme="minorEastAsia" w:hAnsiTheme="minorEastAsia" w:eastAsiaTheme="minorEastAsia"/>
          <w:color w:val="auto"/>
          <w:highlight w:val="none"/>
        </w:rPr>
      </w:pPr>
      <w:r>
        <w:rPr>
          <w:rFonts w:asciiTheme="minorEastAsia" w:hAnsiTheme="minorEastAsia" w:eastAsiaTheme="minorEastAsia"/>
          <w:color w:val="auto"/>
          <w:highlight w:val="none"/>
        </w:rPr>
        <w:t>风险费用的计算方法：</w:t>
      </w:r>
      <w:r>
        <w:rPr>
          <w:rFonts w:hint="eastAsia" w:asciiTheme="minorEastAsia" w:hAnsiTheme="minorEastAsia" w:eastAsiaTheme="minorEastAsia"/>
          <w:color w:val="auto"/>
          <w:highlight w:val="none"/>
          <w:u w:val="single"/>
        </w:rPr>
        <w:t>风险范围以外合同价格的调整方法中的（1）(2)(3)条执行</w:t>
      </w:r>
      <w:r>
        <w:rPr>
          <w:rFonts w:asciiTheme="minorEastAsia" w:hAnsiTheme="minorEastAsia" w:eastAsiaTheme="minorEastAsia"/>
          <w:color w:val="auto"/>
          <w:highlight w:val="none"/>
        </w:rPr>
        <w:t>。</w:t>
      </w:r>
    </w:p>
    <w:p>
      <w:pPr>
        <w:snapToGrid w:val="0"/>
        <w:spacing w:line="440" w:lineRule="exact"/>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风险范围以外合同价格的调整方法：</w:t>
      </w:r>
    </w:p>
    <w:p>
      <w:pPr>
        <w:snapToGrid w:val="0"/>
        <w:spacing w:line="440" w:lineRule="exact"/>
        <w:ind w:firstLine="420" w:firstLineChars="200"/>
        <w:rPr>
          <w:rFonts w:asciiTheme="minorEastAsia" w:hAnsiTheme="minorEastAsia" w:eastAsiaTheme="minorEastAsia"/>
          <w:color w:val="auto"/>
          <w:szCs w:val="21"/>
          <w:highlight w:val="none"/>
          <w:u w:val="single"/>
        </w:rPr>
      </w:pPr>
      <w:r>
        <w:rPr>
          <w:rFonts w:hint="eastAsia" w:cs="仿宋" w:asciiTheme="minorEastAsia" w:hAnsiTheme="minorEastAsia" w:eastAsiaTheme="minorEastAsia"/>
          <w:color w:val="auto"/>
          <w:szCs w:val="21"/>
          <w:highlight w:val="none"/>
          <w:u w:val="single"/>
        </w:rPr>
        <w:t>（1）</w:t>
      </w:r>
      <w:r>
        <w:rPr>
          <w:rFonts w:hint="eastAsia" w:asciiTheme="minorEastAsia" w:hAnsiTheme="minorEastAsia" w:eastAsiaTheme="minorEastAsia"/>
          <w:color w:val="auto"/>
          <w:szCs w:val="21"/>
          <w:highlight w:val="none"/>
          <w:u w:val="single"/>
        </w:rPr>
        <w:t>投标报价时的综合单价和措施项目费均不变，工程数量按实调整</w:t>
      </w:r>
    </w:p>
    <w:p>
      <w:pPr>
        <w:spacing w:line="360" w:lineRule="auto"/>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2）施工期间如有变更情况，而工程量清单中未包含变更工程的综合单价、工程量清单漏项、发包人指令或经发包人同意的设计变更引起新的工程量项目，其相应综合单价由承包人按以下规定提出，经发包人确认后作为结算依据：①已定规格、型号、厂家、品牌的材料如材料品种发生更换的，则只调整材料价差，其他不变。②因设计变更、施工条件引起变更或减少工程，报价中有投标价的按投标报价中的综合单价执行；无投标价时，按下列方式确定综合单价：材料价格按无锡市造价部门公布的</w:t>
      </w:r>
      <w:r>
        <w:rPr>
          <w:rFonts w:hint="eastAsia" w:asciiTheme="minorEastAsia" w:hAnsiTheme="minorEastAsia" w:eastAsiaTheme="minorEastAsia"/>
          <w:color w:val="auto"/>
          <w:szCs w:val="21"/>
          <w:highlight w:val="none"/>
          <w:u w:val="single"/>
          <w:lang w:val="en-US" w:eastAsia="zh-CN"/>
        </w:rPr>
        <w:t>2022</w:t>
      </w:r>
      <w:r>
        <w:rPr>
          <w:rFonts w:hint="eastAsia" w:asciiTheme="minorEastAsia" w:hAnsiTheme="minorEastAsia" w:eastAsiaTheme="minorEastAsia"/>
          <w:color w:val="auto"/>
          <w:szCs w:val="21"/>
          <w:highlight w:val="none"/>
          <w:u w:val="single"/>
        </w:rPr>
        <w:t>年第</w:t>
      </w:r>
      <w:r>
        <w:rPr>
          <w:rFonts w:hint="default" w:asciiTheme="minorEastAsia" w:hAnsiTheme="minorEastAsia" w:eastAsiaTheme="minorEastAsia"/>
          <w:color w:val="auto"/>
          <w:szCs w:val="21"/>
          <w:highlight w:val="none"/>
          <w:u w:val="single"/>
          <w:lang w:val="en-US"/>
        </w:rPr>
        <w:t>3</w:t>
      </w:r>
      <w:r>
        <w:rPr>
          <w:rFonts w:hint="eastAsia" w:asciiTheme="minorEastAsia" w:hAnsiTheme="minorEastAsia" w:eastAsiaTheme="minorEastAsia"/>
          <w:color w:val="auto"/>
          <w:szCs w:val="21"/>
          <w:highlight w:val="none"/>
          <w:u w:val="single"/>
        </w:rPr>
        <w:t>期除税指导价，无指导价的按施工期间承发包人双方确认的市场除税价，套用《江苏省房屋修缮工程计价表》（2009年）、《江苏省建筑与装饰工程计价定额》（2014年）、《江苏省安装工程计价定额》（2014年）、2014《江苏省市政工程计价定额》、江苏省及无锡市有关规定×让利系数%结算（该让利系数为=中标价/招标控制价（即最高投标限价）×100%，保留小数点后两位）。在清单中以暂估价和预留金形式列入的项目对造价作调整时均按乘以让利系数 %（该让利系数为同上文规定）后进行结算。</w:t>
      </w:r>
      <w:r>
        <w:rPr>
          <w:rFonts w:hint="eastAsia" w:cs="宋体" w:asciiTheme="minorEastAsia" w:hAnsiTheme="minorEastAsia" w:eastAsiaTheme="minorEastAsia"/>
          <w:color w:val="auto"/>
          <w:szCs w:val="21"/>
          <w:highlight w:val="none"/>
          <w:u w:val="single"/>
          <w:lang w:val="zh-CN"/>
        </w:rPr>
        <w:t>(让利系数计算公式中均不包括</w:t>
      </w:r>
      <w:r>
        <w:rPr>
          <w:rFonts w:hint="eastAsia" w:asciiTheme="minorEastAsia" w:hAnsiTheme="minorEastAsia" w:eastAsiaTheme="minorEastAsia"/>
          <w:b/>
          <w:color w:val="auto"/>
          <w:kern w:val="0"/>
          <w:szCs w:val="21"/>
          <w:highlight w:val="none"/>
          <w:u w:val="single"/>
        </w:rPr>
        <w:t>甲供材和甲控乙供材、暂列金</w:t>
      </w:r>
      <w:r>
        <w:rPr>
          <w:rFonts w:hint="eastAsia" w:cs="宋体" w:asciiTheme="minorEastAsia" w:hAnsiTheme="minorEastAsia" w:eastAsiaTheme="minorEastAsia"/>
          <w:color w:val="auto"/>
          <w:szCs w:val="21"/>
          <w:highlight w:val="none"/>
          <w:u w:val="single"/>
          <w:lang w:val="zh-CN"/>
        </w:rPr>
        <w:t>)</w:t>
      </w:r>
      <w:r>
        <w:rPr>
          <w:rFonts w:hint="eastAsia" w:asciiTheme="minorEastAsia" w:hAnsiTheme="minorEastAsia" w:eastAsiaTheme="minorEastAsia"/>
          <w:color w:val="auto"/>
          <w:szCs w:val="21"/>
          <w:highlight w:val="none"/>
          <w:u w:val="single"/>
        </w:rPr>
        <w:t>。</w:t>
      </w:r>
      <w:r>
        <w:rPr>
          <w:rFonts w:hint="eastAsia" w:cs="宋体" w:asciiTheme="minorEastAsia" w:hAnsiTheme="minorEastAsia" w:eastAsiaTheme="minorEastAsia"/>
          <w:color w:val="auto"/>
          <w:szCs w:val="21"/>
          <w:highlight w:val="none"/>
          <w:u w:val="single"/>
        </w:rPr>
        <w:t>③</w:t>
      </w:r>
      <w:r>
        <w:rPr>
          <w:rFonts w:asciiTheme="minorEastAsia" w:hAnsiTheme="minorEastAsia" w:eastAsiaTheme="minorEastAsia"/>
          <w:color w:val="auto"/>
          <w:szCs w:val="21"/>
          <w:highlight w:val="none"/>
          <w:u w:val="single"/>
        </w:rPr>
        <w:t>因采取新工艺、新方法施工组织有变动引起造价调整的，须经监理、业主同意后才可调整，否则不予调整。</w:t>
      </w:r>
      <w:r>
        <w:rPr>
          <w:rFonts w:hint="eastAsia" w:cs="宋体" w:asciiTheme="minorEastAsia" w:hAnsiTheme="minorEastAsia" w:eastAsiaTheme="minorEastAsia"/>
          <w:color w:val="auto"/>
          <w:szCs w:val="21"/>
          <w:highlight w:val="none"/>
          <w:u w:val="single"/>
        </w:rPr>
        <w:t>④</w:t>
      </w:r>
      <w:r>
        <w:rPr>
          <w:rFonts w:asciiTheme="minorEastAsia" w:hAnsiTheme="minorEastAsia" w:eastAsiaTheme="minorEastAsia"/>
          <w:color w:val="auto"/>
          <w:szCs w:val="21"/>
          <w:highlight w:val="none"/>
          <w:u w:val="single"/>
        </w:rPr>
        <w:t>人工工资如有调整，按国家有关规定执行。</w:t>
      </w:r>
    </w:p>
    <w:p>
      <w:pPr>
        <w:spacing w:line="360" w:lineRule="auto"/>
        <w:ind w:firstLine="420" w:firstLineChars="200"/>
        <w:jc w:val="left"/>
        <w:rPr>
          <w:rFonts w:hint="eastAsia" w:ascii="宋体" w:hAnsi="宋体"/>
          <w:color w:val="auto"/>
          <w:kern w:val="0"/>
          <w:highlight w:val="none"/>
        </w:rPr>
      </w:pPr>
      <w:r>
        <w:rPr>
          <w:rFonts w:hint="eastAsia" w:asciiTheme="minorEastAsia" w:hAnsiTheme="minorEastAsia" w:eastAsiaTheme="minorEastAsia"/>
          <w:color w:val="auto"/>
          <w:szCs w:val="21"/>
          <w:highlight w:val="none"/>
          <w:u w:val="single"/>
        </w:rPr>
        <w:t>（3）</w:t>
      </w:r>
      <w:r>
        <w:rPr>
          <w:rFonts w:hint="eastAsia" w:cs="宋体" w:asciiTheme="minorEastAsia" w:hAnsiTheme="minorEastAsia" w:eastAsiaTheme="minorEastAsia"/>
          <w:color w:val="auto"/>
          <w:szCs w:val="21"/>
          <w:highlight w:val="none"/>
          <w:u w:val="single"/>
        </w:rPr>
        <w:t>在施工期间，当主要材料价格波动产生差价时</w:t>
      </w:r>
      <w:r>
        <w:rPr>
          <w:rFonts w:hint="eastAsia" w:ascii="宋体" w:hAnsi="宋体"/>
          <w:color w:val="auto"/>
          <w:kern w:val="0"/>
          <w:highlight w:val="none"/>
        </w:rPr>
        <w:t>a.主要工程材料、人工价格与预算编制基期价相比，波动幅度超过合同约定幅度的部分；具体调整方法如下：</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①人工费调整：按《江苏省住房和城乡建设厅关于对建设工程人工工资单价实行动态管理的通知》（苏建价〔2012〕号），对建设工程人工工资单价实行动态管理，根据预算基准期的人工价格与施工期内各期指导价的差额计算。</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②材料、设备价格调整：当工程施工期间非主要建筑材料价格上涨或下降的，其差价均由承包人承担或收益，不作调整；当工程施工期间第一类主要建筑材料价格上涨或下降幅度在 10%以内的，其差价由承包人承担或受益，超过10%的部分由发包人承担或受益；当工程施工期间第二类主要建筑材料价格上涨或下降幅度在5%以内的，其差价由承包人承担或受益，超过5%的部分由发包人承担或受益。其中，</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第一类主要建筑材料包含的材料范围为：商品砼、沥青砼、砌块、水泥、电缆桥架。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第二类主要建筑材料包含的材料范围为：钢材、沥青、电线、电缆。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除第一类和第二类主要建筑材料外的其他材料等不在上述调价范围内。主要建筑材料差价的取定：应以工程所在地造价管理部门发布的材料指导价格为基准（无指导价的材料以发承包双方确认的价格为准），差价为施工期同类材料加权平均指导价格与预算基准期（递交投标文件截止日期前28天）的材料指导价格的差额。</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 xml:space="preserve">施工期材料加权平均指导价按下列公式计算： </w:t>
      </w:r>
    </w:p>
    <w:p>
      <w:pPr>
        <w:spacing w:line="360" w:lineRule="auto"/>
        <w:ind w:firstLine="420" w:firstLineChars="200"/>
        <w:jc w:val="left"/>
        <w:rPr>
          <w:rFonts w:hint="eastAsia" w:ascii="宋体" w:hAnsi="宋体"/>
          <w:color w:val="auto"/>
          <w:kern w:val="0"/>
          <w:highlight w:val="none"/>
        </w:rPr>
      </w:pPr>
      <w:r>
        <w:rPr>
          <w:rFonts w:hint="eastAsia" w:ascii="宋体" w:hAnsi="宋体"/>
          <w:color w:val="auto"/>
          <w:kern w:val="0"/>
          <w:highlight w:val="none"/>
        </w:rPr>
        <w:t>施工期材料加权平均指导价=Σ（每月实际使用量×当月材料指导价）/同类材料总用量；</w:t>
      </w:r>
    </w:p>
    <w:p>
      <w:pPr>
        <w:spacing w:line="360" w:lineRule="auto"/>
        <w:ind w:firstLine="420" w:firstLineChars="200"/>
        <w:jc w:val="left"/>
        <w:rPr>
          <w:rFonts w:asciiTheme="minorEastAsia" w:hAnsiTheme="minorEastAsia" w:eastAsiaTheme="minorEastAsia"/>
          <w:color w:val="auto"/>
          <w:szCs w:val="21"/>
          <w:highlight w:val="none"/>
          <w:u w:val="single"/>
        </w:rPr>
      </w:pPr>
      <w:r>
        <w:rPr>
          <w:rFonts w:hint="eastAsia" w:ascii="宋体" w:hAnsi="宋体"/>
          <w:color w:val="auto"/>
          <w:kern w:val="0"/>
          <w:highlight w:val="none"/>
        </w:rPr>
        <w:t>因承包人原因造成工期延误的，延误期间发生的人工、材料价格上涨差额由承包人承担，材料价格下降差额由发包人收益。</w:t>
      </w:r>
    </w:p>
    <w:p>
      <w:pPr>
        <w:autoSpaceDE w:val="0"/>
        <w:autoSpaceDN w:val="0"/>
        <w:adjustRightInd w:val="0"/>
        <w:snapToGrid w:val="0"/>
        <w:spacing w:line="430" w:lineRule="exact"/>
        <w:ind w:firstLine="420" w:firstLineChars="200"/>
        <w:rPr>
          <w:rFonts w:asciiTheme="minorEastAsia" w:hAnsiTheme="minorEastAsia" w:eastAsiaTheme="minorEastAsia"/>
          <w:color w:val="auto"/>
          <w:szCs w:val="21"/>
          <w:highlight w:val="none"/>
        </w:rPr>
      </w:pPr>
      <w:bookmarkStart w:id="449" w:name="OLE_LINK11"/>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val="en-US" w:eastAsia="zh-CN"/>
        </w:rPr>
        <w:t>4</w:t>
      </w: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bCs/>
          <w:color w:val="auto"/>
          <w:szCs w:val="21"/>
          <w:highlight w:val="none"/>
          <w:u w:val="single"/>
        </w:rPr>
        <w:t>投标时各单位工程中同一清单子目对应的综合单价报价应保持一致，如不一致，结算审计时以所报综合单价中最低的作为结算依据。</w:t>
      </w:r>
      <w:bookmarkEnd w:id="449"/>
    </w:p>
    <w:p>
      <w:pPr>
        <w:snapToGrid w:val="0"/>
        <w:spacing w:line="430" w:lineRule="exact"/>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val="en-US" w:eastAsia="zh-CN"/>
        </w:rPr>
        <w:t>5</w:t>
      </w:r>
      <w:r>
        <w:rPr>
          <w:rFonts w:hint="eastAsia" w:asciiTheme="minorEastAsia" w:hAnsiTheme="minorEastAsia" w:eastAsiaTheme="minorEastAsia"/>
          <w:color w:val="auto"/>
          <w:szCs w:val="21"/>
          <w:highlight w:val="none"/>
          <w:u w:val="single"/>
        </w:rPr>
        <w:t>）不可抗力因素所造成的损失经发包人审核及无锡市有关部门认定后可列入结算</w:t>
      </w:r>
      <w:r>
        <w:rPr>
          <w:rFonts w:hint="eastAsia" w:asciiTheme="minorEastAsia" w:hAnsiTheme="minorEastAsia" w:eastAsiaTheme="minorEastAsia"/>
          <w:color w:val="auto"/>
          <w:szCs w:val="21"/>
          <w:highlight w:val="none"/>
        </w:rPr>
        <w:t>。</w:t>
      </w:r>
    </w:p>
    <w:p>
      <w:pPr>
        <w:snapToGrid w:val="0"/>
        <w:spacing w:line="430" w:lineRule="exact"/>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val="en-US" w:eastAsia="zh-CN"/>
        </w:rPr>
        <w:t>6</w:t>
      </w:r>
      <w:r>
        <w:rPr>
          <w:rFonts w:hint="eastAsia" w:asciiTheme="minorEastAsia" w:hAnsiTheme="minorEastAsia" w:eastAsiaTheme="minorEastAsia"/>
          <w:color w:val="auto"/>
          <w:szCs w:val="21"/>
          <w:highlight w:val="none"/>
          <w:u w:val="single"/>
        </w:rPr>
        <w:t>）工程变更：施工过程中，若发包人有工程变更，以书面形式通知承包人并由承包人负责编制预算，经审核单位审核确认后，按规定办理书面签证手续。</w:t>
      </w:r>
    </w:p>
    <w:p>
      <w:pPr>
        <w:snapToGrid w:val="0"/>
        <w:spacing w:line="430" w:lineRule="exact"/>
        <w:ind w:firstLine="420" w:firstLineChars="200"/>
        <w:rPr>
          <w:rFonts w:asciiTheme="minorEastAsia" w:hAnsiTheme="minorEastAsia" w:eastAsiaTheme="minorEastAsia"/>
          <w:color w:val="auto"/>
          <w:szCs w:val="21"/>
          <w:highlight w:val="none"/>
          <w:u w:val="single"/>
        </w:rPr>
      </w:pP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val="en-US" w:eastAsia="zh-CN"/>
        </w:rPr>
        <w:t>7</w:t>
      </w:r>
      <w:r>
        <w:rPr>
          <w:rFonts w:hint="eastAsia" w:asciiTheme="minorEastAsia" w:hAnsiTheme="minorEastAsia" w:eastAsiaTheme="minorEastAsia"/>
          <w:color w:val="auto"/>
          <w:szCs w:val="21"/>
          <w:highlight w:val="none"/>
          <w:u w:val="single"/>
        </w:rPr>
        <w:t>）承包人无条件接受财政或上级部门组织的审核，审核结果作为竣工结算最终依据。</w:t>
      </w:r>
    </w:p>
    <w:p>
      <w:pPr>
        <w:snapToGrid w:val="0"/>
        <w:spacing w:line="430" w:lineRule="exact"/>
        <w:ind w:firstLine="420" w:firstLineChars="200"/>
        <w:rPr>
          <w:rFonts w:hint="default" w:asciiTheme="minorEastAsia" w:hAnsiTheme="minorEastAsia" w:eastAsiaTheme="minorEastAsia"/>
          <w:color w:val="auto"/>
          <w:szCs w:val="21"/>
          <w:highlight w:val="none"/>
          <w:u w:val="single"/>
          <w:lang w:val="en-US" w:eastAsia="zh-CN"/>
        </w:rPr>
      </w:pPr>
      <w:bookmarkStart w:id="450" w:name="OLE_LINK6"/>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val="en-US" w:eastAsia="zh-CN"/>
        </w:rPr>
        <w:t>8</w:t>
      </w: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u w:val="single"/>
          <w:lang w:eastAsia="zh-CN"/>
        </w:rPr>
        <w:t>按财政局相关文件执行</w:t>
      </w:r>
    </w:p>
    <w:bookmarkEnd w:id="450"/>
    <w:p>
      <w:pPr>
        <w:spacing w:line="360" w:lineRule="auto"/>
        <w:ind w:firstLine="420" w:firstLineChars="200"/>
        <w:jc w:val="left"/>
        <w:rPr>
          <w:rFonts w:ascii="宋体" w:hAnsi="宋体"/>
          <w:color w:val="auto"/>
          <w:highlight w:val="none"/>
        </w:rPr>
      </w:pPr>
      <w:r>
        <w:rPr>
          <w:rFonts w:ascii="宋体" w:hAnsi="宋体"/>
          <w:color w:val="auto"/>
          <w:highlight w:val="none"/>
        </w:rPr>
        <w:t>2、总价合同</w:t>
      </w:r>
    </w:p>
    <w:p>
      <w:pPr>
        <w:spacing w:line="360" w:lineRule="auto"/>
        <w:ind w:firstLine="420" w:firstLineChars="200"/>
        <w:jc w:val="left"/>
        <w:rPr>
          <w:rFonts w:ascii="宋体" w:hAnsi="宋体"/>
          <w:color w:val="auto"/>
          <w:highlight w:val="none"/>
        </w:rPr>
      </w:pPr>
      <w:r>
        <w:rPr>
          <w:rFonts w:ascii="宋体" w:hAnsi="宋体"/>
          <w:color w:val="auto"/>
          <w:highlight w:val="none"/>
        </w:rPr>
        <w:t>总价包含的风险范围：</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风险费用的计算方法：</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风险范围以外合同价格的调整方法：</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3、其他价格方式：</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rPr>
          <w:rFonts w:ascii="宋体" w:hAnsi="宋体"/>
          <w:color w:val="auto"/>
          <w:highlight w:val="none"/>
        </w:rPr>
      </w:pPr>
      <w:bookmarkStart w:id="451" w:name="_Toc312678042"/>
      <w:bookmarkStart w:id="452" w:name="_Toc297123554"/>
      <w:bookmarkStart w:id="453" w:name="_Toc297216213"/>
      <w:bookmarkStart w:id="454" w:name="_Toc304295581"/>
      <w:bookmarkStart w:id="455" w:name="_Toc300935004"/>
      <w:bookmarkStart w:id="456" w:name="_Toc303539161"/>
      <w:bookmarkStart w:id="457" w:name="_Toc297048393"/>
      <w:bookmarkStart w:id="458" w:name="_Toc297120507"/>
      <w:bookmarkStart w:id="459" w:name="_Toc296944546"/>
      <w:bookmarkStart w:id="460" w:name="_Toc296347206"/>
      <w:bookmarkStart w:id="461" w:name="_Toc292559412"/>
      <w:bookmarkStart w:id="462" w:name="_Toc296891247"/>
      <w:bookmarkStart w:id="463" w:name="_Toc296503207"/>
      <w:bookmarkStart w:id="464" w:name="_Toc296346708"/>
      <w:bookmarkStart w:id="465" w:name="_Toc292559917"/>
      <w:bookmarkStart w:id="466" w:name="_Toc296891035"/>
      <w:r>
        <w:rPr>
          <w:rFonts w:ascii="宋体" w:hAnsi="宋体"/>
          <w:color w:val="auto"/>
          <w:highlight w:val="none"/>
        </w:rPr>
        <w:t>12.2 预付款</w:t>
      </w:r>
    </w:p>
    <w:bookmarkEnd w:id="451"/>
    <w:bookmarkEnd w:id="452"/>
    <w:bookmarkEnd w:id="453"/>
    <w:bookmarkEnd w:id="454"/>
    <w:bookmarkEnd w:id="455"/>
    <w:bookmarkEnd w:id="456"/>
    <w:p>
      <w:pPr>
        <w:spacing w:line="360" w:lineRule="auto"/>
        <w:ind w:firstLine="420" w:firstLineChars="200"/>
        <w:jc w:val="left"/>
        <w:rPr>
          <w:rFonts w:ascii="宋体" w:hAnsi="宋体"/>
          <w:color w:val="auto"/>
          <w:highlight w:val="none"/>
        </w:rPr>
      </w:pPr>
      <w:r>
        <w:rPr>
          <w:rFonts w:ascii="宋体" w:hAnsi="宋体"/>
          <w:color w:val="auto"/>
          <w:highlight w:val="none"/>
        </w:rPr>
        <w:t>12.2.1 预付款的支付</w:t>
      </w:r>
    </w:p>
    <w:p>
      <w:pPr>
        <w:spacing w:line="360" w:lineRule="auto"/>
        <w:ind w:firstLine="420" w:firstLineChars="200"/>
        <w:jc w:val="left"/>
        <w:rPr>
          <w:rFonts w:ascii="宋体" w:hAnsi="宋体"/>
          <w:color w:val="auto"/>
          <w:highlight w:val="none"/>
        </w:rPr>
      </w:pPr>
      <w:r>
        <w:rPr>
          <w:rFonts w:ascii="宋体" w:hAnsi="宋体"/>
          <w:color w:val="auto"/>
          <w:highlight w:val="none"/>
        </w:rPr>
        <w:t>预付款支付比例或金额：</w:t>
      </w:r>
      <w:r>
        <w:rPr>
          <w:rFonts w:hint="eastAsia" w:ascii="宋体" w:hAnsi="宋体"/>
          <w:color w:val="auto"/>
          <w:highlight w:val="none"/>
          <w:u w:val="single"/>
        </w:rPr>
        <w:t>10</w:t>
      </w:r>
      <w:r>
        <w:rPr>
          <w:rFonts w:hint="eastAsia" w:ascii="宋体" w:hAnsi="宋体"/>
          <w:color w:val="auto"/>
          <w:highlight w:val="none"/>
          <w:u w:val="single"/>
          <w:lang w:val="en-US" w:eastAsia="zh-CN"/>
        </w:rPr>
        <w:t>%</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预付款支付期限：</w:t>
      </w:r>
      <w:r>
        <w:rPr>
          <w:rFonts w:hint="eastAsia" w:ascii="宋体" w:hAnsi="宋体"/>
          <w:color w:val="auto"/>
          <w:szCs w:val="21"/>
          <w:highlight w:val="none"/>
          <w:u w:val="single"/>
        </w:rPr>
        <w:t>在具备施工条件的前提下，签订合同后一个月内支付预付款，承包人须同时提供同等金额的预付款担保</w:t>
      </w:r>
      <w:r>
        <w:rPr>
          <w:rFonts w:ascii="宋体" w:hAnsi="宋体"/>
          <w:color w:val="auto"/>
          <w:szCs w:val="21"/>
          <w:highlight w:val="none"/>
          <w:u w:val="single"/>
        </w:rPr>
        <w:t>。</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预付款扣回的方式：</w:t>
      </w:r>
      <w:r>
        <w:rPr>
          <w:rFonts w:hint="eastAsia"/>
          <w:color w:val="auto"/>
          <w:highlight w:val="none"/>
          <w:u w:val="single"/>
        </w:rPr>
        <w:t>预付款在工程进度款付至 60%前全部扣回</w:t>
      </w:r>
      <w:r>
        <w:rPr>
          <w:color w:val="auto"/>
          <w:highlight w:val="none"/>
          <w:u w:val="singl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12.2.2 预付款担保</w:t>
      </w:r>
    </w:p>
    <w:p>
      <w:pPr>
        <w:spacing w:line="360" w:lineRule="auto"/>
        <w:ind w:firstLine="420" w:firstLineChars="200"/>
        <w:jc w:val="left"/>
        <w:rPr>
          <w:rFonts w:ascii="宋体" w:hAnsi="宋体"/>
          <w:color w:val="auto"/>
          <w:highlight w:val="none"/>
        </w:rPr>
      </w:pPr>
      <w:r>
        <w:rPr>
          <w:rFonts w:ascii="宋体" w:hAnsi="宋体"/>
          <w:color w:val="auto"/>
          <w:highlight w:val="none"/>
        </w:rPr>
        <w:t>承包人提交预付款担保的期限：</w:t>
      </w:r>
      <w:r>
        <w:rPr>
          <w:rFonts w:hint="eastAsia"/>
          <w:color w:val="auto"/>
          <w:highlight w:val="none"/>
          <w:u w:val="single"/>
        </w:rPr>
        <w:t>与预付款同时提供</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预付款担保的形式为：</w:t>
      </w:r>
      <w:r>
        <w:rPr>
          <w:rFonts w:hint="eastAsia" w:ascii="宋体" w:hAnsi="宋体"/>
          <w:color w:val="auto"/>
          <w:szCs w:val="21"/>
          <w:highlight w:val="none"/>
          <w:u w:val="single"/>
        </w:rPr>
        <w:t>银行保函</w:t>
      </w:r>
      <w:r>
        <w:rPr>
          <w:rFonts w:ascii="宋体" w:hAnsi="宋体"/>
          <w:color w:val="auto"/>
          <w:highlight w:val="none"/>
        </w:rPr>
        <w:t>。</w:t>
      </w:r>
    </w:p>
    <w:bookmarkEnd w:id="457"/>
    <w:bookmarkEnd w:id="458"/>
    <w:bookmarkEnd w:id="459"/>
    <w:bookmarkEnd w:id="460"/>
    <w:bookmarkEnd w:id="461"/>
    <w:bookmarkEnd w:id="462"/>
    <w:bookmarkEnd w:id="463"/>
    <w:bookmarkEnd w:id="464"/>
    <w:bookmarkEnd w:id="465"/>
    <w:bookmarkEnd w:id="466"/>
    <w:p>
      <w:pPr>
        <w:spacing w:line="360" w:lineRule="auto"/>
        <w:ind w:firstLine="420" w:firstLineChars="200"/>
        <w:rPr>
          <w:rFonts w:ascii="宋体" w:hAnsi="宋体"/>
          <w:color w:val="auto"/>
          <w:highlight w:val="none"/>
        </w:rPr>
      </w:pPr>
      <w:r>
        <w:rPr>
          <w:rFonts w:ascii="宋体" w:hAnsi="宋体"/>
          <w:color w:val="auto"/>
          <w:highlight w:val="none"/>
        </w:rPr>
        <w:t>12.3 计量</w:t>
      </w:r>
    </w:p>
    <w:p>
      <w:pPr>
        <w:spacing w:line="360" w:lineRule="auto"/>
        <w:ind w:firstLine="420" w:firstLineChars="200"/>
        <w:jc w:val="left"/>
        <w:rPr>
          <w:rFonts w:ascii="宋体" w:hAnsi="宋体"/>
          <w:color w:val="auto"/>
          <w:highlight w:val="none"/>
        </w:rPr>
      </w:pPr>
      <w:r>
        <w:rPr>
          <w:rFonts w:ascii="宋体" w:hAnsi="宋体"/>
          <w:color w:val="auto"/>
          <w:highlight w:val="none"/>
        </w:rPr>
        <w:t>12.3.1 计量原则</w:t>
      </w:r>
    </w:p>
    <w:p>
      <w:pPr>
        <w:spacing w:line="360" w:lineRule="auto"/>
        <w:ind w:firstLine="420" w:firstLineChars="200"/>
        <w:jc w:val="left"/>
        <w:rPr>
          <w:rFonts w:ascii="宋体" w:hAnsi="宋体"/>
          <w:color w:val="auto"/>
          <w:highlight w:val="none"/>
        </w:rPr>
      </w:pPr>
      <w:r>
        <w:rPr>
          <w:rFonts w:ascii="宋体" w:hAnsi="宋体"/>
          <w:color w:val="auto"/>
          <w:highlight w:val="none"/>
        </w:rPr>
        <w:t>工程量计算规则：</w:t>
      </w:r>
      <w:r>
        <w:rPr>
          <w:rFonts w:hint="eastAsia" w:ascii="宋体" w:hAnsi="宋体"/>
          <w:color w:val="auto"/>
          <w:szCs w:val="21"/>
          <w:highlight w:val="none"/>
          <w:u w:val="single"/>
        </w:rPr>
        <w:t>建设工程工程量清单计价规范（G</w:t>
      </w:r>
      <w:r>
        <w:rPr>
          <w:rFonts w:ascii="宋体" w:hAnsi="宋体"/>
          <w:color w:val="auto"/>
          <w:szCs w:val="21"/>
          <w:highlight w:val="none"/>
          <w:u w:val="single"/>
        </w:rPr>
        <w:t>B50500-2</w:t>
      </w:r>
      <w:r>
        <w:rPr>
          <w:rFonts w:hint="eastAsia" w:ascii="宋体" w:hAnsi="宋体"/>
          <w:color w:val="auto"/>
          <w:szCs w:val="21"/>
          <w:highlight w:val="none"/>
          <w:u w:val="single"/>
        </w:rPr>
        <w:t>013）</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12.3.2 计量周期</w:t>
      </w:r>
    </w:p>
    <w:p>
      <w:pPr>
        <w:spacing w:line="360" w:lineRule="auto"/>
        <w:ind w:firstLine="420" w:firstLineChars="200"/>
        <w:jc w:val="left"/>
        <w:rPr>
          <w:rFonts w:ascii="宋体" w:hAnsi="宋体"/>
          <w:color w:val="auto"/>
          <w:highlight w:val="none"/>
        </w:rPr>
      </w:pPr>
      <w:r>
        <w:rPr>
          <w:rFonts w:ascii="宋体" w:hAnsi="宋体"/>
          <w:color w:val="auto"/>
          <w:highlight w:val="none"/>
        </w:rPr>
        <w:t>关于计量周期的约定：</w:t>
      </w:r>
      <w:r>
        <w:rPr>
          <w:rFonts w:hint="eastAsia" w:ascii="宋体" w:hAnsi="宋体"/>
          <w:color w:val="auto"/>
          <w:szCs w:val="21"/>
          <w:highlight w:val="none"/>
          <w:u w:val="single"/>
        </w:rPr>
        <w:t>按月计量</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12.3.3 单价合同的计量</w:t>
      </w:r>
    </w:p>
    <w:p>
      <w:pPr>
        <w:spacing w:line="360" w:lineRule="auto"/>
        <w:ind w:firstLine="420" w:firstLineChars="200"/>
        <w:jc w:val="left"/>
        <w:rPr>
          <w:rFonts w:ascii="宋体" w:hAnsi="宋体"/>
          <w:color w:val="auto"/>
          <w:highlight w:val="none"/>
        </w:rPr>
      </w:pPr>
      <w:r>
        <w:rPr>
          <w:rFonts w:ascii="宋体" w:hAnsi="宋体"/>
          <w:color w:val="auto"/>
          <w:highlight w:val="none"/>
        </w:rPr>
        <w:t>关于单价合同计量的约定：</w:t>
      </w:r>
      <w:r>
        <w:rPr>
          <w:rFonts w:hint="eastAsia" w:ascii="宋体" w:hAnsi="宋体"/>
          <w:color w:val="auto"/>
          <w:szCs w:val="21"/>
          <w:highlight w:val="none"/>
          <w:u w:val="single"/>
        </w:rPr>
        <w:t>按月计量</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12.3.4 总价合同的计量</w:t>
      </w:r>
    </w:p>
    <w:p>
      <w:pPr>
        <w:spacing w:line="360" w:lineRule="auto"/>
        <w:ind w:firstLine="420" w:firstLineChars="200"/>
        <w:jc w:val="left"/>
        <w:rPr>
          <w:rFonts w:ascii="宋体" w:hAnsi="宋体"/>
          <w:color w:val="auto"/>
          <w:highlight w:val="none"/>
        </w:rPr>
      </w:pPr>
      <w:r>
        <w:rPr>
          <w:rFonts w:ascii="宋体" w:hAnsi="宋体"/>
          <w:color w:val="auto"/>
          <w:highlight w:val="none"/>
        </w:rPr>
        <w:t>关于总价合同计量的约定：</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12.3.5总价合同采用支付分解表计量支付的，是否适用第</w:t>
      </w:r>
      <w:r>
        <w:rPr>
          <w:rFonts w:ascii="宋体" w:hAnsi="宋体"/>
          <w:color w:val="auto"/>
          <w:kern w:val="0"/>
          <w:highlight w:val="none"/>
        </w:rPr>
        <w:t xml:space="preserve">12.3.4 </w:t>
      </w:r>
      <w:r>
        <w:rPr>
          <w:rFonts w:ascii="宋体" w:hAnsi="宋体"/>
          <w:color w:val="auto"/>
          <w:highlight w:val="none"/>
        </w:rPr>
        <w:t>项</w:t>
      </w:r>
      <w:r>
        <w:rPr>
          <w:rFonts w:hint="eastAsia" w:ascii="宋体" w:hAnsi="宋体"/>
          <w:color w:val="auto"/>
          <w:kern w:val="0"/>
          <w:highlight w:val="none"/>
        </w:rPr>
        <w:t>〔</w:t>
      </w:r>
      <w:r>
        <w:rPr>
          <w:rFonts w:ascii="宋体" w:hAnsi="宋体"/>
          <w:color w:val="auto"/>
          <w:kern w:val="0"/>
          <w:highlight w:val="none"/>
        </w:rPr>
        <w:t>总价合同的计量</w:t>
      </w:r>
      <w:r>
        <w:rPr>
          <w:rFonts w:hint="eastAsia" w:ascii="宋体" w:hAnsi="宋体"/>
          <w:color w:val="auto"/>
          <w:kern w:val="0"/>
          <w:highlight w:val="none"/>
        </w:rPr>
        <w:t>〕</w:t>
      </w:r>
      <w:r>
        <w:rPr>
          <w:rFonts w:ascii="宋体" w:hAnsi="宋体"/>
          <w:color w:val="auto"/>
          <w:highlight w:val="none"/>
        </w:rPr>
        <w:t>约定</w:t>
      </w:r>
      <w:r>
        <w:rPr>
          <w:rFonts w:hint="eastAsia" w:ascii="宋体" w:hAnsi="宋体"/>
          <w:color w:val="auto"/>
          <w:highlight w:val="none"/>
        </w:rPr>
        <w:t>进行计量：</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12.3.6 其他价格形式合同的计量</w:t>
      </w:r>
    </w:p>
    <w:p>
      <w:pPr>
        <w:spacing w:line="360" w:lineRule="auto"/>
        <w:ind w:firstLine="420" w:firstLineChars="200"/>
        <w:jc w:val="left"/>
        <w:rPr>
          <w:rFonts w:ascii="宋体" w:hAnsi="宋体"/>
          <w:color w:val="auto"/>
          <w:highlight w:val="none"/>
        </w:rPr>
      </w:pPr>
      <w:r>
        <w:rPr>
          <w:rFonts w:ascii="宋体" w:hAnsi="宋体"/>
          <w:color w:val="auto"/>
          <w:highlight w:val="none"/>
        </w:rPr>
        <w:t>其他价格形式的计量方式和程序：。</w:t>
      </w:r>
    </w:p>
    <w:p>
      <w:pPr>
        <w:spacing w:line="360" w:lineRule="auto"/>
        <w:ind w:firstLine="420" w:firstLineChars="200"/>
        <w:rPr>
          <w:rFonts w:ascii="宋体" w:hAnsi="宋体"/>
          <w:color w:val="auto"/>
          <w:highlight w:val="none"/>
        </w:rPr>
      </w:pPr>
      <w:r>
        <w:rPr>
          <w:rFonts w:ascii="宋体" w:hAnsi="宋体"/>
          <w:color w:val="auto"/>
          <w:highlight w:val="none"/>
        </w:rPr>
        <w:t>12.4 工程进度款支付</w:t>
      </w:r>
    </w:p>
    <w:p>
      <w:pPr>
        <w:spacing w:line="360" w:lineRule="auto"/>
        <w:ind w:firstLine="420" w:firstLineChars="200"/>
        <w:jc w:val="left"/>
        <w:rPr>
          <w:rFonts w:ascii="宋体" w:hAnsi="宋体"/>
          <w:color w:val="auto"/>
          <w:highlight w:val="none"/>
        </w:rPr>
      </w:pPr>
      <w:bookmarkStart w:id="467" w:name="_Toc296891251"/>
      <w:bookmarkStart w:id="468" w:name="_Toc292559416"/>
      <w:bookmarkStart w:id="469" w:name="_Toc297123556"/>
      <w:bookmarkStart w:id="470" w:name="_Toc297048397"/>
      <w:bookmarkStart w:id="471" w:name="_Toc297120511"/>
      <w:bookmarkStart w:id="472" w:name="_Toc292559921"/>
      <w:bookmarkStart w:id="473" w:name="_Toc297216215"/>
      <w:bookmarkStart w:id="474" w:name="_Toc296346712"/>
      <w:bookmarkStart w:id="475" w:name="_Toc296891039"/>
      <w:bookmarkStart w:id="476" w:name="_Toc296347210"/>
      <w:bookmarkStart w:id="477" w:name="_Toc303539163"/>
      <w:bookmarkStart w:id="478" w:name="_Toc300935006"/>
      <w:bookmarkStart w:id="479" w:name="_Toc296944550"/>
      <w:bookmarkStart w:id="480" w:name="_Toc296503211"/>
      <w:r>
        <w:rPr>
          <w:rFonts w:ascii="宋体" w:hAnsi="宋体"/>
          <w:color w:val="auto"/>
          <w:highlight w:val="none"/>
        </w:rPr>
        <w:t>12.4.1 付款周期</w:t>
      </w:r>
    </w:p>
    <w:p>
      <w:pPr>
        <w:spacing w:line="360" w:lineRule="auto"/>
        <w:ind w:firstLine="420" w:firstLineChars="200"/>
        <w:jc w:val="left"/>
        <w:rPr>
          <w:rFonts w:ascii="宋体" w:hAnsi="宋体"/>
          <w:color w:val="auto"/>
          <w:highlight w:val="none"/>
        </w:rPr>
      </w:pPr>
      <w:r>
        <w:rPr>
          <w:rFonts w:ascii="宋体" w:hAnsi="宋体"/>
          <w:color w:val="auto"/>
          <w:highlight w:val="none"/>
        </w:rPr>
        <w:t>关于付款周期的约定：。</w:t>
      </w:r>
    </w:p>
    <w:p>
      <w:pPr>
        <w:spacing w:line="360" w:lineRule="auto"/>
        <w:ind w:firstLine="420" w:firstLineChars="200"/>
        <w:jc w:val="left"/>
        <w:rPr>
          <w:rFonts w:ascii="宋体" w:hAnsi="宋体"/>
          <w:color w:val="auto"/>
          <w:highlight w:val="none"/>
        </w:rPr>
      </w:pPr>
      <w:r>
        <w:rPr>
          <w:rFonts w:ascii="宋体" w:hAnsi="宋体"/>
          <w:color w:val="auto"/>
          <w:highlight w:val="none"/>
        </w:rPr>
        <w:t>12.4.2 进度付款申请单的编制</w:t>
      </w:r>
    </w:p>
    <w:p>
      <w:pPr>
        <w:spacing w:line="360" w:lineRule="auto"/>
        <w:ind w:firstLine="420" w:firstLineChars="200"/>
        <w:jc w:val="left"/>
        <w:rPr>
          <w:rFonts w:hint="eastAsia" w:ascii="宋体" w:hAnsi="宋体"/>
          <w:color w:val="auto"/>
          <w:szCs w:val="21"/>
          <w:highlight w:val="none"/>
          <w:u w:val="single"/>
        </w:rPr>
      </w:pPr>
      <w:r>
        <w:rPr>
          <w:rFonts w:ascii="宋体" w:hAnsi="宋体"/>
          <w:color w:val="auto"/>
          <w:highlight w:val="none"/>
        </w:rPr>
        <w:t>关于进度付款申请单编制的约定：</w:t>
      </w:r>
      <w:r>
        <w:rPr>
          <w:rFonts w:hint="eastAsia" w:ascii="宋体" w:hAnsi="宋体"/>
          <w:color w:val="auto"/>
          <w:szCs w:val="21"/>
          <w:highlight w:val="none"/>
          <w:u w:val="single"/>
        </w:rPr>
        <w:t>工程施工期间付至经审核完成工程量的60%，付款总额不超过合同价的60%，结算资料在规定时间内（3个月）送审付至合同价65%，审定结束后付至审定价的97%，余款保修期后付清。</w:t>
      </w:r>
    </w:p>
    <w:p>
      <w:pPr>
        <w:spacing w:line="360" w:lineRule="auto"/>
        <w:ind w:firstLine="420" w:firstLineChars="200"/>
        <w:jc w:val="left"/>
        <w:rPr>
          <w:rFonts w:hint="default" w:eastAsia="宋体"/>
          <w:b w:val="0"/>
          <w:bCs w:val="0"/>
          <w:color w:val="auto"/>
          <w:highlight w:val="none"/>
          <w:u w:val="none"/>
          <w:lang w:val="en-US" w:eastAsia="zh-CN"/>
        </w:rPr>
      </w:pPr>
      <w:r>
        <w:rPr>
          <w:rFonts w:hint="eastAsia" w:ascii="宋体" w:hAnsi="宋体"/>
          <w:color w:val="auto"/>
          <w:szCs w:val="21"/>
          <w:highlight w:val="none"/>
          <w:u w:val="none"/>
          <w:lang w:val="en-US" w:eastAsia="zh-CN"/>
        </w:rPr>
        <w:t xml:space="preserve"> </w:t>
      </w:r>
      <w:r>
        <w:rPr>
          <w:rFonts w:hint="eastAsia" w:ascii="宋体" w:hAnsi="宋体"/>
          <w:b w:val="0"/>
          <w:bCs w:val="0"/>
          <w:color w:val="auto"/>
          <w:szCs w:val="21"/>
          <w:highlight w:val="none"/>
          <w:u w:val="none"/>
          <w:lang w:val="en-US" w:eastAsia="zh-CN"/>
        </w:rPr>
        <w:t>付款方式：</w:t>
      </w:r>
      <w:r>
        <w:rPr>
          <w:rFonts w:hint="eastAsia" w:ascii="宋体" w:hAnsi="宋体"/>
          <w:b w:val="0"/>
          <w:bCs w:val="0"/>
          <w:color w:val="auto"/>
          <w:szCs w:val="21"/>
          <w:highlight w:val="none"/>
          <w:u w:val="single"/>
          <w:lang w:val="en-US" w:eastAsia="zh-CN"/>
        </w:rPr>
        <w:t>支付10%的预付款（预付款在工程进度款付至60%前全部扣回），</w:t>
      </w:r>
      <w:r>
        <w:rPr>
          <w:rFonts w:hint="eastAsia" w:ascii="宋体" w:hAnsi="宋体"/>
          <w:color w:val="auto"/>
          <w:szCs w:val="21"/>
          <w:highlight w:val="none"/>
          <w:u w:val="single"/>
        </w:rPr>
        <w:t>工程施工期间付至经审核完成工程量的60%，付款总额不超过合同价的60%，结算资料在规定时间内（3个月）送审付至合同价65%，审定结束后付至审定价的97%，余款保修期后付清。</w:t>
      </w:r>
    </w:p>
    <w:p>
      <w:pPr>
        <w:spacing w:line="360" w:lineRule="auto"/>
        <w:ind w:firstLine="420" w:firstLineChars="200"/>
        <w:jc w:val="left"/>
        <w:rPr>
          <w:rFonts w:ascii="宋体" w:hAnsi="宋体"/>
          <w:color w:val="auto"/>
          <w:highlight w:val="none"/>
        </w:rPr>
      </w:pPr>
      <w:r>
        <w:rPr>
          <w:rFonts w:ascii="宋体" w:hAnsi="宋体"/>
          <w:color w:val="auto"/>
          <w:highlight w:val="none"/>
        </w:rPr>
        <w:t>1</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Fonts w:ascii="宋体" w:hAnsi="宋体"/>
          <w:color w:val="auto"/>
          <w:highlight w:val="none"/>
        </w:rPr>
        <w:t>2.4.3 进度付款申请单的提交</w:t>
      </w:r>
    </w:p>
    <w:p>
      <w:pPr>
        <w:spacing w:line="360" w:lineRule="auto"/>
        <w:ind w:firstLine="420" w:firstLineChars="200"/>
        <w:jc w:val="left"/>
        <w:rPr>
          <w:rFonts w:ascii="宋体" w:hAnsi="宋体"/>
          <w:color w:val="auto"/>
          <w:highlight w:val="none"/>
        </w:rPr>
      </w:pPr>
      <w:r>
        <w:rPr>
          <w:rFonts w:ascii="宋体" w:hAnsi="宋体"/>
          <w:color w:val="auto"/>
          <w:highlight w:val="none"/>
        </w:rPr>
        <w:t>（1）单价合同进度付款申请单提交的约定</w:t>
      </w:r>
      <w:r>
        <w:rPr>
          <w:rFonts w:hint="eastAsia" w:ascii="宋体" w:hAnsi="宋体"/>
          <w:color w:val="auto"/>
          <w:highlight w:val="none"/>
        </w:rPr>
        <w:t>：</w:t>
      </w:r>
      <w:r>
        <w:rPr>
          <w:rFonts w:hint="eastAsia" w:ascii="宋体" w:hAnsi="宋体"/>
          <w:color w:val="auto"/>
          <w:szCs w:val="21"/>
          <w:highlight w:val="none"/>
          <w:u w:val="single"/>
        </w:rPr>
        <w:t>承包人每月20日提交工程量计量报告，由监理工程师、发包人代表和跟踪审计三方进行审核</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（2）总价合同进度付款申请单提交的约定</w:t>
      </w:r>
      <w:r>
        <w:rPr>
          <w:rFonts w:hint="eastAsia" w:ascii="宋体" w:hAnsi="宋体"/>
          <w:color w:val="auto"/>
          <w:highlight w:val="none"/>
        </w:rPr>
        <w:t>：</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（3）其他价格形式合同进度付款申请单提交的约定：。</w:t>
      </w:r>
    </w:p>
    <w:p>
      <w:pPr>
        <w:spacing w:line="360" w:lineRule="auto"/>
        <w:ind w:firstLine="420" w:firstLineChars="200"/>
        <w:jc w:val="left"/>
        <w:rPr>
          <w:rFonts w:ascii="宋体" w:hAnsi="宋体"/>
          <w:color w:val="auto"/>
          <w:highlight w:val="none"/>
        </w:rPr>
      </w:pPr>
      <w:r>
        <w:rPr>
          <w:rFonts w:ascii="宋体" w:hAnsi="宋体"/>
          <w:color w:val="auto"/>
          <w:highlight w:val="none"/>
        </w:rPr>
        <w:t>12.4.4 进度款审核和支付</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（1）监理人审查并报送发包人的期限：</w:t>
      </w:r>
      <w:r>
        <w:rPr>
          <w:rFonts w:hint="eastAsia" w:ascii="宋体" w:hAnsi="宋体"/>
          <w:color w:val="auto"/>
          <w:szCs w:val="21"/>
          <w:highlight w:val="none"/>
          <w:u w:val="single"/>
        </w:rPr>
        <w:t>收到申请后7天内</w:t>
      </w:r>
      <w:r>
        <w:rPr>
          <w:rFonts w:ascii="宋体" w:hAnsi="宋体"/>
          <w:color w:val="auto"/>
          <w:highlight w:val="none"/>
        </w:rPr>
        <w:t>。</w:t>
      </w:r>
    </w:p>
    <w:p>
      <w:pPr>
        <w:spacing w:line="360" w:lineRule="auto"/>
        <w:ind w:firstLine="840" w:firstLineChars="400"/>
        <w:jc w:val="left"/>
        <w:rPr>
          <w:rFonts w:ascii="宋体" w:hAnsi="宋体"/>
          <w:color w:val="auto"/>
          <w:highlight w:val="none"/>
        </w:rPr>
      </w:pPr>
      <w:r>
        <w:rPr>
          <w:rFonts w:ascii="宋体" w:hAnsi="宋体"/>
          <w:color w:val="auto"/>
          <w:highlight w:val="none"/>
        </w:rPr>
        <w:t>发包人完成审批并签发进度款支付证书的期限：。</w:t>
      </w:r>
    </w:p>
    <w:p>
      <w:pPr>
        <w:spacing w:line="360" w:lineRule="auto"/>
        <w:ind w:firstLine="420" w:firstLineChars="200"/>
        <w:jc w:val="left"/>
        <w:rPr>
          <w:rFonts w:ascii="宋体" w:hAnsi="宋体"/>
          <w:color w:val="auto"/>
          <w:highlight w:val="none"/>
        </w:rPr>
      </w:pPr>
      <w:r>
        <w:rPr>
          <w:rFonts w:ascii="宋体" w:hAnsi="宋体"/>
          <w:color w:val="auto"/>
          <w:highlight w:val="none"/>
        </w:rPr>
        <w:t>（2）发包人支付进度款的期限：。</w:t>
      </w:r>
    </w:p>
    <w:p>
      <w:pPr>
        <w:spacing w:line="360" w:lineRule="auto"/>
        <w:ind w:firstLine="840" w:firstLineChars="400"/>
        <w:jc w:val="left"/>
        <w:rPr>
          <w:rFonts w:ascii="宋体" w:hAnsi="宋体"/>
          <w:color w:val="auto"/>
          <w:highlight w:val="none"/>
        </w:rPr>
      </w:pPr>
      <w:r>
        <w:rPr>
          <w:rFonts w:ascii="宋体" w:hAnsi="宋体"/>
          <w:color w:val="auto"/>
          <w:highlight w:val="none"/>
        </w:rPr>
        <w:t>发包人逾期支付进度款的违约金的计算方式：</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525" w:firstLineChars="250"/>
        <w:jc w:val="left"/>
        <w:rPr>
          <w:rFonts w:ascii="宋体" w:hAnsi="宋体"/>
          <w:color w:val="auto"/>
          <w:highlight w:val="none"/>
        </w:rPr>
      </w:pPr>
      <w:r>
        <w:rPr>
          <w:rFonts w:ascii="宋体" w:hAnsi="宋体"/>
          <w:color w:val="auto"/>
          <w:highlight w:val="none"/>
        </w:rPr>
        <w:t>12.4.6 支付分解表的编制</w:t>
      </w:r>
    </w:p>
    <w:p>
      <w:pPr>
        <w:spacing w:line="360" w:lineRule="auto"/>
        <w:ind w:left="4200" w:leftChars="200" w:hanging="3780" w:hangingChars="1800"/>
        <w:jc w:val="left"/>
        <w:rPr>
          <w:rFonts w:ascii="宋体" w:hAnsi="宋体"/>
          <w:color w:val="auto"/>
          <w:highlight w:val="none"/>
        </w:rPr>
      </w:pPr>
      <w:r>
        <w:rPr>
          <w:rFonts w:ascii="宋体" w:hAnsi="宋体"/>
          <w:color w:val="auto"/>
          <w:highlight w:val="none"/>
        </w:rPr>
        <w:t>2、总价合同支付分解表的编制与审批：</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3、单价合同的总价项目支付分解表的编制与审批：</w:t>
      </w:r>
      <w:r>
        <w:rPr>
          <w:rFonts w:hint="eastAsia" w:ascii="宋体" w:hAnsi="宋体"/>
          <w:color w:val="auto"/>
          <w:highlight w:val="none"/>
          <w:u w:val="single"/>
        </w:rPr>
        <w:t>/</w:t>
      </w:r>
      <w:r>
        <w:rPr>
          <w:rFonts w:ascii="宋体" w:hAnsi="宋体"/>
          <w:color w:val="auto"/>
          <w:highlight w:val="none"/>
        </w:rPr>
        <w:t>。</w:t>
      </w:r>
    </w:p>
    <w:bookmarkEnd w:id="307"/>
    <w:p>
      <w:pPr>
        <w:keepNext/>
        <w:keepLines/>
        <w:tabs>
          <w:tab w:val="left" w:pos="1080"/>
        </w:tabs>
        <w:spacing w:line="360" w:lineRule="auto"/>
        <w:outlineLvl w:val="3"/>
        <w:rPr>
          <w:rFonts w:ascii="宋体" w:hAnsi="宋体"/>
          <w:bCs/>
          <w:color w:val="auto"/>
          <w:highlight w:val="none"/>
        </w:rPr>
      </w:pPr>
      <w:bookmarkStart w:id="481" w:name="_Toc351203645"/>
      <w:bookmarkStart w:id="482" w:name="_Toc296944558"/>
      <w:bookmarkStart w:id="483" w:name="_Toc297048405"/>
      <w:bookmarkStart w:id="484" w:name="_Toc297216223"/>
      <w:bookmarkStart w:id="485" w:name="_Toc296347218"/>
      <w:bookmarkStart w:id="486" w:name="_Toc296346720"/>
      <w:bookmarkStart w:id="487" w:name="_Toc296891259"/>
      <w:bookmarkStart w:id="488" w:name="_Toc303539172"/>
      <w:bookmarkStart w:id="489" w:name="_Toc297123564"/>
      <w:bookmarkStart w:id="490" w:name="_Toc292559424"/>
      <w:bookmarkStart w:id="491" w:name="_Toc300935015"/>
      <w:bookmarkStart w:id="492" w:name="_Toc296503219"/>
      <w:bookmarkStart w:id="493" w:name="_Toc297120519"/>
      <w:bookmarkStart w:id="494" w:name="_Toc292559929"/>
      <w:bookmarkStart w:id="495" w:name="_Toc296891047"/>
      <w:bookmarkStart w:id="496" w:name="_Toc304295593"/>
      <w:bookmarkStart w:id="497" w:name="_Toc312678053"/>
      <w:r>
        <w:rPr>
          <w:rFonts w:ascii="宋体" w:hAnsi="宋体"/>
          <w:bCs/>
          <w:color w:val="auto"/>
          <w:highlight w:val="none"/>
        </w:rPr>
        <w:t>13.验收和工程试车</w:t>
      </w:r>
      <w:bookmarkEnd w:id="481"/>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spacing w:line="360" w:lineRule="auto"/>
        <w:ind w:firstLine="420" w:firstLineChars="200"/>
        <w:rPr>
          <w:rFonts w:ascii="宋体" w:hAnsi="宋体"/>
          <w:color w:val="auto"/>
          <w:highlight w:val="none"/>
        </w:rPr>
      </w:pPr>
      <w:r>
        <w:rPr>
          <w:rFonts w:ascii="宋体" w:hAnsi="宋体"/>
          <w:color w:val="auto"/>
          <w:highlight w:val="none"/>
        </w:rPr>
        <w:t>13.1 分部分项工程验收</w:t>
      </w:r>
    </w:p>
    <w:p>
      <w:pPr>
        <w:spacing w:line="360" w:lineRule="auto"/>
        <w:ind w:firstLine="420" w:firstLineChars="200"/>
        <w:jc w:val="left"/>
        <w:rPr>
          <w:rFonts w:ascii="宋体" w:hAnsi="宋体"/>
          <w:color w:val="auto"/>
          <w:highlight w:val="none"/>
        </w:rPr>
      </w:pPr>
      <w:r>
        <w:rPr>
          <w:rFonts w:ascii="宋体" w:hAnsi="宋体"/>
          <w:color w:val="auto"/>
          <w:highlight w:val="none"/>
        </w:rPr>
        <w:t>13.1.2监理人不能按时进行验收时，应提前</w:t>
      </w:r>
      <w:r>
        <w:rPr>
          <w:rFonts w:hint="eastAsia" w:ascii="宋体" w:hAnsi="宋体"/>
          <w:color w:val="auto"/>
          <w:highlight w:val="none"/>
          <w:u w:val="single"/>
        </w:rPr>
        <w:t>24</w:t>
      </w:r>
      <w:r>
        <w:rPr>
          <w:rFonts w:ascii="宋体" w:hAnsi="宋体"/>
          <w:color w:val="auto"/>
          <w:highlight w:val="none"/>
        </w:rPr>
        <w:t>小时提交书面延期要求。</w:t>
      </w:r>
    </w:p>
    <w:p>
      <w:pPr>
        <w:spacing w:line="360" w:lineRule="auto"/>
        <w:ind w:firstLine="420" w:firstLineChars="200"/>
        <w:jc w:val="left"/>
        <w:rPr>
          <w:rFonts w:ascii="宋体" w:hAnsi="宋体"/>
          <w:b/>
          <w:color w:val="auto"/>
          <w:highlight w:val="none"/>
        </w:rPr>
      </w:pPr>
      <w:r>
        <w:rPr>
          <w:rFonts w:ascii="宋体" w:hAnsi="宋体"/>
          <w:color w:val="auto"/>
          <w:highlight w:val="none"/>
        </w:rPr>
        <w:t>关于延期最长不得超过：</w:t>
      </w:r>
      <w:r>
        <w:rPr>
          <w:rFonts w:hint="eastAsia" w:ascii="宋体" w:hAnsi="宋体"/>
          <w:color w:val="auto"/>
          <w:highlight w:val="none"/>
          <w:u w:val="single"/>
        </w:rPr>
        <w:t>48</w:t>
      </w:r>
      <w:r>
        <w:rPr>
          <w:rFonts w:ascii="宋体" w:hAnsi="宋体"/>
          <w:color w:val="auto"/>
          <w:highlight w:val="none"/>
        </w:rPr>
        <w:t>小时。</w:t>
      </w:r>
    </w:p>
    <w:p>
      <w:pPr>
        <w:spacing w:line="360" w:lineRule="auto"/>
        <w:ind w:firstLine="420" w:firstLineChars="200"/>
        <w:rPr>
          <w:rFonts w:ascii="宋体" w:hAnsi="宋体"/>
          <w:color w:val="auto"/>
          <w:highlight w:val="none"/>
        </w:rPr>
      </w:pPr>
      <w:bookmarkStart w:id="498" w:name="_Toc300935016"/>
      <w:bookmarkStart w:id="499" w:name="_Toc296346724"/>
      <w:bookmarkStart w:id="500" w:name="_Toc297048409"/>
      <w:bookmarkStart w:id="501" w:name="_Toc296891051"/>
      <w:bookmarkStart w:id="502" w:name="_Toc296503223"/>
      <w:bookmarkStart w:id="503" w:name="_Toc303539173"/>
      <w:bookmarkStart w:id="504" w:name="_Toc297123565"/>
      <w:bookmarkStart w:id="505" w:name="_Toc297216224"/>
      <w:bookmarkStart w:id="506" w:name="_Toc292559428"/>
      <w:bookmarkStart w:id="507" w:name="_Toc296347222"/>
      <w:bookmarkStart w:id="508" w:name="_Toc304295596"/>
      <w:bookmarkStart w:id="509" w:name="_Toc312678056"/>
      <w:bookmarkStart w:id="510" w:name="_Toc292559933"/>
      <w:bookmarkStart w:id="511" w:name="_Toc296891263"/>
      <w:bookmarkStart w:id="512" w:name="_Toc296944562"/>
      <w:bookmarkStart w:id="513" w:name="_Toc297120523"/>
      <w:bookmarkStart w:id="514" w:name="_Toc267251476"/>
      <w:bookmarkStart w:id="515" w:name="_Toc267251470"/>
      <w:bookmarkStart w:id="516" w:name="_Toc267251475"/>
      <w:bookmarkStart w:id="517" w:name="_Toc267251473"/>
      <w:bookmarkStart w:id="518" w:name="_Toc267251474"/>
      <w:bookmarkStart w:id="519" w:name="_Toc267251472"/>
      <w:bookmarkStart w:id="520" w:name="_Toc267251471"/>
      <w:r>
        <w:rPr>
          <w:rFonts w:ascii="宋体" w:hAnsi="宋体"/>
          <w:color w:val="auto"/>
          <w:highlight w:val="none"/>
        </w:rPr>
        <w:t>13.2 竣工验收</w:t>
      </w:r>
    </w:p>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spacing w:line="360" w:lineRule="auto"/>
        <w:ind w:firstLine="420" w:firstLineChars="200"/>
        <w:jc w:val="left"/>
        <w:rPr>
          <w:rFonts w:ascii="宋体" w:hAnsi="宋体"/>
          <w:color w:val="auto"/>
          <w:highlight w:val="none"/>
        </w:rPr>
      </w:pPr>
      <w:bookmarkStart w:id="521" w:name="_Toc280868704"/>
      <w:bookmarkStart w:id="522" w:name="_Toc280868705"/>
      <w:bookmarkStart w:id="523" w:name="_Toc280868706"/>
      <w:bookmarkStart w:id="524" w:name="_Toc280868707"/>
      <w:bookmarkStart w:id="525" w:name="_Toc280868708"/>
      <w:bookmarkStart w:id="526" w:name="_Toc280868709"/>
      <w:r>
        <w:rPr>
          <w:rFonts w:ascii="宋体" w:hAnsi="宋体"/>
          <w:color w:val="auto"/>
          <w:highlight w:val="none"/>
        </w:rPr>
        <w:t>13.2.2竣工验收程序</w:t>
      </w:r>
    </w:p>
    <w:bookmarkEnd w:id="521"/>
    <w:p>
      <w:pPr>
        <w:spacing w:line="360" w:lineRule="auto"/>
        <w:ind w:left="4200" w:leftChars="200" w:hanging="3780" w:hangingChars="1800"/>
        <w:jc w:val="left"/>
        <w:rPr>
          <w:rFonts w:ascii="宋体" w:hAnsi="宋体"/>
          <w:color w:val="auto"/>
          <w:highlight w:val="none"/>
        </w:rPr>
      </w:pPr>
      <w:r>
        <w:rPr>
          <w:rFonts w:ascii="宋体" w:hAnsi="宋体"/>
          <w:color w:val="auto"/>
          <w:kern w:val="0"/>
          <w:highlight w:val="none"/>
        </w:rPr>
        <w:t>关于竣工验收程序的约定：</w:t>
      </w:r>
      <w:r>
        <w:rPr>
          <w:rFonts w:hint="eastAsia" w:ascii="宋体" w:hAnsi="宋体"/>
          <w:color w:val="auto"/>
          <w:highlight w:val="none"/>
          <w:u w:val="single"/>
        </w:rPr>
        <w:t xml:space="preserve">执行通用条款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kern w:val="0"/>
          <w:highlight w:val="none"/>
        </w:rPr>
        <w:t>发包人不按照本项约定组织竣工验收、颁发工程接收证书的违约金的计算方法：</w:t>
      </w:r>
      <w:r>
        <w:rPr>
          <w:rFonts w:hint="eastAsia" w:ascii="宋体" w:hAnsi="宋体"/>
          <w:color w:val="auto"/>
          <w:highlight w:val="none"/>
          <w:u w:val="single"/>
        </w:rPr>
        <w:t>执行通用条款</w:t>
      </w:r>
      <w:r>
        <w:rPr>
          <w:rFonts w:ascii="宋体" w:hAnsi="宋体"/>
          <w:color w:val="auto"/>
          <w:highlight w:val="none"/>
        </w:rPr>
        <w:t>。</w:t>
      </w:r>
    </w:p>
    <w:bookmarkEnd w:id="522"/>
    <w:p>
      <w:pPr>
        <w:spacing w:line="360" w:lineRule="auto"/>
        <w:ind w:firstLine="420" w:firstLineChars="200"/>
        <w:jc w:val="left"/>
        <w:rPr>
          <w:rFonts w:ascii="宋体" w:hAnsi="宋体"/>
          <w:color w:val="auto"/>
          <w:highlight w:val="none"/>
        </w:rPr>
      </w:pPr>
      <w:r>
        <w:rPr>
          <w:rFonts w:ascii="宋体" w:hAnsi="宋体"/>
          <w:color w:val="auto"/>
          <w:highlight w:val="none"/>
        </w:rPr>
        <w:t>13.2.5移交、接收全部与部分工程</w:t>
      </w:r>
    </w:p>
    <w:bookmarkEnd w:id="523"/>
    <w:p>
      <w:pPr>
        <w:spacing w:line="360" w:lineRule="auto"/>
        <w:ind w:firstLine="420" w:firstLineChars="200"/>
        <w:jc w:val="left"/>
        <w:rPr>
          <w:rFonts w:ascii="宋体" w:hAnsi="宋体"/>
          <w:color w:val="auto"/>
          <w:kern w:val="0"/>
          <w:highlight w:val="none"/>
        </w:rPr>
      </w:pPr>
      <w:r>
        <w:rPr>
          <w:rFonts w:hint="eastAsia" w:ascii="宋体" w:hAnsi="宋体"/>
          <w:color w:val="auto"/>
          <w:kern w:val="0"/>
          <w:highlight w:val="none"/>
        </w:rPr>
        <w:t>承包人向发包人移交工程的期限：</w:t>
      </w:r>
      <w:r>
        <w:rPr>
          <w:rFonts w:hint="eastAsia" w:ascii="宋体" w:hAnsi="宋体"/>
          <w:color w:val="auto"/>
          <w:szCs w:val="21"/>
          <w:highlight w:val="none"/>
          <w:u w:val="single"/>
        </w:rPr>
        <w:t>颁发工程接收证书后7天内</w:t>
      </w:r>
      <w:r>
        <w:rPr>
          <w:rFonts w:hint="eastAsia" w:ascii="宋体" w:hAnsi="宋体"/>
          <w:color w:val="auto"/>
          <w:highlight w:val="none"/>
        </w:rPr>
        <w:t>。</w:t>
      </w:r>
    </w:p>
    <w:p>
      <w:pPr>
        <w:spacing w:line="360" w:lineRule="auto"/>
        <w:ind w:firstLine="420" w:firstLineChars="200"/>
        <w:jc w:val="left"/>
        <w:rPr>
          <w:rFonts w:ascii="宋体" w:hAnsi="宋体"/>
          <w:color w:val="auto"/>
          <w:highlight w:val="none"/>
          <w:u w:val="single"/>
        </w:rPr>
      </w:pPr>
      <w:r>
        <w:rPr>
          <w:rFonts w:ascii="宋体" w:hAnsi="宋体"/>
          <w:color w:val="auto"/>
          <w:kern w:val="0"/>
          <w:highlight w:val="none"/>
        </w:rPr>
        <w:t>发包人未按本合同约定接收全部或部分工程的，违约金的计算方法为：</w:t>
      </w:r>
      <w:r>
        <w:rPr>
          <w:rFonts w:hint="eastAsia" w:ascii="宋体" w:hAnsi="宋体"/>
          <w:color w:val="auto"/>
          <w:highlight w:val="none"/>
          <w:u w:val="single"/>
        </w:rPr>
        <w:t xml:space="preserve">/    </w:t>
      </w:r>
      <w:r>
        <w:rPr>
          <w:rFonts w:ascii="宋体" w:hAnsi="宋体"/>
          <w:color w:val="auto"/>
          <w:highlight w:val="none"/>
        </w:rPr>
        <w:t>。</w:t>
      </w:r>
    </w:p>
    <w:bookmarkEnd w:id="524"/>
    <w:p>
      <w:pPr>
        <w:spacing w:line="360" w:lineRule="auto"/>
        <w:ind w:firstLine="420" w:firstLineChars="200"/>
        <w:jc w:val="left"/>
        <w:rPr>
          <w:rFonts w:ascii="宋体" w:hAnsi="宋体"/>
          <w:color w:val="auto"/>
          <w:highlight w:val="none"/>
        </w:rPr>
      </w:pPr>
      <w:r>
        <w:rPr>
          <w:rFonts w:ascii="宋体" w:hAnsi="宋体"/>
          <w:color w:val="auto"/>
          <w:highlight w:val="none"/>
        </w:rPr>
        <w:t>承包人未按时移交工程的，违约金的计算方法为：</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13.3 工程试车</w:t>
      </w:r>
    </w:p>
    <w:bookmarkEnd w:id="525"/>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13.3.1 试车程序</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工程试车内容：</w:t>
      </w:r>
      <w:r>
        <w:rPr>
          <w:rFonts w:ascii="宋体" w:hAnsi="宋体"/>
          <w:color w:val="auto"/>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（1）单机无负荷试车费用由</w:t>
      </w:r>
      <w:r>
        <w:rPr>
          <w:rFonts w:hint="eastAsia" w:ascii="宋体" w:hAnsi="宋体"/>
          <w:color w:val="auto"/>
          <w:highlight w:val="none"/>
          <w:u w:val="single"/>
        </w:rPr>
        <w:t>/</w:t>
      </w:r>
      <w:r>
        <w:rPr>
          <w:rFonts w:ascii="宋体" w:hAnsi="宋体"/>
          <w:color w:val="auto"/>
          <w:kern w:val="0"/>
          <w:highlight w:val="none"/>
        </w:rPr>
        <w:t>承担；</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（2）无负荷联动试车费用由</w:t>
      </w:r>
      <w:r>
        <w:rPr>
          <w:rFonts w:hint="eastAsia" w:ascii="宋体" w:hAnsi="宋体"/>
          <w:color w:val="auto"/>
          <w:highlight w:val="none"/>
          <w:u w:val="single"/>
        </w:rPr>
        <w:t>/</w:t>
      </w:r>
      <w:r>
        <w:rPr>
          <w:rFonts w:ascii="宋体" w:hAnsi="宋体"/>
          <w:color w:val="auto"/>
          <w:kern w:val="0"/>
          <w:highlight w:val="none"/>
        </w:rPr>
        <w:t>承担。</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13.3.3 投料试车</w:t>
      </w:r>
    </w:p>
    <w:p>
      <w:pPr>
        <w:spacing w:line="360" w:lineRule="auto"/>
        <w:ind w:firstLine="420" w:firstLineChars="200"/>
        <w:jc w:val="left"/>
        <w:rPr>
          <w:rFonts w:ascii="宋体" w:hAnsi="宋体"/>
          <w:color w:val="auto"/>
          <w:kern w:val="0"/>
          <w:highlight w:val="none"/>
        </w:rPr>
      </w:pPr>
      <w:r>
        <w:rPr>
          <w:rFonts w:hint="eastAsia" w:ascii="宋体" w:hAnsi="宋体"/>
          <w:color w:val="auto"/>
          <w:kern w:val="0"/>
          <w:highlight w:val="none"/>
        </w:rPr>
        <w:t>关于投料试车相关事项的约定：</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13.6 竣工退场</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13.6.1 竣工退场</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承包人完成竣工退场的期限：</w:t>
      </w:r>
      <w:r>
        <w:rPr>
          <w:rFonts w:hint="eastAsia" w:ascii="宋体" w:hAnsi="宋体"/>
          <w:color w:val="auto"/>
          <w:szCs w:val="21"/>
          <w:highlight w:val="none"/>
          <w:u w:val="single"/>
        </w:rPr>
        <w:t>颁发工程接收证书后3天内</w:t>
      </w:r>
      <w:r>
        <w:rPr>
          <w:rFonts w:ascii="宋体" w:hAnsi="宋体"/>
          <w:color w:val="auto"/>
          <w:kern w:val="0"/>
          <w:highlight w:val="none"/>
        </w:rPr>
        <w:t>。</w:t>
      </w:r>
    </w:p>
    <w:p>
      <w:pPr>
        <w:keepNext/>
        <w:keepLines/>
        <w:tabs>
          <w:tab w:val="left" w:pos="1080"/>
        </w:tabs>
        <w:spacing w:line="360" w:lineRule="auto"/>
        <w:outlineLvl w:val="3"/>
        <w:rPr>
          <w:rFonts w:ascii="宋体" w:hAnsi="宋体"/>
          <w:bCs/>
          <w:color w:val="auto"/>
          <w:highlight w:val="none"/>
        </w:rPr>
      </w:pPr>
      <w:bookmarkStart w:id="527" w:name="_Toc351203646"/>
      <w:r>
        <w:rPr>
          <w:rFonts w:ascii="宋体" w:hAnsi="宋体"/>
          <w:bCs/>
          <w:color w:val="auto"/>
          <w:highlight w:val="none"/>
        </w:rPr>
        <w:t>14. 竣工结算</w:t>
      </w:r>
      <w:bookmarkEnd w:id="527"/>
    </w:p>
    <w:p>
      <w:pPr>
        <w:spacing w:line="360" w:lineRule="auto"/>
        <w:ind w:firstLine="420" w:firstLineChars="200"/>
        <w:rPr>
          <w:rFonts w:ascii="宋体" w:hAnsi="宋体"/>
          <w:color w:val="auto"/>
          <w:highlight w:val="none"/>
        </w:rPr>
      </w:pPr>
      <w:r>
        <w:rPr>
          <w:rFonts w:ascii="宋体" w:hAnsi="宋体"/>
          <w:color w:val="auto"/>
          <w:highlight w:val="none"/>
        </w:rPr>
        <w:t>14.1 竣工</w:t>
      </w:r>
      <w:r>
        <w:rPr>
          <w:rFonts w:hint="eastAsia" w:ascii="宋体" w:hAnsi="宋体"/>
          <w:color w:val="auto"/>
          <w:highlight w:val="none"/>
        </w:rPr>
        <w:t>结算</w:t>
      </w:r>
      <w:r>
        <w:rPr>
          <w:rFonts w:ascii="宋体" w:hAnsi="宋体"/>
          <w:color w:val="auto"/>
          <w:highlight w:val="none"/>
        </w:rPr>
        <w:t>申请</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承包人提交竣工</w:t>
      </w:r>
      <w:r>
        <w:rPr>
          <w:rFonts w:hint="eastAsia" w:ascii="宋体" w:hAnsi="宋体"/>
          <w:color w:val="auto"/>
          <w:highlight w:val="none"/>
        </w:rPr>
        <w:t>结算</w:t>
      </w:r>
      <w:r>
        <w:rPr>
          <w:rFonts w:ascii="宋体" w:hAnsi="宋体"/>
          <w:color w:val="auto"/>
          <w:highlight w:val="none"/>
        </w:rPr>
        <w:t>申请单的期限：</w:t>
      </w:r>
      <w:r>
        <w:rPr>
          <w:rFonts w:hint="eastAsia" w:ascii="宋体" w:hAnsi="宋体"/>
          <w:color w:val="auto"/>
          <w:highlight w:val="none"/>
          <w:u w:val="single"/>
        </w:rPr>
        <w:t>工程施工项目完工验收交付后，施工单位应按照合同约定时间尽快组织完成结算送审工作，若有特殊情况，应提交情况说明供审批确认，非合理特殊原因，送审时间不得超过【完工验收后 3个月】。超期送审的在结算阶段作为违约处罚，在竣工验收后3-6个月内送审的审计后让利2%，在竣工验收后6-9个月内送审的审计后让利5%，在竣工验收后9-12个月内送审的审计后让利8%，在竣工验收后12个月以上送审的审计后让利10%。</w:t>
      </w:r>
    </w:p>
    <w:p>
      <w:pPr>
        <w:spacing w:line="360" w:lineRule="auto"/>
        <w:ind w:firstLine="420" w:firstLineChars="200"/>
        <w:jc w:val="left"/>
        <w:rPr>
          <w:rFonts w:ascii="宋体" w:hAnsi="宋体"/>
          <w:color w:val="auto"/>
          <w:highlight w:val="none"/>
        </w:rPr>
      </w:pPr>
      <w:r>
        <w:rPr>
          <w:rFonts w:ascii="宋体" w:hAnsi="宋体"/>
          <w:color w:val="auto"/>
          <w:highlight w:val="none"/>
        </w:rPr>
        <w:t>竣工</w:t>
      </w:r>
      <w:r>
        <w:rPr>
          <w:rFonts w:hint="eastAsia" w:ascii="宋体" w:hAnsi="宋体"/>
          <w:color w:val="auto"/>
          <w:highlight w:val="none"/>
        </w:rPr>
        <w:t>结算</w:t>
      </w:r>
      <w:r>
        <w:rPr>
          <w:rFonts w:ascii="宋体" w:hAnsi="宋体"/>
          <w:color w:val="auto"/>
          <w:highlight w:val="none"/>
        </w:rPr>
        <w:t>申请单应包括的内容：</w:t>
      </w:r>
      <w:bookmarkStart w:id="528" w:name="_Hlk509560753"/>
      <w:r>
        <w:rPr>
          <w:rFonts w:hint="eastAsia" w:ascii="宋体" w:hAnsi="宋体"/>
          <w:color w:val="auto"/>
          <w:highlight w:val="none"/>
          <w:u w:val="single"/>
        </w:rPr>
        <w:t>执行通用条款</w:t>
      </w:r>
      <w:bookmarkEnd w:id="528"/>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14.2 竣工结算审核</w:t>
      </w:r>
    </w:p>
    <w:p>
      <w:pPr>
        <w:spacing w:line="360" w:lineRule="auto"/>
        <w:ind w:firstLine="420" w:firstLineChars="200"/>
        <w:jc w:val="left"/>
        <w:rPr>
          <w:rFonts w:ascii="宋体" w:hAnsi="宋体"/>
          <w:color w:val="auto"/>
          <w:highlight w:val="none"/>
        </w:rPr>
      </w:pPr>
      <w:r>
        <w:rPr>
          <w:rFonts w:ascii="宋体" w:hAnsi="宋体"/>
          <w:color w:val="auto"/>
          <w:highlight w:val="none"/>
        </w:rPr>
        <w:t>发包人</w:t>
      </w:r>
      <w:r>
        <w:rPr>
          <w:rFonts w:hint="eastAsia" w:ascii="宋体" w:hAnsi="宋体"/>
          <w:color w:val="auto"/>
          <w:highlight w:val="none"/>
        </w:rPr>
        <w:t>审批</w:t>
      </w:r>
      <w:r>
        <w:rPr>
          <w:rFonts w:ascii="宋体" w:hAnsi="宋体"/>
          <w:color w:val="auto"/>
          <w:highlight w:val="none"/>
        </w:rPr>
        <w:t>竣工付款申请单的期限：</w:t>
      </w:r>
      <w:r>
        <w:rPr>
          <w:rFonts w:hint="eastAsia" w:ascii="宋体" w:hAnsi="宋体"/>
          <w:color w:val="auto"/>
          <w:szCs w:val="21"/>
          <w:highlight w:val="none"/>
          <w:u w:val="single"/>
        </w:rPr>
        <w:t>收到竣工付款申请单</w:t>
      </w:r>
      <w:r>
        <w:rPr>
          <w:rFonts w:ascii="宋体" w:hAnsi="宋体"/>
          <w:color w:val="auto"/>
          <w:szCs w:val="21"/>
          <w:highlight w:val="none"/>
          <w:u w:val="single"/>
        </w:rPr>
        <w:t>28</w:t>
      </w:r>
      <w:r>
        <w:rPr>
          <w:rFonts w:hint="eastAsia" w:ascii="宋体" w:hAnsi="宋体"/>
          <w:color w:val="auto"/>
          <w:szCs w:val="21"/>
          <w:highlight w:val="none"/>
          <w:u w:val="single"/>
        </w:rPr>
        <w:t>天内</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发包人完成竣工付款的期限：</w:t>
      </w:r>
      <w:r>
        <w:rPr>
          <w:rFonts w:hint="eastAsia" w:ascii="宋体" w:hAnsi="宋体"/>
          <w:color w:val="auto"/>
          <w:szCs w:val="21"/>
          <w:highlight w:val="none"/>
          <w:u w:val="single"/>
        </w:rPr>
        <w:t>签发竣工付款申请单</w:t>
      </w:r>
      <w:r>
        <w:rPr>
          <w:rFonts w:ascii="宋体" w:hAnsi="宋体"/>
          <w:color w:val="auto"/>
          <w:szCs w:val="21"/>
          <w:highlight w:val="none"/>
          <w:u w:val="single"/>
        </w:rPr>
        <w:t>28</w:t>
      </w:r>
      <w:r>
        <w:rPr>
          <w:rFonts w:hint="eastAsia" w:ascii="宋体" w:hAnsi="宋体"/>
          <w:color w:val="auto"/>
          <w:szCs w:val="21"/>
          <w:highlight w:val="none"/>
          <w:u w:val="single"/>
        </w:rPr>
        <w:t>天内</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关于竣工付款证书异议部分复核的方式和程序：</w:t>
      </w:r>
      <w:r>
        <w:rPr>
          <w:rFonts w:hint="eastAsia" w:ascii="宋体" w:hAnsi="宋体"/>
          <w:color w:val="auto"/>
          <w:highlight w:val="none"/>
          <w:u w:val="single"/>
        </w:rPr>
        <w:t xml:space="preserve"> 执行通用条款    </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14.4 最终结清</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14.4.1 最终结清申请单</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承包人提交最终结清申请单的份数：</w:t>
      </w:r>
      <w:r>
        <w:rPr>
          <w:rFonts w:hint="eastAsia" w:ascii="宋体" w:hAnsi="宋体"/>
          <w:color w:val="auto"/>
          <w:szCs w:val="21"/>
          <w:highlight w:val="none"/>
          <w:u w:val="single"/>
        </w:rPr>
        <w:t>四份</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kern w:val="0"/>
          <w:highlight w:val="none"/>
        </w:rPr>
        <w:t>承包人提交最终结算申请单的期限：</w:t>
      </w:r>
      <w:r>
        <w:rPr>
          <w:rFonts w:hint="eastAsia" w:ascii="宋体" w:hAnsi="宋体"/>
          <w:color w:val="auto"/>
          <w:szCs w:val="21"/>
          <w:highlight w:val="none"/>
          <w:u w:val="single"/>
        </w:rPr>
        <w:t>缺陷期满7天内</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14.4.2 最终结清证书和支付</w:t>
      </w:r>
    </w:p>
    <w:p>
      <w:pPr>
        <w:spacing w:line="360" w:lineRule="auto"/>
        <w:ind w:firstLine="420" w:firstLineChars="200"/>
        <w:jc w:val="left"/>
        <w:rPr>
          <w:rFonts w:ascii="宋体" w:hAnsi="宋体"/>
          <w:color w:val="auto"/>
          <w:highlight w:val="none"/>
        </w:rPr>
      </w:pPr>
      <w:r>
        <w:rPr>
          <w:rFonts w:ascii="宋体" w:hAnsi="宋体"/>
          <w:color w:val="auto"/>
          <w:highlight w:val="none"/>
        </w:rPr>
        <w:t>（1）发包人完成最终结清申请单的</w:t>
      </w:r>
      <w:r>
        <w:rPr>
          <w:rFonts w:hint="eastAsia" w:ascii="宋体" w:hAnsi="宋体"/>
          <w:color w:val="auto"/>
          <w:highlight w:val="none"/>
        </w:rPr>
        <w:t>审批</w:t>
      </w:r>
      <w:r>
        <w:rPr>
          <w:rFonts w:ascii="宋体" w:hAnsi="宋体"/>
          <w:color w:val="auto"/>
          <w:highlight w:val="none"/>
        </w:rPr>
        <w:t>并颁发最终结清证书的期限：</w:t>
      </w:r>
      <w:r>
        <w:rPr>
          <w:rFonts w:hint="eastAsia" w:ascii="宋体" w:hAnsi="宋体"/>
          <w:color w:val="auto"/>
          <w:szCs w:val="21"/>
          <w:highlight w:val="none"/>
          <w:u w:val="single"/>
        </w:rPr>
        <w:t>收到申请28天内</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（2）发包人完成支付的期限：</w:t>
      </w:r>
      <w:r>
        <w:rPr>
          <w:rFonts w:hint="eastAsia" w:ascii="宋体" w:hAnsi="宋体"/>
          <w:color w:val="auto"/>
          <w:szCs w:val="21"/>
          <w:highlight w:val="none"/>
          <w:u w:val="single"/>
        </w:rPr>
        <w:t>申请签发后14天内</w:t>
      </w:r>
      <w:r>
        <w:rPr>
          <w:rFonts w:ascii="宋体" w:hAnsi="宋体"/>
          <w:color w:val="auto"/>
          <w:highlight w:val="none"/>
        </w:rPr>
        <w:t>。</w:t>
      </w:r>
    </w:p>
    <w:bookmarkEnd w:id="514"/>
    <w:bookmarkEnd w:id="515"/>
    <w:bookmarkEnd w:id="516"/>
    <w:bookmarkEnd w:id="517"/>
    <w:bookmarkEnd w:id="518"/>
    <w:bookmarkEnd w:id="519"/>
    <w:bookmarkEnd w:id="520"/>
    <w:bookmarkEnd w:id="526"/>
    <w:p>
      <w:pPr>
        <w:keepNext/>
        <w:keepLines/>
        <w:tabs>
          <w:tab w:val="left" w:pos="1080"/>
        </w:tabs>
        <w:spacing w:line="360" w:lineRule="auto"/>
        <w:outlineLvl w:val="3"/>
        <w:rPr>
          <w:rFonts w:ascii="宋体" w:hAnsi="宋体"/>
          <w:bCs/>
          <w:color w:val="auto"/>
          <w:highlight w:val="none"/>
        </w:rPr>
      </w:pPr>
      <w:bookmarkStart w:id="529" w:name="_Toc351203647"/>
      <w:bookmarkStart w:id="530" w:name="_Toc267251483"/>
      <w:bookmarkStart w:id="531" w:name="_Toc267251484"/>
      <w:bookmarkStart w:id="532" w:name="_Toc267251482"/>
      <w:bookmarkStart w:id="533" w:name="_Toc267251485"/>
      <w:bookmarkStart w:id="534" w:name="_Toc267251486"/>
      <w:bookmarkStart w:id="535" w:name="_Toc267251490"/>
      <w:bookmarkStart w:id="536" w:name="_Toc267251489"/>
      <w:bookmarkStart w:id="537" w:name="_Toc267251488"/>
      <w:bookmarkStart w:id="538" w:name="_Toc267251493"/>
      <w:bookmarkStart w:id="539" w:name="_Toc267251491"/>
      <w:bookmarkStart w:id="540" w:name="_Toc267251497"/>
      <w:bookmarkStart w:id="541" w:name="_Toc267251498"/>
      <w:bookmarkStart w:id="542" w:name="_Toc267251494"/>
      <w:bookmarkStart w:id="543" w:name="_Toc267251503"/>
      <w:bookmarkStart w:id="544" w:name="_Toc267251492"/>
      <w:bookmarkStart w:id="545" w:name="_Toc267251502"/>
      <w:bookmarkStart w:id="546" w:name="_Toc267251495"/>
      <w:bookmarkStart w:id="547" w:name="_Toc267251499"/>
      <w:bookmarkStart w:id="548" w:name="_Toc267251501"/>
      <w:bookmarkStart w:id="549" w:name="_Toc267251496"/>
      <w:bookmarkStart w:id="550" w:name="_Toc267251506"/>
      <w:bookmarkStart w:id="551" w:name="_Toc267251504"/>
      <w:bookmarkStart w:id="552" w:name="_Toc267251507"/>
      <w:bookmarkStart w:id="553" w:name="_Toc267251508"/>
      <w:bookmarkStart w:id="554" w:name="_Toc267251515"/>
      <w:bookmarkStart w:id="555" w:name="_Toc267251510"/>
      <w:bookmarkStart w:id="556" w:name="_Toc267251513"/>
      <w:bookmarkStart w:id="557" w:name="_Toc267251511"/>
      <w:bookmarkStart w:id="558" w:name="_Toc267251514"/>
      <w:bookmarkStart w:id="559" w:name="_Toc267251509"/>
      <w:r>
        <w:rPr>
          <w:rFonts w:ascii="宋体" w:hAnsi="宋体"/>
          <w:bCs/>
          <w:color w:val="auto"/>
          <w:highlight w:val="none"/>
        </w:rPr>
        <w:t>15. 缺陷责任期与保修</w:t>
      </w:r>
      <w:bookmarkEnd w:id="529"/>
    </w:p>
    <w:p>
      <w:pPr>
        <w:spacing w:line="360" w:lineRule="auto"/>
        <w:ind w:firstLine="420" w:firstLineChars="200"/>
        <w:rPr>
          <w:rFonts w:ascii="宋体" w:hAnsi="宋体"/>
          <w:color w:val="auto"/>
          <w:highlight w:val="none"/>
        </w:rPr>
      </w:pPr>
      <w:r>
        <w:rPr>
          <w:rFonts w:ascii="宋体" w:hAnsi="宋体"/>
          <w:color w:val="auto"/>
          <w:highlight w:val="none"/>
        </w:rPr>
        <w:t>15.2缺陷责任期</w:t>
      </w:r>
      <w:bookmarkEnd w:id="530"/>
    </w:p>
    <w:p>
      <w:pPr>
        <w:spacing w:line="360" w:lineRule="auto"/>
        <w:ind w:firstLine="420" w:firstLineChars="200"/>
        <w:jc w:val="left"/>
        <w:rPr>
          <w:rFonts w:ascii="宋体" w:hAnsi="宋体"/>
          <w:color w:val="auto"/>
          <w:highlight w:val="none"/>
        </w:rPr>
      </w:pPr>
      <w:r>
        <w:rPr>
          <w:rFonts w:ascii="宋体" w:hAnsi="宋体"/>
          <w:color w:val="auto"/>
          <w:highlight w:val="none"/>
        </w:rPr>
        <w:t>缺陷责任期的具体期限：</w:t>
      </w:r>
      <w:r>
        <w:rPr>
          <w:rFonts w:hint="eastAsia" w:ascii="宋体" w:hAnsi="宋体"/>
          <w:color w:val="auto"/>
          <w:szCs w:val="21"/>
          <w:highlight w:val="none"/>
          <w:u w:val="single"/>
        </w:rPr>
        <w:t>24个月</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15.3 质量保证金</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关于是否扣留质量保证金的约定：</w:t>
      </w:r>
      <w:r>
        <w:rPr>
          <w:rFonts w:hint="eastAsia" w:ascii="宋体" w:hAnsi="宋体"/>
          <w:color w:val="auto"/>
          <w:szCs w:val="21"/>
          <w:highlight w:val="none"/>
          <w:u w:val="single"/>
        </w:rPr>
        <w:t>扣留</w:t>
      </w:r>
      <w:r>
        <w:rPr>
          <w:rFonts w:ascii="宋体" w:hAnsi="宋体"/>
          <w:color w:val="auto"/>
          <w:highlight w:val="none"/>
        </w:rPr>
        <w:t>。</w:t>
      </w:r>
      <w:r>
        <w:rPr>
          <w:rFonts w:hint="eastAsia" w:ascii="宋体" w:hAnsi="宋体"/>
          <w:color w:val="auto"/>
          <w:highlight w:val="none"/>
        </w:rPr>
        <w:t>在工程项目竣工前，承包人按专用合同条款第3.7条提供履约担保的，发包人不得同时预留工程质量保证金。</w:t>
      </w:r>
    </w:p>
    <w:p>
      <w:pPr>
        <w:spacing w:line="360" w:lineRule="auto"/>
        <w:ind w:firstLine="420" w:firstLineChars="200"/>
        <w:jc w:val="left"/>
        <w:outlineLvl w:val="0"/>
        <w:rPr>
          <w:rFonts w:ascii="宋体" w:hAnsi="宋体"/>
          <w:color w:val="auto"/>
          <w:highlight w:val="none"/>
        </w:rPr>
      </w:pPr>
      <w:r>
        <w:rPr>
          <w:rFonts w:ascii="宋体" w:hAnsi="宋体"/>
          <w:color w:val="auto"/>
          <w:highlight w:val="none"/>
        </w:rPr>
        <w:t xml:space="preserve">15.3.1 </w:t>
      </w:r>
      <w:r>
        <w:rPr>
          <w:rFonts w:hint="eastAsia" w:ascii="宋体" w:hAnsi="宋体"/>
          <w:color w:val="auto"/>
          <w:highlight w:val="none"/>
        </w:rPr>
        <w:t>承包人提供</w:t>
      </w:r>
      <w:r>
        <w:rPr>
          <w:rFonts w:ascii="宋体" w:hAnsi="宋体"/>
          <w:color w:val="auto"/>
          <w:highlight w:val="none"/>
        </w:rPr>
        <w:t>质量保证金的</w:t>
      </w:r>
      <w:r>
        <w:rPr>
          <w:rFonts w:hint="eastAsia" w:ascii="宋体" w:hAnsi="宋体"/>
          <w:color w:val="auto"/>
          <w:highlight w:val="none"/>
        </w:rPr>
        <w:t>方</w:t>
      </w:r>
      <w:r>
        <w:rPr>
          <w:rFonts w:ascii="宋体" w:hAnsi="宋体"/>
          <w:color w:val="auto"/>
          <w:highlight w:val="none"/>
        </w:rPr>
        <w:t>式</w:t>
      </w:r>
    </w:p>
    <w:p>
      <w:pPr>
        <w:spacing w:line="360" w:lineRule="auto"/>
        <w:ind w:firstLine="420" w:firstLineChars="200"/>
        <w:jc w:val="left"/>
        <w:rPr>
          <w:rFonts w:ascii="宋体" w:hAnsi="宋体"/>
          <w:color w:val="auto"/>
          <w:highlight w:val="none"/>
        </w:rPr>
      </w:pPr>
      <w:r>
        <w:rPr>
          <w:rFonts w:ascii="宋体" w:hAnsi="宋体"/>
          <w:color w:val="auto"/>
          <w:highlight w:val="none"/>
        </w:rPr>
        <w:t>质量保证金采用以下第</w:t>
      </w:r>
      <w:r>
        <w:rPr>
          <w:rFonts w:hint="eastAsia" w:ascii="宋体" w:hAnsi="宋体"/>
          <w:color w:val="auto"/>
          <w:highlight w:val="none"/>
          <w:u w:val="single"/>
        </w:rPr>
        <w:t xml:space="preserve"> 2 </w:t>
      </w:r>
      <w:r>
        <w:rPr>
          <w:rFonts w:ascii="宋体" w:hAnsi="宋体"/>
          <w:color w:val="auto"/>
          <w:highlight w:val="none"/>
        </w:rPr>
        <w:t>种方式：</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 xml:space="preserve">（1）质量保证金保函，保证金额为：； </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u w:val="single"/>
        </w:rPr>
        <w:t>3</w:t>
      </w:r>
      <w:r>
        <w:rPr>
          <w:rFonts w:ascii="宋体" w:hAnsi="宋体"/>
          <w:color w:val="auto"/>
          <w:kern w:val="0"/>
          <w:highlight w:val="none"/>
        </w:rPr>
        <w:t>%的工程款；</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（3）其他</w:t>
      </w:r>
      <w:r>
        <w:rPr>
          <w:rFonts w:hint="eastAsia" w:ascii="宋体" w:hAnsi="宋体"/>
          <w:color w:val="auto"/>
          <w:kern w:val="0"/>
          <w:highlight w:val="none"/>
        </w:rPr>
        <w:t>方</w:t>
      </w:r>
      <w:r>
        <w:rPr>
          <w:rFonts w:ascii="宋体" w:hAnsi="宋体"/>
          <w:color w:val="auto"/>
          <w:kern w:val="0"/>
          <w:highlight w:val="none"/>
        </w:rPr>
        <w:t>式:。</w:t>
      </w:r>
    </w:p>
    <w:p>
      <w:pPr>
        <w:spacing w:line="360" w:lineRule="auto"/>
        <w:ind w:firstLine="420" w:firstLineChars="200"/>
        <w:jc w:val="left"/>
        <w:outlineLvl w:val="0"/>
        <w:rPr>
          <w:rFonts w:ascii="宋体" w:hAnsi="宋体"/>
          <w:color w:val="auto"/>
          <w:highlight w:val="none"/>
        </w:rPr>
      </w:pPr>
      <w:r>
        <w:rPr>
          <w:rFonts w:ascii="宋体" w:hAnsi="宋体"/>
          <w:color w:val="auto"/>
          <w:highlight w:val="none"/>
        </w:rPr>
        <w:t xml:space="preserve">15.3.2 质量保证金的扣留 </w:t>
      </w:r>
    </w:p>
    <w:p>
      <w:pPr>
        <w:spacing w:line="360" w:lineRule="auto"/>
        <w:ind w:firstLine="420" w:firstLineChars="200"/>
        <w:jc w:val="left"/>
        <w:rPr>
          <w:rFonts w:ascii="宋体" w:hAnsi="宋体"/>
          <w:color w:val="auto"/>
          <w:highlight w:val="none"/>
        </w:rPr>
      </w:pPr>
      <w:r>
        <w:rPr>
          <w:rFonts w:ascii="宋体" w:hAnsi="宋体"/>
          <w:color w:val="auto"/>
          <w:highlight w:val="none"/>
        </w:rPr>
        <w:t>质量保证金的扣留采取以下第</w:t>
      </w:r>
      <w:r>
        <w:rPr>
          <w:rFonts w:hint="eastAsia" w:ascii="宋体" w:hAnsi="宋体"/>
          <w:color w:val="auto"/>
          <w:highlight w:val="none"/>
          <w:u w:val="single"/>
        </w:rPr>
        <w:t xml:space="preserve"> 2 </w:t>
      </w:r>
      <w:r>
        <w:rPr>
          <w:rFonts w:ascii="宋体" w:hAnsi="宋体"/>
          <w:color w:val="auto"/>
          <w:highlight w:val="none"/>
        </w:rPr>
        <w:t>种方式：</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ascii="宋体" w:hAnsi="宋体"/>
          <w:color w:val="auto"/>
          <w:kern w:val="0"/>
          <w:highlight w:val="none"/>
        </w:rPr>
      </w:pPr>
      <w:r>
        <w:rPr>
          <w:rFonts w:ascii="宋体" w:hAnsi="宋体"/>
          <w:color w:val="auto"/>
          <w:kern w:val="0"/>
          <w:highlight w:val="none"/>
        </w:rPr>
        <w:t>（2）工程竣工结算时一次性扣留质量保证金；</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（3）其他扣留方式:。</w:t>
      </w:r>
    </w:p>
    <w:p>
      <w:pPr>
        <w:spacing w:line="360" w:lineRule="auto"/>
        <w:ind w:firstLine="420" w:firstLineChars="200"/>
        <w:jc w:val="left"/>
        <w:rPr>
          <w:rFonts w:ascii="宋体" w:hAnsi="宋体"/>
          <w:color w:val="auto"/>
          <w:highlight w:val="none"/>
        </w:rPr>
      </w:pPr>
      <w:r>
        <w:rPr>
          <w:rFonts w:ascii="宋体" w:hAnsi="宋体"/>
          <w:color w:val="auto"/>
          <w:highlight w:val="none"/>
        </w:rPr>
        <w:t>关于质量保证金的补充约定：</w:t>
      </w:r>
      <w:r>
        <w:rPr>
          <w:rFonts w:hint="eastAsia" w:ascii="宋体" w:hAnsi="宋体"/>
          <w:color w:val="auto"/>
          <w:kern w:val="0"/>
          <w:highlight w:val="none"/>
          <w:u w:val="single"/>
        </w:rPr>
        <w:t xml:space="preserve">/      </w:t>
      </w:r>
      <w:r>
        <w:rPr>
          <w:rFonts w:ascii="宋体" w:hAnsi="宋体"/>
          <w:color w:val="auto"/>
          <w:kern w:val="0"/>
          <w:highlight w:val="none"/>
        </w:rPr>
        <w:t>。</w:t>
      </w:r>
    </w:p>
    <w:bookmarkEnd w:id="531"/>
    <w:bookmarkEnd w:id="532"/>
    <w:p>
      <w:pPr>
        <w:spacing w:line="360" w:lineRule="auto"/>
        <w:ind w:firstLine="420" w:firstLineChars="200"/>
        <w:rPr>
          <w:rFonts w:ascii="宋体" w:hAnsi="宋体"/>
          <w:color w:val="auto"/>
          <w:highlight w:val="none"/>
        </w:rPr>
      </w:pPr>
      <w:r>
        <w:rPr>
          <w:rFonts w:ascii="宋体" w:hAnsi="宋体"/>
          <w:color w:val="auto"/>
          <w:highlight w:val="none"/>
        </w:rPr>
        <w:t>15.4保修</w:t>
      </w:r>
    </w:p>
    <w:bookmarkEnd w:id="533"/>
    <w:p>
      <w:pPr>
        <w:spacing w:line="360" w:lineRule="auto"/>
        <w:ind w:firstLine="409" w:firstLineChars="195"/>
        <w:jc w:val="left"/>
        <w:rPr>
          <w:rFonts w:ascii="宋体" w:hAnsi="宋体"/>
          <w:color w:val="auto"/>
          <w:highlight w:val="none"/>
        </w:rPr>
      </w:pPr>
      <w:r>
        <w:rPr>
          <w:rFonts w:ascii="宋体" w:hAnsi="宋体"/>
          <w:color w:val="auto"/>
          <w:highlight w:val="none"/>
        </w:rPr>
        <w:t>15.4.1 保修责任</w:t>
      </w:r>
    </w:p>
    <w:p>
      <w:pPr>
        <w:spacing w:line="360" w:lineRule="auto"/>
        <w:ind w:firstLine="409" w:firstLineChars="195"/>
        <w:jc w:val="left"/>
        <w:rPr>
          <w:rFonts w:ascii="宋体" w:hAnsi="宋体"/>
          <w:color w:val="auto"/>
          <w:kern w:val="0"/>
          <w:highlight w:val="none"/>
        </w:rPr>
      </w:pPr>
      <w:r>
        <w:rPr>
          <w:rFonts w:ascii="宋体" w:hAnsi="宋体"/>
          <w:color w:val="auto"/>
          <w:highlight w:val="none"/>
        </w:rPr>
        <w:t>工程保修期为：</w:t>
      </w:r>
      <w:r>
        <w:rPr>
          <w:rFonts w:hint="eastAsia" w:ascii="宋体" w:hAnsi="宋体"/>
          <w:color w:val="auto"/>
          <w:kern w:val="0"/>
          <w:highlight w:val="none"/>
          <w:u w:val="single"/>
        </w:rPr>
        <w:t xml:space="preserve">详见合同附件《工程质量保修书》   </w:t>
      </w:r>
      <w:r>
        <w:rPr>
          <w:rFonts w:ascii="宋体" w:hAnsi="宋体"/>
          <w:color w:val="auto"/>
          <w:kern w:val="0"/>
          <w:highlight w:val="none"/>
        </w:rPr>
        <w:t>。</w:t>
      </w:r>
    </w:p>
    <w:p>
      <w:pPr>
        <w:spacing w:line="360" w:lineRule="auto"/>
        <w:ind w:firstLine="409" w:firstLineChars="195"/>
        <w:jc w:val="left"/>
        <w:rPr>
          <w:rFonts w:ascii="宋体" w:hAnsi="宋体"/>
          <w:color w:val="auto"/>
          <w:highlight w:val="none"/>
        </w:rPr>
      </w:pPr>
      <w:r>
        <w:rPr>
          <w:rFonts w:ascii="宋体" w:hAnsi="宋体"/>
          <w:color w:val="auto"/>
          <w:highlight w:val="none"/>
        </w:rPr>
        <w:t>15.4.3 修复通知</w:t>
      </w:r>
    </w:p>
    <w:p>
      <w:pPr>
        <w:spacing w:line="360" w:lineRule="auto"/>
        <w:ind w:firstLine="409" w:firstLineChars="195"/>
        <w:jc w:val="left"/>
        <w:rPr>
          <w:rFonts w:ascii="宋体" w:hAnsi="宋体"/>
          <w:color w:val="auto"/>
          <w:kern w:val="0"/>
          <w:highlight w:val="none"/>
        </w:rPr>
      </w:pPr>
      <w:r>
        <w:rPr>
          <w:rFonts w:ascii="宋体" w:hAnsi="宋体"/>
          <w:color w:val="auto"/>
          <w:kern w:val="0"/>
          <w:highlight w:val="none"/>
        </w:rPr>
        <w:t>承包人收到保修通知并到达工程现场的合理时间：</w:t>
      </w:r>
      <w:r>
        <w:rPr>
          <w:rFonts w:hint="eastAsia" w:ascii="宋体" w:hAnsi="宋体"/>
          <w:color w:val="auto"/>
          <w:kern w:val="0"/>
          <w:szCs w:val="21"/>
          <w:highlight w:val="none"/>
          <w:u w:val="single"/>
        </w:rPr>
        <w:t>影响居民正常生活的要求24小时内到场并修理（时间以电话通知为准），如在48小时内未到场解决问题，甲方有权另行安排施工队伍进行修理，其修理费用甲方有权直接在工程款里扣除</w:t>
      </w:r>
      <w:r>
        <w:rPr>
          <w:rFonts w:ascii="宋体" w:hAnsi="宋体"/>
          <w:color w:val="auto"/>
          <w:kern w:val="0"/>
          <w:highlight w:val="none"/>
        </w:rPr>
        <w:t>。</w:t>
      </w:r>
    </w:p>
    <w:bookmarkEnd w:id="534"/>
    <w:bookmarkEnd w:id="535"/>
    <w:bookmarkEnd w:id="536"/>
    <w:bookmarkEnd w:id="537"/>
    <w:p>
      <w:pPr>
        <w:keepNext/>
        <w:keepLines/>
        <w:tabs>
          <w:tab w:val="left" w:pos="1080"/>
        </w:tabs>
        <w:spacing w:line="360" w:lineRule="auto"/>
        <w:outlineLvl w:val="3"/>
        <w:rPr>
          <w:rFonts w:ascii="宋体" w:hAnsi="宋体"/>
          <w:bCs/>
          <w:color w:val="auto"/>
          <w:highlight w:val="none"/>
        </w:rPr>
      </w:pPr>
      <w:bookmarkStart w:id="560" w:name="_Toc351203648"/>
      <w:bookmarkStart w:id="561" w:name="_Toc280868717"/>
      <w:bookmarkStart w:id="562" w:name="_Toc280868718"/>
      <w:r>
        <w:rPr>
          <w:rFonts w:ascii="宋体" w:hAnsi="宋体"/>
          <w:bCs/>
          <w:color w:val="auto"/>
          <w:highlight w:val="none"/>
        </w:rPr>
        <w:t>16. 违约</w:t>
      </w:r>
      <w:bookmarkEnd w:id="560"/>
    </w:p>
    <w:p>
      <w:pPr>
        <w:spacing w:line="360" w:lineRule="auto"/>
        <w:ind w:firstLine="420" w:firstLineChars="200"/>
        <w:outlineLvl w:val="0"/>
        <w:rPr>
          <w:rFonts w:ascii="宋体" w:hAnsi="宋体"/>
          <w:color w:val="auto"/>
          <w:highlight w:val="none"/>
        </w:rPr>
      </w:pPr>
      <w:r>
        <w:rPr>
          <w:rFonts w:ascii="宋体" w:hAnsi="宋体"/>
          <w:color w:val="auto"/>
          <w:highlight w:val="none"/>
        </w:rPr>
        <w:t>16.1 发包人违约</w:t>
      </w:r>
    </w:p>
    <w:p>
      <w:pPr>
        <w:spacing w:line="360" w:lineRule="auto"/>
        <w:ind w:firstLine="420" w:firstLineChars="200"/>
        <w:jc w:val="left"/>
        <w:rPr>
          <w:rFonts w:ascii="宋体" w:hAnsi="宋体"/>
          <w:color w:val="auto"/>
          <w:highlight w:val="none"/>
        </w:rPr>
      </w:pPr>
      <w:r>
        <w:rPr>
          <w:rFonts w:ascii="宋体" w:hAnsi="宋体"/>
          <w:color w:val="auto"/>
          <w:highlight w:val="none"/>
        </w:rPr>
        <w:t>16.1.1发包人违约的情形</w:t>
      </w:r>
    </w:p>
    <w:p>
      <w:pPr>
        <w:spacing w:line="360" w:lineRule="auto"/>
        <w:ind w:left="1050" w:hanging="1050" w:hangingChars="500"/>
        <w:jc w:val="left"/>
        <w:rPr>
          <w:rFonts w:ascii="宋体" w:hAnsi="宋体"/>
          <w:color w:val="auto"/>
          <w:kern w:val="0"/>
          <w:highlight w:val="none"/>
        </w:rPr>
      </w:pPr>
      <w:r>
        <w:rPr>
          <w:rFonts w:ascii="宋体" w:hAnsi="宋体"/>
          <w:color w:val="auto"/>
          <w:kern w:val="0"/>
          <w:highlight w:val="none"/>
        </w:rPr>
        <w:t>发包人违约的其他情形：</w:t>
      </w:r>
      <w:r>
        <w:rPr>
          <w:rFonts w:hint="eastAsia" w:ascii="宋体" w:hAnsi="宋体"/>
          <w:color w:val="auto"/>
          <w:kern w:val="0"/>
          <w:highlight w:val="none"/>
          <w:u w:val="single"/>
        </w:rPr>
        <w:t>/</w:t>
      </w:r>
      <w:r>
        <w:rPr>
          <w:rFonts w:ascii="宋体" w:hAnsi="宋体"/>
          <w:color w:val="auto"/>
          <w:kern w:val="0"/>
          <w:highlight w:val="none"/>
        </w:rPr>
        <w:t>。</w:t>
      </w:r>
    </w:p>
    <w:p>
      <w:pPr>
        <w:spacing w:line="360" w:lineRule="auto"/>
        <w:ind w:left="1050" w:hanging="1050" w:hangingChars="500"/>
        <w:jc w:val="left"/>
        <w:rPr>
          <w:rFonts w:ascii="宋体" w:hAnsi="宋体"/>
          <w:color w:val="auto"/>
          <w:kern w:val="0"/>
          <w:highlight w:val="none"/>
        </w:rPr>
      </w:pPr>
      <w:r>
        <w:rPr>
          <w:rFonts w:ascii="宋体" w:hAnsi="宋体"/>
          <w:color w:val="auto"/>
          <w:kern w:val="0"/>
          <w:highlight w:val="none"/>
        </w:rPr>
        <w:t xml:space="preserve">    16.1.2 发包人违约的责任</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发包人违约责任的承担方式和计算方法：</w:t>
      </w:r>
    </w:p>
    <w:p>
      <w:pPr>
        <w:spacing w:line="360" w:lineRule="auto"/>
        <w:ind w:firstLine="420" w:firstLineChars="200"/>
        <w:jc w:val="left"/>
        <w:rPr>
          <w:rFonts w:ascii="宋体" w:hAnsi="宋体"/>
          <w:color w:val="auto"/>
          <w:kern w:val="0"/>
          <w:highlight w:val="none"/>
          <w:u w:val="single"/>
        </w:rPr>
      </w:pPr>
      <w:r>
        <w:rPr>
          <w:rFonts w:ascii="宋体" w:hAnsi="宋体"/>
          <w:color w:val="auto"/>
          <w:kern w:val="0"/>
          <w:highlight w:val="none"/>
        </w:rPr>
        <w:t>（1）因发包人原因未能在计划开工日期前7天内下达开工通知的违约责任：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（2）因发包人原因未能按合同约定支付合同价款的违约责任：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（3）发包人违反第10.1款</w:t>
      </w:r>
      <w:r>
        <w:rPr>
          <w:rFonts w:hint="eastAsia" w:ascii="宋体" w:hAnsi="宋体"/>
          <w:color w:val="auto"/>
          <w:kern w:val="0"/>
          <w:highlight w:val="none"/>
        </w:rPr>
        <w:t>〔</w:t>
      </w:r>
      <w:r>
        <w:rPr>
          <w:rFonts w:ascii="宋体" w:hAnsi="宋体"/>
          <w:color w:val="auto"/>
          <w:kern w:val="0"/>
          <w:highlight w:val="none"/>
        </w:rPr>
        <w:t>变更的范围</w:t>
      </w:r>
      <w:r>
        <w:rPr>
          <w:rFonts w:hint="eastAsia" w:ascii="宋体" w:hAnsi="宋体"/>
          <w:color w:val="auto"/>
          <w:kern w:val="0"/>
          <w:highlight w:val="none"/>
        </w:rPr>
        <w:t>〕</w:t>
      </w:r>
      <w:r>
        <w:rPr>
          <w:rFonts w:ascii="宋体" w:hAnsi="宋体"/>
          <w:color w:val="auto"/>
          <w:kern w:val="0"/>
          <w:highlight w:val="none"/>
        </w:rPr>
        <w:t>第（2）项约定，自行实施被取消的工作或转由他人实施的违约责任：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（4）发包人提供的材料、工程设备的规格、数量或质量不符合合同约定，或因发包人原因导致交货日期延误或交货地点变更等情况的违约责任：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（5）因发包人违反合同约定造成暂停施工的违约责任：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（6）发包人无正当理由没有在约定期限内发出复工指示，导致承包人无法复工的违约责任：</w:t>
      </w:r>
      <w:r>
        <w:rPr>
          <w:rFonts w:hint="eastAsia" w:ascii="宋体" w:hAnsi="宋体"/>
          <w:color w:val="auto"/>
          <w:kern w:val="0"/>
          <w:szCs w:val="21"/>
          <w:highlight w:val="none"/>
          <w:u w:val="single"/>
        </w:rPr>
        <w:t>双方另行商定</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（7）</w:t>
      </w:r>
      <w:r>
        <w:rPr>
          <w:rFonts w:hint="eastAsia" w:ascii="宋体" w:hAnsi="宋体"/>
          <w:color w:val="auto"/>
          <w:kern w:val="0"/>
          <w:highlight w:val="none"/>
        </w:rPr>
        <w:t>其他：</w:t>
      </w:r>
      <w:r>
        <w:rPr>
          <w:rFonts w:ascii="宋体" w:hAnsi="宋体"/>
          <w:color w:val="auto"/>
          <w:kern w:val="0"/>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16.1.3 因发包人违约解除合同</w:t>
      </w:r>
    </w:p>
    <w:p>
      <w:pPr>
        <w:autoSpaceDE w:val="0"/>
        <w:autoSpaceDN w:val="0"/>
        <w:adjustRightInd w:val="0"/>
        <w:spacing w:line="360" w:lineRule="auto"/>
        <w:ind w:firstLine="420" w:firstLineChars="200"/>
        <w:jc w:val="left"/>
        <w:rPr>
          <w:rFonts w:ascii="宋体" w:hAnsi="宋体"/>
          <w:color w:val="auto"/>
          <w:kern w:val="0"/>
          <w:highlight w:val="none"/>
        </w:rPr>
      </w:pPr>
      <w:r>
        <w:rPr>
          <w:rFonts w:ascii="宋体" w:hAnsi="宋体"/>
          <w:color w:val="auto"/>
          <w:kern w:val="0"/>
          <w:highlight w:val="none"/>
        </w:rPr>
        <w:t>承包人按16.1.1项</w:t>
      </w:r>
      <w:r>
        <w:rPr>
          <w:rFonts w:hint="eastAsia" w:ascii="宋体" w:hAnsi="宋体"/>
          <w:color w:val="auto"/>
          <w:kern w:val="0"/>
          <w:highlight w:val="none"/>
        </w:rPr>
        <w:t>〔</w:t>
      </w:r>
      <w:r>
        <w:rPr>
          <w:rFonts w:ascii="宋体" w:hAnsi="宋体"/>
          <w:color w:val="auto"/>
          <w:kern w:val="0"/>
          <w:highlight w:val="none"/>
        </w:rPr>
        <w:t>发包人违约的情形</w:t>
      </w:r>
      <w:r>
        <w:rPr>
          <w:rFonts w:hint="eastAsia" w:ascii="宋体" w:hAnsi="宋体"/>
          <w:color w:val="auto"/>
          <w:kern w:val="0"/>
          <w:highlight w:val="none"/>
        </w:rPr>
        <w:t>〕</w:t>
      </w:r>
      <w:r>
        <w:rPr>
          <w:rFonts w:ascii="宋体" w:hAnsi="宋体"/>
          <w:color w:val="auto"/>
          <w:kern w:val="0"/>
          <w:highlight w:val="none"/>
        </w:rPr>
        <w:t>约定暂停施工满天后发包人仍不纠正其违约行为并致使合同目的不能实现的，承包人有权解除合同。</w:t>
      </w:r>
    </w:p>
    <w:p>
      <w:pPr>
        <w:spacing w:line="360" w:lineRule="auto"/>
        <w:ind w:firstLine="420" w:firstLineChars="200"/>
        <w:outlineLvl w:val="0"/>
        <w:rPr>
          <w:rFonts w:ascii="宋体" w:hAnsi="宋体"/>
          <w:color w:val="auto"/>
          <w:highlight w:val="none"/>
        </w:rPr>
      </w:pPr>
      <w:r>
        <w:rPr>
          <w:rFonts w:ascii="宋体" w:hAnsi="宋体"/>
          <w:color w:val="auto"/>
          <w:highlight w:val="none"/>
        </w:rPr>
        <w:t>16.2 承包人违约</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16.2.1 承包人违约的情形</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承包人违约的其他情形：。</w:t>
      </w:r>
    </w:p>
    <w:p>
      <w:pPr>
        <w:spacing w:line="360" w:lineRule="auto"/>
        <w:ind w:firstLine="420" w:firstLineChars="200"/>
        <w:jc w:val="left"/>
        <w:rPr>
          <w:rFonts w:ascii="宋体" w:hAnsi="宋体"/>
          <w:color w:val="auto"/>
          <w:kern w:val="0"/>
          <w:highlight w:val="none"/>
        </w:rPr>
      </w:pPr>
      <w:r>
        <w:rPr>
          <w:rFonts w:ascii="宋体" w:hAnsi="宋体"/>
          <w:color w:val="auto"/>
          <w:kern w:val="0"/>
          <w:highlight w:val="none"/>
        </w:rPr>
        <w:t>16.2.2承包人违约的责任</w:t>
      </w:r>
    </w:p>
    <w:p>
      <w:pPr>
        <w:spacing w:line="360" w:lineRule="auto"/>
        <w:ind w:firstLine="420" w:firstLineChars="200"/>
        <w:jc w:val="left"/>
        <w:rPr>
          <w:rFonts w:ascii="宋体" w:hAnsi="宋体"/>
          <w:color w:val="auto"/>
          <w:kern w:val="0"/>
          <w:highlight w:val="none"/>
          <w:u w:val="single"/>
        </w:rPr>
      </w:pPr>
      <w:r>
        <w:rPr>
          <w:rFonts w:ascii="宋体" w:hAnsi="宋体"/>
          <w:color w:val="auto"/>
          <w:kern w:val="0"/>
          <w:highlight w:val="none"/>
        </w:rPr>
        <w:t>承包人违约责任的承担方式和计算方法：</w:t>
      </w:r>
      <w:r>
        <w:rPr>
          <w:rFonts w:hint="eastAsia" w:ascii="宋体" w:hAnsi="宋体"/>
          <w:color w:val="auto"/>
          <w:kern w:val="0"/>
          <w:szCs w:val="21"/>
          <w:highlight w:val="none"/>
          <w:u w:val="single"/>
        </w:rPr>
        <w:t>由承包人承担全部费用并承担相关法律责任</w:t>
      </w:r>
      <w:r>
        <w:rPr>
          <w:rFonts w:ascii="宋体" w:hAnsi="宋体"/>
          <w:color w:val="auto"/>
          <w:kern w:val="0"/>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16.2.3 因承包人违约解除合同</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关于承包人违约解除合同的特别约定：</w:t>
      </w:r>
      <w:r>
        <w:rPr>
          <w:rFonts w:hint="eastAsia" w:ascii="宋体" w:hAnsi="宋体"/>
          <w:color w:val="auto"/>
          <w:highlight w:val="none"/>
          <w:u w:val="single"/>
        </w:rPr>
        <w:t>执行通用条款</w:t>
      </w:r>
      <w:r>
        <w:rPr>
          <w:rFonts w:ascii="宋体" w:hAnsi="宋体"/>
          <w:color w:val="auto"/>
          <w:kern w:val="0"/>
          <w:highlight w:val="none"/>
        </w:rPr>
        <w:t>。</w:t>
      </w:r>
    </w:p>
    <w:p>
      <w:pPr>
        <w:spacing w:line="360" w:lineRule="auto"/>
        <w:ind w:firstLine="420" w:firstLineChars="200"/>
        <w:rPr>
          <w:rFonts w:ascii="宋体" w:hAnsi="宋体"/>
          <w:color w:val="auto"/>
          <w:kern w:val="0"/>
          <w:highlight w:val="none"/>
        </w:rPr>
      </w:pPr>
      <w:r>
        <w:rPr>
          <w:rFonts w:ascii="宋体" w:hAnsi="宋体"/>
          <w:color w:val="auto"/>
          <w:kern w:val="0"/>
          <w:highlight w:val="none"/>
        </w:rPr>
        <w:t>发包人</w:t>
      </w:r>
      <w:r>
        <w:rPr>
          <w:rFonts w:hint="eastAsia" w:ascii="宋体" w:hAnsi="宋体"/>
          <w:color w:val="auto"/>
          <w:kern w:val="0"/>
          <w:highlight w:val="none"/>
        </w:rPr>
        <w:t>继续</w:t>
      </w:r>
      <w:r>
        <w:rPr>
          <w:rFonts w:ascii="宋体" w:hAnsi="宋体"/>
          <w:color w:val="auto"/>
          <w:kern w:val="0"/>
          <w:highlight w:val="none"/>
        </w:rPr>
        <w:t>使用承包人在施工现场的材料、设备、临时工程、承包人文件和由承包人或以其名义编制的其他文件</w:t>
      </w:r>
      <w:r>
        <w:rPr>
          <w:rFonts w:hint="eastAsia" w:ascii="宋体" w:hAnsi="宋体"/>
          <w:color w:val="auto"/>
          <w:kern w:val="0"/>
          <w:highlight w:val="none"/>
        </w:rPr>
        <w:t>的费用承担方式</w:t>
      </w:r>
      <w:r>
        <w:rPr>
          <w:rFonts w:ascii="宋体" w:hAnsi="宋体"/>
          <w:color w:val="auto"/>
          <w:kern w:val="0"/>
          <w:highlight w:val="none"/>
        </w:rPr>
        <w:t>：</w:t>
      </w:r>
      <w:r>
        <w:rPr>
          <w:rFonts w:hint="eastAsia" w:ascii="宋体" w:hAnsi="宋体"/>
          <w:color w:val="auto"/>
          <w:kern w:val="0"/>
          <w:szCs w:val="21"/>
          <w:highlight w:val="none"/>
          <w:u w:val="single"/>
        </w:rPr>
        <w:t>双方另行商定</w:t>
      </w:r>
      <w:r>
        <w:rPr>
          <w:rFonts w:hint="eastAsia" w:ascii="宋体" w:hAnsi="宋体"/>
          <w:color w:val="auto"/>
          <w:kern w:val="0"/>
          <w:highlight w:val="none"/>
        </w:rPr>
        <w:t>。</w:t>
      </w:r>
    </w:p>
    <w:p>
      <w:pPr>
        <w:keepNext/>
        <w:keepLines/>
        <w:tabs>
          <w:tab w:val="left" w:pos="1080"/>
        </w:tabs>
        <w:spacing w:line="360" w:lineRule="auto"/>
        <w:outlineLvl w:val="3"/>
        <w:rPr>
          <w:rFonts w:ascii="宋体" w:hAnsi="宋体"/>
          <w:bCs/>
          <w:color w:val="auto"/>
          <w:highlight w:val="none"/>
        </w:rPr>
      </w:pPr>
      <w:bookmarkStart w:id="563" w:name="_Toc351203649"/>
      <w:r>
        <w:rPr>
          <w:rFonts w:ascii="宋体" w:hAnsi="宋体"/>
          <w:bCs/>
          <w:color w:val="auto"/>
          <w:highlight w:val="none"/>
        </w:rPr>
        <w:t>17. 不可抗力</w:t>
      </w:r>
      <w:bookmarkEnd w:id="561"/>
      <w:bookmarkEnd w:id="563"/>
    </w:p>
    <w:p>
      <w:pPr>
        <w:spacing w:line="360" w:lineRule="auto"/>
        <w:ind w:firstLine="420" w:firstLineChars="200"/>
        <w:rPr>
          <w:rFonts w:ascii="宋体" w:hAnsi="宋体"/>
          <w:color w:val="auto"/>
          <w:highlight w:val="none"/>
        </w:rPr>
      </w:pPr>
      <w:r>
        <w:rPr>
          <w:rFonts w:ascii="宋体" w:hAnsi="宋体"/>
          <w:color w:val="auto"/>
          <w:highlight w:val="none"/>
        </w:rPr>
        <w:t>17.1 不可抗力的确认</w:t>
      </w:r>
    </w:p>
    <w:p>
      <w:pPr>
        <w:spacing w:line="360" w:lineRule="auto"/>
        <w:ind w:firstLine="420" w:firstLineChars="200"/>
        <w:jc w:val="left"/>
        <w:rPr>
          <w:rFonts w:ascii="宋体" w:hAnsi="宋体"/>
          <w:color w:val="auto"/>
          <w:kern w:val="0"/>
          <w:highlight w:val="none"/>
          <w:u w:val="single"/>
        </w:rPr>
      </w:pPr>
      <w:r>
        <w:rPr>
          <w:rFonts w:ascii="宋体" w:hAnsi="宋体"/>
          <w:color w:val="auto"/>
          <w:highlight w:val="none"/>
        </w:rPr>
        <w:t xml:space="preserve">除通用合同条款约定的不可抗力事件之外，视为不可抗力的其他情形： </w:t>
      </w:r>
      <w:r>
        <w:rPr>
          <w:rFonts w:hint="eastAsia" w:ascii="宋体" w:hAnsi="宋体"/>
          <w:color w:val="auto"/>
          <w:kern w:val="0"/>
          <w:highlight w:val="none"/>
          <w:u w:val="single"/>
        </w:rPr>
        <w:t>按保险合同解释</w:t>
      </w:r>
      <w:r>
        <w:rPr>
          <w:rFonts w:ascii="宋体" w:hAnsi="宋体"/>
          <w:color w:val="auto"/>
          <w:kern w:val="0"/>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17.4 因不可抗力解除合同</w:t>
      </w:r>
    </w:p>
    <w:p>
      <w:pPr>
        <w:spacing w:line="360" w:lineRule="auto"/>
        <w:ind w:firstLine="420" w:firstLineChars="200"/>
        <w:jc w:val="left"/>
        <w:rPr>
          <w:rFonts w:ascii="宋体" w:hAnsi="宋体"/>
          <w:color w:val="auto"/>
          <w:highlight w:val="none"/>
        </w:rPr>
      </w:pPr>
      <w:r>
        <w:rPr>
          <w:rFonts w:ascii="宋体" w:hAnsi="宋体"/>
          <w:color w:val="auto"/>
          <w:highlight w:val="none"/>
        </w:rPr>
        <w:t>合同解除后，发包人应在商定或确定发包人应支付款项后</w:t>
      </w:r>
      <w:r>
        <w:rPr>
          <w:rFonts w:hint="eastAsia" w:ascii="宋体" w:hAnsi="宋体"/>
          <w:color w:val="auto"/>
          <w:highlight w:val="none"/>
          <w:u w:val="single"/>
        </w:rPr>
        <w:t>60</w:t>
      </w:r>
      <w:r>
        <w:rPr>
          <w:rFonts w:ascii="宋体" w:hAnsi="宋体"/>
          <w:color w:val="auto"/>
          <w:highlight w:val="none"/>
        </w:rPr>
        <w:t>天内完成款项的支付。</w:t>
      </w:r>
    </w:p>
    <w:p>
      <w:pPr>
        <w:keepNext/>
        <w:keepLines/>
        <w:tabs>
          <w:tab w:val="left" w:pos="1080"/>
        </w:tabs>
        <w:spacing w:line="360" w:lineRule="auto"/>
        <w:outlineLvl w:val="3"/>
        <w:rPr>
          <w:rFonts w:ascii="宋体" w:hAnsi="宋体"/>
          <w:bCs/>
          <w:color w:val="auto"/>
          <w:highlight w:val="none"/>
        </w:rPr>
      </w:pPr>
      <w:bookmarkStart w:id="564" w:name="_Toc351203650"/>
      <w:r>
        <w:rPr>
          <w:rFonts w:ascii="宋体" w:hAnsi="宋体"/>
          <w:bCs/>
          <w:color w:val="auto"/>
          <w:highlight w:val="none"/>
        </w:rPr>
        <w:t>18. 保险</w:t>
      </w:r>
      <w:bookmarkEnd w:id="564"/>
    </w:p>
    <w:bookmarkEnd w:id="562"/>
    <w:p>
      <w:pPr>
        <w:spacing w:line="360" w:lineRule="auto"/>
        <w:ind w:firstLine="420" w:firstLineChars="200"/>
        <w:rPr>
          <w:rFonts w:ascii="宋体" w:hAnsi="宋体"/>
          <w:color w:val="auto"/>
          <w:highlight w:val="none"/>
        </w:rPr>
      </w:pPr>
      <w:r>
        <w:rPr>
          <w:rFonts w:ascii="宋体" w:hAnsi="宋体"/>
          <w:color w:val="auto"/>
          <w:highlight w:val="none"/>
        </w:rPr>
        <w:t>18.1 工程保险</w:t>
      </w:r>
    </w:p>
    <w:p>
      <w:pPr>
        <w:spacing w:line="360" w:lineRule="auto"/>
        <w:ind w:firstLine="420" w:firstLineChars="200"/>
        <w:outlineLvl w:val="0"/>
        <w:rPr>
          <w:rFonts w:ascii="宋体" w:hAnsi="宋体"/>
          <w:color w:val="auto"/>
          <w:highlight w:val="none"/>
        </w:rPr>
      </w:pPr>
      <w:r>
        <w:rPr>
          <w:rFonts w:hint="eastAsia" w:ascii="宋体" w:hAnsi="宋体"/>
          <w:color w:val="auto"/>
          <w:highlight w:val="none"/>
        </w:rPr>
        <w:t>承包人应以发包人和承包人的共同名义投保建筑工程一切险。建筑工程一切险的投保内容：为本合同工程的永久工程、临时工程和设备及已运至施工工地用于永久工程的材料和设备所投的保险。保险金额：工程量清单合计金额，不含建筑工程一切险及第三者责任险的保险费，不含暂估价、暂列金额、计日工等。保险期限：开工日起直至本合同工程签发缺陷责任期终止证书止（即合同工期+缺陷责任期）。建筑工程一切险的保险费由承包人报价时列入工程量清单。施工许可证取得前承包人向发包人提交保险生效的证据和保险单副本。发包人在接到保险单后，将按照保险单的费用直接向承包人支付。但发包人支付的保险费用上限为承包人工程量清单中的相应金额。</w:t>
      </w:r>
    </w:p>
    <w:p>
      <w:pPr>
        <w:spacing w:line="360" w:lineRule="auto"/>
        <w:ind w:firstLine="420" w:firstLineChars="200"/>
        <w:outlineLvl w:val="0"/>
        <w:rPr>
          <w:rFonts w:ascii="宋体" w:hAnsi="宋体"/>
          <w:color w:val="auto"/>
          <w:highlight w:val="none"/>
        </w:rPr>
      </w:pPr>
      <w:r>
        <w:rPr>
          <w:rFonts w:hint="eastAsia" w:ascii="宋体" w:hAnsi="宋体"/>
          <w:color w:val="auto"/>
          <w:highlight w:val="none"/>
        </w:rPr>
        <w:t>18.2工伤保险：</w:t>
      </w:r>
    </w:p>
    <w:p>
      <w:pPr>
        <w:spacing w:line="360" w:lineRule="auto"/>
        <w:ind w:firstLine="420" w:firstLineChars="200"/>
        <w:outlineLvl w:val="0"/>
        <w:rPr>
          <w:rFonts w:ascii="宋体" w:hAnsi="宋体"/>
          <w:color w:val="auto"/>
          <w:highlight w:val="none"/>
        </w:rPr>
      </w:pPr>
      <w:r>
        <w:rPr>
          <w:rFonts w:hint="eastAsia" w:ascii="宋体" w:hAnsi="宋体"/>
          <w:color w:val="auto"/>
          <w:highlight w:val="none"/>
        </w:rPr>
        <w:t>承包人应依照法律规定参加工伤保险，并为其履行合同的全部员工办理工程保险，缴纳工伤保险。</w:t>
      </w:r>
    </w:p>
    <w:p>
      <w:pPr>
        <w:spacing w:line="360" w:lineRule="auto"/>
        <w:ind w:firstLine="420" w:firstLineChars="200"/>
        <w:outlineLvl w:val="0"/>
        <w:rPr>
          <w:rFonts w:ascii="宋体" w:hAnsi="宋体"/>
          <w:color w:val="auto"/>
          <w:highlight w:val="none"/>
        </w:rPr>
      </w:pPr>
      <w:r>
        <w:rPr>
          <w:rFonts w:ascii="宋体" w:hAnsi="宋体"/>
          <w:color w:val="auto"/>
          <w:highlight w:val="none"/>
        </w:rPr>
        <w:t>18.3 其他保险</w:t>
      </w:r>
    </w:p>
    <w:p>
      <w:pPr>
        <w:spacing w:line="360" w:lineRule="auto"/>
        <w:ind w:firstLine="420" w:firstLineChars="200"/>
        <w:jc w:val="left"/>
        <w:rPr>
          <w:rFonts w:ascii="宋体" w:hAnsi="宋体"/>
          <w:color w:val="auto"/>
          <w:kern w:val="0"/>
          <w:highlight w:val="none"/>
        </w:rPr>
      </w:pPr>
      <w:r>
        <w:rPr>
          <w:rFonts w:ascii="宋体" w:hAnsi="宋体"/>
          <w:color w:val="auto"/>
          <w:highlight w:val="none"/>
        </w:rPr>
        <w:t>关于其他保险的约定：</w:t>
      </w:r>
      <w:r>
        <w:rPr>
          <w:rFonts w:hint="eastAsia" w:ascii="宋体" w:hAnsi="宋体"/>
          <w:color w:val="auto"/>
          <w:highlight w:val="none"/>
          <w:u w:val="single"/>
        </w:rPr>
        <w:t>执行通用条款</w:t>
      </w:r>
      <w:r>
        <w:rPr>
          <w:rFonts w:ascii="宋体" w:hAnsi="宋体"/>
          <w:color w:val="auto"/>
          <w:kern w:val="0"/>
          <w:highlight w:val="none"/>
        </w:rPr>
        <w:t>。</w:t>
      </w:r>
    </w:p>
    <w:p>
      <w:pPr>
        <w:spacing w:line="360" w:lineRule="auto"/>
        <w:ind w:firstLine="420" w:firstLineChars="200"/>
        <w:jc w:val="left"/>
        <w:rPr>
          <w:rFonts w:ascii="宋体" w:hAnsi="宋体"/>
          <w:color w:val="auto"/>
          <w:kern w:val="0"/>
          <w:highlight w:val="none"/>
        </w:rPr>
      </w:pPr>
      <w:r>
        <w:rPr>
          <w:rFonts w:ascii="宋体" w:hAnsi="宋体"/>
          <w:color w:val="auto"/>
          <w:highlight w:val="none"/>
        </w:rPr>
        <w:t>承包人是否应为其施工设备等办理财产保险：</w:t>
      </w:r>
      <w:r>
        <w:rPr>
          <w:rFonts w:hint="eastAsia" w:ascii="宋体" w:hAnsi="宋体"/>
          <w:color w:val="auto"/>
          <w:highlight w:val="none"/>
          <w:u w:val="single"/>
        </w:rPr>
        <w:t>执行通用条款</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olor w:val="auto"/>
          <w:highlight w:val="none"/>
        </w:rPr>
        <w:t>18.7 通知义务</w:t>
      </w:r>
    </w:p>
    <w:p>
      <w:pPr>
        <w:spacing w:line="360" w:lineRule="auto"/>
        <w:ind w:firstLine="420" w:firstLineChars="200"/>
        <w:jc w:val="left"/>
        <w:rPr>
          <w:rFonts w:ascii="宋体" w:hAnsi="宋体"/>
          <w:color w:val="auto"/>
          <w:highlight w:val="none"/>
        </w:rPr>
      </w:pPr>
      <w:r>
        <w:rPr>
          <w:rFonts w:ascii="宋体" w:hAnsi="宋体"/>
          <w:color w:val="auto"/>
          <w:kern w:val="0"/>
          <w:highlight w:val="none"/>
        </w:rPr>
        <w:t>关于变更保险合同时的通知义务的约定：</w:t>
      </w:r>
      <w:r>
        <w:rPr>
          <w:rFonts w:hint="eastAsia" w:ascii="宋体" w:hAnsi="宋体"/>
          <w:color w:val="auto"/>
          <w:highlight w:val="none"/>
          <w:u w:val="single"/>
        </w:rPr>
        <w:t xml:space="preserve">执行通用条款    </w:t>
      </w:r>
      <w:r>
        <w:rPr>
          <w:rFonts w:ascii="宋体" w:hAnsi="宋体"/>
          <w:color w:val="auto"/>
          <w:highlight w:val="none"/>
        </w:rPr>
        <w:t>。</w:t>
      </w:r>
    </w:p>
    <w:bookmarkEnd w:id="538"/>
    <w:bookmarkEnd w:id="539"/>
    <w:bookmarkEnd w:id="540"/>
    <w:bookmarkEnd w:id="541"/>
    <w:bookmarkEnd w:id="542"/>
    <w:bookmarkEnd w:id="543"/>
    <w:bookmarkEnd w:id="544"/>
    <w:bookmarkEnd w:id="545"/>
    <w:bookmarkEnd w:id="546"/>
    <w:bookmarkEnd w:id="547"/>
    <w:bookmarkEnd w:id="548"/>
    <w:bookmarkEnd w:id="549"/>
    <w:p>
      <w:pPr>
        <w:keepNext/>
        <w:keepLines/>
        <w:tabs>
          <w:tab w:val="left" w:pos="1080"/>
        </w:tabs>
        <w:spacing w:line="360" w:lineRule="auto"/>
        <w:outlineLvl w:val="3"/>
        <w:rPr>
          <w:rFonts w:ascii="宋体" w:hAnsi="宋体"/>
          <w:bCs/>
          <w:color w:val="auto"/>
          <w:highlight w:val="none"/>
        </w:rPr>
      </w:pPr>
      <w:bookmarkStart w:id="565" w:name="_Toc351203651"/>
      <w:r>
        <w:rPr>
          <w:rFonts w:ascii="宋体" w:hAnsi="宋体"/>
          <w:bCs/>
          <w:color w:val="auto"/>
          <w:highlight w:val="none"/>
        </w:rPr>
        <w:t>20. 争议解决</w:t>
      </w:r>
      <w:bookmarkEnd w:id="565"/>
    </w:p>
    <w:bookmarkEnd w:id="550"/>
    <w:bookmarkEnd w:id="551"/>
    <w:p>
      <w:pPr>
        <w:spacing w:line="360" w:lineRule="auto"/>
        <w:ind w:firstLine="420" w:firstLineChars="200"/>
        <w:outlineLvl w:val="0"/>
        <w:rPr>
          <w:rFonts w:ascii="宋体" w:hAnsi="宋体"/>
          <w:color w:val="auto"/>
          <w:highlight w:val="none"/>
        </w:rPr>
      </w:pPr>
      <w:r>
        <w:rPr>
          <w:rFonts w:ascii="宋体" w:hAnsi="宋体"/>
          <w:color w:val="auto"/>
          <w:highlight w:val="none"/>
        </w:rPr>
        <w:t>20.3 争</w:t>
      </w:r>
      <w:bookmarkEnd w:id="552"/>
      <w:r>
        <w:rPr>
          <w:rFonts w:ascii="宋体" w:hAnsi="宋体"/>
          <w:color w:val="auto"/>
          <w:highlight w:val="none"/>
        </w:rPr>
        <w:t>议评审</w:t>
      </w:r>
    </w:p>
    <w:p>
      <w:pPr>
        <w:spacing w:line="360" w:lineRule="auto"/>
        <w:jc w:val="left"/>
        <w:rPr>
          <w:rFonts w:ascii="宋体" w:hAnsi="宋体"/>
          <w:color w:val="auto"/>
          <w:highlight w:val="none"/>
        </w:rPr>
      </w:pPr>
      <w:r>
        <w:rPr>
          <w:rFonts w:ascii="宋体" w:hAnsi="宋体"/>
          <w:color w:val="auto"/>
          <w:highlight w:val="none"/>
        </w:rPr>
        <w:t>合同当事人是否同意将工程争议提交争议评审小组决</w:t>
      </w:r>
      <w:r>
        <w:rPr>
          <w:rFonts w:hint="eastAsia" w:ascii="宋体" w:hAnsi="宋体"/>
          <w:color w:val="auto"/>
          <w:highlight w:val="none"/>
        </w:rPr>
        <w:t>定：</w:t>
      </w:r>
      <w:r>
        <w:rPr>
          <w:rFonts w:hint="eastAsia" w:ascii="宋体" w:hAnsi="宋体"/>
          <w:color w:val="auto"/>
          <w:highlight w:val="none"/>
          <w:u w:val="single"/>
        </w:rPr>
        <w:t xml:space="preserve"> /  </w:t>
      </w:r>
      <w:r>
        <w:rPr>
          <w:rFonts w:hint="eastAsia" w:ascii="宋体" w:hAnsi="宋体"/>
          <w:color w:val="auto"/>
          <w:highlight w:val="none"/>
        </w:rPr>
        <w:t xml:space="preserve">。  </w:t>
      </w:r>
    </w:p>
    <w:p>
      <w:pPr>
        <w:spacing w:line="360" w:lineRule="auto"/>
        <w:ind w:firstLine="420" w:firstLineChars="200"/>
        <w:jc w:val="left"/>
        <w:outlineLvl w:val="0"/>
        <w:rPr>
          <w:rFonts w:ascii="宋体" w:hAnsi="宋体"/>
          <w:color w:val="auto"/>
          <w:highlight w:val="none"/>
        </w:rPr>
      </w:pPr>
      <w:r>
        <w:rPr>
          <w:rFonts w:ascii="宋体" w:hAnsi="宋体"/>
          <w:color w:val="auto"/>
          <w:highlight w:val="none"/>
        </w:rPr>
        <w:t>20.3.1 争议评审小组的确定</w:t>
      </w:r>
    </w:p>
    <w:p>
      <w:pPr>
        <w:spacing w:line="360" w:lineRule="auto"/>
        <w:ind w:firstLine="420" w:firstLineChars="200"/>
        <w:jc w:val="left"/>
        <w:rPr>
          <w:rFonts w:ascii="宋体" w:hAnsi="宋体"/>
          <w:color w:val="auto"/>
          <w:highlight w:val="none"/>
          <w:u w:val="single"/>
        </w:rPr>
      </w:pPr>
      <w:r>
        <w:rPr>
          <w:rFonts w:ascii="宋体" w:hAnsi="宋体"/>
          <w:color w:val="auto"/>
          <w:highlight w:val="none"/>
        </w:rPr>
        <w:t>争议评审小组成员的确定：</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选定争议评审员的期限：</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争议评审小组成员的报酬承担方式：</w:t>
      </w:r>
      <w:r>
        <w:rPr>
          <w:rFonts w:hint="eastAsia" w:ascii="宋体" w:hAnsi="宋体"/>
          <w:color w:val="auto"/>
          <w:highlight w:val="none"/>
          <w:u w:val="single"/>
        </w:rPr>
        <w:t xml:space="preserve">/   </w:t>
      </w:r>
      <w:r>
        <w:rPr>
          <w:rFonts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其他事项的约定：</w:t>
      </w:r>
      <w:r>
        <w:rPr>
          <w:rFonts w:hint="eastAsia" w:ascii="宋体" w:hAnsi="宋体"/>
          <w:color w:val="auto"/>
          <w:highlight w:val="none"/>
          <w:u w:val="single"/>
        </w:rPr>
        <w:t xml:space="preserve">/   </w:t>
      </w:r>
      <w:r>
        <w:rPr>
          <w:rFonts w:ascii="宋体" w:hAnsi="宋体"/>
          <w:color w:val="auto"/>
          <w:highlight w:val="none"/>
        </w:rPr>
        <w:t>。</w:t>
      </w:r>
    </w:p>
    <w:p>
      <w:pPr>
        <w:autoSpaceDE w:val="0"/>
        <w:autoSpaceDN w:val="0"/>
        <w:adjustRightInd w:val="0"/>
        <w:spacing w:line="360" w:lineRule="auto"/>
        <w:ind w:firstLine="420" w:firstLineChars="200"/>
        <w:jc w:val="left"/>
        <w:outlineLvl w:val="0"/>
        <w:rPr>
          <w:rFonts w:ascii="宋体" w:hAnsi="宋体"/>
          <w:color w:val="auto"/>
          <w:kern w:val="0"/>
          <w:highlight w:val="none"/>
        </w:rPr>
      </w:pPr>
      <w:r>
        <w:rPr>
          <w:rFonts w:ascii="宋体" w:hAnsi="宋体"/>
          <w:color w:val="auto"/>
          <w:kern w:val="0"/>
          <w:highlight w:val="none"/>
        </w:rPr>
        <w:t>20.3.2 争议评审小组的决定</w:t>
      </w:r>
    </w:p>
    <w:p>
      <w:pPr>
        <w:spacing w:line="360" w:lineRule="auto"/>
        <w:ind w:firstLine="420" w:firstLineChars="200"/>
        <w:jc w:val="left"/>
        <w:rPr>
          <w:rFonts w:ascii="宋体" w:hAnsi="宋体"/>
          <w:color w:val="auto"/>
          <w:highlight w:val="none"/>
        </w:rPr>
      </w:pPr>
      <w:r>
        <w:rPr>
          <w:rFonts w:ascii="宋体" w:hAnsi="宋体"/>
          <w:color w:val="auto"/>
          <w:highlight w:val="none"/>
        </w:rPr>
        <w:t>合同当事人关于本项的约定：</w:t>
      </w:r>
      <w:r>
        <w:rPr>
          <w:rFonts w:hint="eastAsia" w:ascii="宋体" w:hAnsi="宋体"/>
          <w:color w:val="auto"/>
          <w:highlight w:val="none"/>
          <w:u w:val="single"/>
        </w:rPr>
        <w:t>/</w:t>
      </w:r>
      <w:r>
        <w:rPr>
          <w:rFonts w:ascii="宋体" w:hAnsi="宋体"/>
          <w:color w:val="auto"/>
          <w:highlight w:val="none"/>
        </w:rPr>
        <w:t>。</w:t>
      </w:r>
    </w:p>
    <w:p>
      <w:pPr>
        <w:spacing w:line="360" w:lineRule="auto"/>
        <w:ind w:firstLine="420" w:firstLineChars="200"/>
        <w:outlineLvl w:val="0"/>
        <w:rPr>
          <w:rFonts w:ascii="宋体" w:hAnsi="宋体"/>
          <w:color w:val="auto"/>
          <w:highlight w:val="none"/>
        </w:rPr>
      </w:pPr>
      <w:r>
        <w:rPr>
          <w:rFonts w:ascii="宋体" w:hAnsi="宋体"/>
          <w:color w:val="auto"/>
          <w:highlight w:val="none"/>
        </w:rPr>
        <w:t>20.4仲裁或诉讼</w:t>
      </w:r>
      <w:bookmarkEnd w:id="553"/>
    </w:p>
    <w:p>
      <w:pPr>
        <w:spacing w:line="360" w:lineRule="auto"/>
        <w:ind w:firstLine="420" w:firstLineChars="200"/>
        <w:rPr>
          <w:rFonts w:ascii="宋体" w:hAnsi="宋体"/>
          <w:color w:val="auto"/>
          <w:highlight w:val="none"/>
        </w:rPr>
      </w:pPr>
      <w:r>
        <w:rPr>
          <w:rFonts w:ascii="宋体" w:hAnsi="宋体"/>
          <w:color w:val="auto"/>
          <w:highlight w:val="none"/>
        </w:rPr>
        <w:t>因合同及合同有关事项发生的争议，按下列第</w:t>
      </w:r>
      <w:r>
        <w:rPr>
          <w:rFonts w:hint="eastAsia" w:ascii="宋体" w:hAnsi="宋体"/>
          <w:color w:val="auto"/>
          <w:highlight w:val="none"/>
          <w:u w:val="single"/>
        </w:rPr>
        <w:t>2</w:t>
      </w:r>
      <w:r>
        <w:rPr>
          <w:rFonts w:ascii="宋体" w:hAnsi="宋体"/>
          <w:color w:val="auto"/>
          <w:highlight w:val="none"/>
        </w:rPr>
        <w:t>种方式</w:t>
      </w:r>
      <w:r>
        <w:rPr>
          <w:rFonts w:hint="eastAsia" w:ascii="宋体" w:hAnsi="宋体"/>
          <w:color w:val="auto"/>
          <w:highlight w:val="none"/>
        </w:rPr>
        <w:t>解</w:t>
      </w:r>
      <w:r>
        <w:rPr>
          <w:rFonts w:ascii="宋体" w:hAnsi="宋体"/>
          <w:color w:val="auto"/>
          <w:highlight w:val="none"/>
        </w:rPr>
        <w:t>决</w:t>
      </w:r>
      <w:r>
        <w:rPr>
          <w:rFonts w:hint="eastAsia" w:ascii="宋体" w:hAnsi="宋体"/>
          <w:color w:val="auto"/>
          <w:highlight w:val="none"/>
        </w:rPr>
        <w:t>：</w:t>
      </w:r>
    </w:p>
    <w:p>
      <w:pPr>
        <w:spacing w:line="360" w:lineRule="auto"/>
        <w:ind w:firstLine="420" w:firstLineChars="200"/>
        <w:jc w:val="left"/>
        <w:rPr>
          <w:rFonts w:ascii="宋体" w:hAnsi="宋体"/>
          <w:color w:val="auto"/>
          <w:highlight w:val="none"/>
        </w:rPr>
      </w:pPr>
      <w:r>
        <w:rPr>
          <w:rFonts w:ascii="宋体" w:hAnsi="宋体"/>
          <w:color w:val="auto"/>
          <w:highlight w:val="none"/>
        </w:rPr>
        <w:t>（1）向</w:t>
      </w:r>
      <w:r>
        <w:rPr>
          <w:rFonts w:hint="eastAsia" w:ascii="宋体" w:hAnsi="宋体"/>
          <w:color w:val="auto"/>
          <w:highlight w:val="none"/>
          <w:u w:val="single"/>
        </w:rPr>
        <w:t>/</w:t>
      </w:r>
      <w:r>
        <w:rPr>
          <w:rFonts w:ascii="宋体" w:hAnsi="宋体"/>
          <w:color w:val="auto"/>
          <w:highlight w:val="none"/>
        </w:rPr>
        <w:t>仲裁委员会申请仲裁；</w:t>
      </w:r>
    </w:p>
    <w:p>
      <w:pPr>
        <w:spacing w:line="360" w:lineRule="auto"/>
        <w:ind w:firstLine="420" w:firstLineChars="200"/>
        <w:jc w:val="left"/>
        <w:rPr>
          <w:rFonts w:ascii="宋体" w:hAnsi="宋体"/>
          <w:color w:val="auto"/>
          <w:highlight w:val="none"/>
        </w:rPr>
      </w:pPr>
      <w:r>
        <w:rPr>
          <w:rFonts w:ascii="宋体" w:hAnsi="宋体"/>
          <w:color w:val="auto"/>
          <w:highlight w:val="none"/>
        </w:rPr>
        <w:t>（2）向</w:t>
      </w:r>
      <w:r>
        <w:rPr>
          <w:rFonts w:hint="eastAsia" w:ascii="宋体" w:hAnsi="宋体"/>
          <w:color w:val="auto"/>
          <w:szCs w:val="21"/>
          <w:highlight w:val="none"/>
          <w:u w:val="single"/>
        </w:rPr>
        <w:t>本工程所在地</w:t>
      </w:r>
      <w:r>
        <w:rPr>
          <w:rFonts w:ascii="宋体" w:hAnsi="宋体"/>
          <w:color w:val="auto"/>
          <w:highlight w:val="none"/>
        </w:rPr>
        <w:t>人民法院起诉。</w:t>
      </w:r>
      <w:bookmarkEnd w:id="554"/>
      <w:bookmarkEnd w:id="555"/>
      <w:bookmarkEnd w:id="556"/>
      <w:bookmarkEnd w:id="557"/>
      <w:bookmarkEnd w:id="558"/>
      <w:bookmarkEnd w:id="559"/>
    </w:p>
    <w:p>
      <w:pPr>
        <w:spacing w:line="360" w:lineRule="auto"/>
        <w:jc w:val="left"/>
        <w:rPr>
          <w:rFonts w:ascii="宋体" w:hAnsi="宋体"/>
          <w:b/>
          <w:color w:val="auto"/>
          <w:sz w:val="24"/>
          <w:highlight w:val="none"/>
        </w:rPr>
      </w:pPr>
    </w:p>
    <w:p>
      <w:pPr>
        <w:spacing w:line="360" w:lineRule="auto"/>
        <w:ind w:firstLine="482" w:firstLineChars="200"/>
        <w:jc w:val="left"/>
        <w:rPr>
          <w:rFonts w:ascii="宋体" w:hAnsi="宋体"/>
          <w:color w:val="auto"/>
          <w:highlight w:val="none"/>
        </w:rPr>
      </w:pPr>
      <w:r>
        <w:rPr>
          <w:rFonts w:ascii="宋体" w:hAnsi="宋体"/>
          <w:b/>
          <w:color w:val="auto"/>
          <w:sz w:val="24"/>
          <w:highlight w:val="none"/>
        </w:rPr>
        <w:t>附件</w:t>
      </w:r>
    </w:p>
    <w:p>
      <w:pPr>
        <w:spacing w:line="360" w:lineRule="auto"/>
        <w:jc w:val="left"/>
        <w:rPr>
          <w:rFonts w:ascii="宋体" w:hAnsi="宋体"/>
          <w:color w:val="auto"/>
          <w:sz w:val="24"/>
          <w:highlight w:val="none"/>
        </w:rPr>
      </w:pPr>
      <w:r>
        <w:rPr>
          <w:rFonts w:hint="eastAsia" w:ascii="宋体" w:hAnsi="宋体"/>
          <w:color w:val="auto"/>
          <w:sz w:val="24"/>
          <w:highlight w:val="none"/>
        </w:rPr>
        <w:t>协议书附件：</w:t>
      </w:r>
    </w:p>
    <w:p>
      <w:pPr>
        <w:spacing w:line="360" w:lineRule="auto"/>
        <w:jc w:val="left"/>
        <w:rPr>
          <w:rFonts w:ascii="宋体" w:hAnsi="宋体"/>
          <w:color w:val="auto"/>
          <w:sz w:val="24"/>
          <w:highlight w:val="none"/>
        </w:rPr>
      </w:pPr>
      <w:r>
        <w:rPr>
          <w:rFonts w:ascii="宋体" w:hAnsi="宋体"/>
          <w:color w:val="auto"/>
          <w:sz w:val="24"/>
          <w:highlight w:val="none"/>
        </w:rPr>
        <w:t>附件1：承包人承揽工程项目一览表</w:t>
      </w:r>
    </w:p>
    <w:p>
      <w:pPr>
        <w:spacing w:line="360" w:lineRule="auto"/>
        <w:jc w:val="left"/>
        <w:rPr>
          <w:rFonts w:ascii="宋体" w:hAnsi="宋体"/>
          <w:color w:val="auto"/>
          <w:sz w:val="24"/>
          <w:highlight w:val="none"/>
        </w:rPr>
      </w:pPr>
      <w:r>
        <w:rPr>
          <w:rFonts w:hint="eastAsia" w:ascii="宋体" w:hAnsi="宋体"/>
          <w:color w:val="auto"/>
          <w:sz w:val="24"/>
          <w:highlight w:val="none"/>
        </w:rPr>
        <w:t>专用合同条款附件：</w:t>
      </w:r>
    </w:p>
    <w:p>
      <w:pPr>
        <w:spacing w:line="360" w:lineRule="auto"/>
        <w:jc w:val="left"/>
        <w:rPr>
          <w:rFonts w:ascii="宋体" w:hAnsi="宋体"/>
          <w:color w:val="auto"/>
          <w:sz w:val="24"/>
          <w:highlight w:val="none"/>
        </w:rPr>
      </w:pPr>
      <w:r>
        <w:rPr>
          <w:rFonts w:ascii="宋体" w:hAnsi="宋体"/>
          <w:color w:val="auto"/>
          <w:sz w:val="24"/>
          <w:highlight w:val="none"/>
        </w:rPr>
        <w:t>附件2：发包人供应材料设备一览表</w:t>
      </w:r>
    </w:p>
    <w:p>
      <w:pPr>
        <w:spacing w:line="360" w:lineRule="auto"/>
        <w:jc w:val="left"/>
        <w:rPr>
          <w:rFonts w:ascii="宋体" w:hAnsi="宋体"/>
          <w:color w:val="auto"/>
          <w:sz w:val="24"/>
          <w:highlight w:val="none"/>
        </w:rPr>
      </w:pPr>
      <w:r>
        <w:rPr>
          <w:rFonts w:ascii="宋体" w:hAnsi="宋体"/>
          <w:color w:val="auto"/>
          <w:sz w:val="24"/>
          <w:highlight w:val="none"/>
        </w:rPr>
        <w:t>附件3：工程质量保修书</w:t>
      </w:r>
    </w:p>
    <w:p>
      <w:pPr>
        <w:spacing w:line="360" w:lineRule="auto"/>
        <w:jc w:val="left"/>
        <w:rPr>
          <w:rFonts w:ascii="宋体" w:hAnsi="宋体"/>
          <w:color w:val="auto"/>
          <w:sz w:val="24"/>
          <w:highlight w:val="none"/>
        </w:rPr>
      </w:pPr>
      <w:r>
        <w:rPr>
          <w:rFonts w:ascii="宋体" w:hAnsi="宋体"/>
          <w:color w:val="auto"/>
          <w:sz w:val="24"/>
          <w:highlight w:val="none"/>
        </w:rPr>
        <w:t>附件4：主要建设工程文件目录</w:t>
      </w:r>
    </w:p>
    <w:p>
      <w:pPr>
        <w:spacing w:line="360" w:lineRule="auto"/>
        <w:jc w:val="left"/>
        <w:rPr>
          <w:rFonts w:ascii="宋体" w:hAnsi="宋体"/>
          <w:color w:val="auto"/>
          <w:sz w:val="24"/>
          <w:highlight w:val="none"/>
        </w:rPr>
      </w:pPr>
      <w:r>
        <w:rPr>
          <w:rFonts w:ascii="宋体" w:hAnsi="宋体"/>
          <w:color w:val="auto"/>
          <w:sz w:val="24"/>
          <w:highlight w:val="none"/>
        </w:rPr>
        <w:t>附件5：承包人用于本工程施工的机械设备表</w:t>
      </w:r>
    </w:p>
    <w:p>
      <w:pPr>
        <w:spacing w:line="360" w:lineRule="auto"/>
        <w:jc w:val="left"/>
        <w:rPr>
          <w:rFonts w:ascii="宋体" w:hAnsi="宋体"/>
          <w:color w:val="auto"/>
          <w:sz w:val="24"/>
          <w:highlight w:val="none"/>
        </w:rPr>
      </w:pPr>
      <w:r>
        <w:rPr>
          <w:rFonts w:ascii="宋体" w:hAnsi="宋体"/>
          <w:color w:val="auto"/>
          <w:sz w:val="24"/>
          <w:highlight w:val="none"/>
        </w:rPr>
        <w:t>附件6：承包人主要施工管理人员表</w:t>
      </w:r>
    </w:p>
    <w:p>
      <w:pPr>
        <w:spacing w:line="360" w:lineRule="auto"/>
        <w:jc w:val="left"/>
        <w:rPr>
          <w:rFonts w:ascii="宋体" w:hAnsi="宋体"/>
          <w:color w:val="auto"/>
          <w:sz w:val="24"/>
          <w:highlight w:val="none"/>
        </w:rPr>
      </w:pPr>
      <w:r>
        <w:rPr>
          <w:rFonts w:ascii="宋体" w:hAnsi="宋体"/>
          <w:color w:val="auto"/>
          <w:sz w:val="24"/>
          <w:highlight w:val="none"/>
        </w:rPr>
        <w:t>附件7：分包人主要施工管理人员表</w:t>
      </w:r>
    </w:p>
    <w:p>
      <w:pPr>
        <w:spacing w:line="360" w:lineRule="auto"/>
        <w:jc w:val="left"/>
        <w:rPr>
          <w:rFonts w:ascii="宋体" w:hAnsi="宋体"/>
          <w:color w:val="auto"/>
          <w:sz w:val="24"/>
          <w:highlight w:val="none"/>
        </w:rPr>
      </w:pPr>
      <w:r>
        <w:rPr>
          <w:rFonts w:ascii="宋体" w:hAnsi="宋体"/>
          <w:color w:val="auto"/>
          <w:sz w:val="24"/>
          <w:highlight w:val="none"/>
        </w:rPr>
        <w:t>附件8：履约担保格式</w:t>
      </w:r>
    </w:p>
    <w:p>
      <w:pPr>
        <w:spacing w:line="360" w:lineRule="auto"/>
        <w:jc w:val="left"/>
        <w:rPr>
          <w:rFonts w:ascii="宋体" w:hAnsi="宋体"/>
          <w:color w:val="auto"/>
          <w:sz w:val="24"/>
          <w:highlight w:val="none"/>
        </w:rPr>
      </w:pPr>
      <w:r>
        <w:rPr>
          <w:rFonts w:ascii="宋体" w:hAnsi="宋体"/>
          <w:color w:val="auto"/>
          <w:sz w:val="24"/>
          <w:highlight w:val="none"/>
        </w:rPr>
        <w:t>附件9：预付款担保格式</w:t>
      </w:r>
    </w:p>
    <w:p>
      <w:pPr>
        <w:spacing w:line="360" w:lineRule="auto"/>
        <w:jc w:val="left"/>
        <w:rPr>
          <w:rFonts w:ascii="宋体" w:hAnsi="宋体"/>
          <w:color w:val="auto"/>
          <w:sz w:val="24"/>
          <w:highlight w:val="none"/>
        </w:rPr>
      </w:pPr>
      <w:r>
        <w:rPr>
          <w:rFonts w:ascii="宋体" w:hAnsi="宋体"/>
          <w:color w:val="auto"/>
          <w:sz w:val="24"/>
          <w:highlight w:val="none"/>
        </w:rPr>
        <w:t>附件10：支付担保格式</w:t>
      </w:r>
    </w:p>
    <w:p>
      <w:pPr>
        <w:spacing w:line="360" w:lineRule="auto"/>
        <w:jc w:val="left"/>
        <w:rPr>
          <w:rFonts w:ascii="宋体" w:hAnsi="宋体"/>
          <w:color w:val="auto"/>
          <w:sz w:val="24"/>
          <w:highlight w:val="none"/>
        </w:rPr>
        <w:sectPr>
          <w:footerReference r:id="rId5" w:type="default"/>
          <w:pgSz w:w="11906" w:h="16838"/>
          <w:pgMar w:top="1418" w:right="1555" w:bottom="1418" w:left="1531" w:header="851" w:footer="992" w:gutter="0"/>
          <w:pgNumType w:fmt="decimal"/>
          <w:cols w:space="720" w:num="1"/>
          <w:titlePg/>
          <w:docGrid w:type="lines" w:linePitch="312" w:charSpace="0"/>
        </w:sectPr>
      </w:pPr>
      <w:r>
        <w:rPr>
          <w:rFonts w:ascii="宋体" w:hAnsi="宋体"/>
          <w:color w:val="auto"/>
          <w:sz w:val="24"/>
          <w:highlight w:val="none"/>
        </w:rPr>
        <w:t>附件11：暂估价一览表</w:t>
      </w:r>
    </w:p>
    <w:p>
      <w:pPr>
        <w:spacing w:beforeLines="50" w:afterLines="50" w:line="440" w:lineRule="exact"/>
        <w:jc w:val="left"/>
        <w:rPr>
          <w:rFonts w:ascii="宋体" w:hAnsi="宋体"/>
          <w:color w:val="auto"/>
          <w:sz w:val="24"/>
          <w:highlight w:val="none"/>
        </w:rPr>
      </w:pPr>
      <w:r>
        <w:rPr>
          <w:rFonts w:hint="eastAsia" w:ascii="宋体" w:hAnsi="宋体"/>
          <w:color w:val="auto"/>
          <w:sz w:val="24"/>
          <w:highlight w:val="none"/>
        </w:rPr>
        <w:t>附件1：</w:t>
      </w:r>
    </w:p>
    <w:p>
      <w:pPr>
        <w:spacing w:beforeLines="50" w:afterLines="50" w:line="440" w:lineRule="exact"/>
        <w:jc w:val="center"/>
        <w:rPr>
          <w:rFonts w:ascii="宋体" w:hAnsi="宋体"/>
          <w:color w:val="auto"/>
          <w:sz w:val="24"/>
          <w:highlight w:val="none"/>
        </w:rPr>
      </w:pPr>
      <w:r>
        <w:rPr>
          <w:rFonts w:ascii="宋体" w:hAnsi="宋体"/>
          <w:color w:val="auto"/>
          <w:sz w:val="24"/>
          <w:highlight w:val="none"/>
        </w:rPr>
        <w:t>承包人承揽工程项目一览表</w:t>
      </w:r>
    </w:p>
    <w:tbl>
      <w:tblPr>
        <w:tblStyle w:val="13"/>
        <w:tblW w:w="146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277"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单位工程名称</w:t>
            </w:r>
          </w:p>
        </w:tc>
        <w:tc>
          <w:tcPr>
            <w:tcW w:w="1843"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建设规模</w:t>
            </w:r>
          </w:p>
        </w:tc>
        <w:tc>
          <w:tcPr>
            <w:tcW w:w="1417"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建筑面积(平方米)</w:t>
            </w:r>
          </w:p>
        </w:tc>
        <w:tc>
          <w:tcPr>
            <w:tcW w:w="241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结构</w:t>
            </w:r>
            <w:r>
              <w:rPr>
                <w:rFonts w:hint="eastAsia" w:ascii="宋体" w:hAnsi="宋体"/>
                <w:color w:val="auto"/>
                <w:sz w:val="24"/>
                <w:highlight w:val="none"/>
              </w:rPr>
              <w:t>形式</w:t>
            </w:r>
          </w:p>
        </w:tc>
        <w:tc>
          <w:tcPr>
            <w:tcW w:w="85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层数</w:t>
            </w:r>
          </w:p>
        </w:tc>
        <w:tc>
          <w:tcPr>
            <w:tcW w:w="156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生产能力</w:t>
            </w:r>
          </w:p>
        </w:tc>
        <w:tc>
          <w:tcPr>
            <w:tcW w:w="2126"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设备安装内容</w:t>
            </w:r>
          </w:p>
        </w:tc>
        <w:tc>
          <w:tcPr>
            <w:tcW w:w="1417"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合同价格（元）</w:t>
            </w:r>
          </w:p>
        </w:tc>
        <w:tc>
          <w:tcPr>
            <w:tcW w:w="85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开工日期</w:t>
            </w:r>
          </w:p>
        </w:tc>
        <w:tc>
          <w:tcPr>
            <w:tcW w:w="85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27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8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41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56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212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7"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color w:val="auto"/>
                <w:sz w:val="24"/>
                <w:highlight w:val="none"/>
              </w:rPr>
            </w:pPr>
          </w:p>
        </w:tc>
      </w:tr>
    </w:tbl>
    <w:p>
      <w:pPr>
        <w:spacing w:line="440" w:lineRule="exact"/>
        <w:rPr>
          <w:rFonts w:ascii="宋体" w:hAnsi="宋体"/>
          <w:b/>
          <w:color w:val="auto"/>
          <w:sz w:val="24"/>
          <w:highlight w:val="none"/>
        </w:rPr>
        <w:sectPr>
          <w:pgSz w:w="16838" w:h="11906" w:orient="landscape"/>
          <w:pgMar w:top="1554" w:right="1418" w:bottom="1531" w:left="1418" w:header="851" w:footer="992" w:gutter="0"/>
          <w:pgNumType w:fmt="decimal"/>
          <w:cols w:space="720" w:num="1"/>
          <w:titlePg/>
          <w:docGrid w:type="linesAndChars" w:linePitch="312" w:charSpace="0"/>
        </w:sectPr>
      </w:pPr>
    </w:p>
    <w:p>
      <w:pPr>
        <w:spacing w:line="440" w:lineRule="exact"/>
        <w:rPr>
          <w:rFonts w:ascii="宋体" w:hAnsi="宋体"/>
          <w:color w:val="auto"/>
          <w:sz w:val="24"/>
          <w:highlight w:val="none"/>
        </w:rPr>
      </w:pPr>
      <w:r>
        <w:rPr>
          <w:rFonts w:ascii="宋体" w:hAnsi="宋体"/>
          <w:color w:val="auto"/>
          <w:sz w:val="24"/>
          <w:highlight w:val="none"/>
        </w:rPr>
        <w:t>附</w:t>
      </w:r>
      <w:bookmarkStart w:id="566" w:name="_Toc296503225"/>
      <w:bookmarkStart w:id="567" w:name="_Toc296346726"/>
      <w:bookmarkStart w:id="568" w:name="_Toc296891265"/>
      <w:bookmarkStart w:id="569" w:name="_Toc296944564"/>
      <w:bookmarkStart w:id="570" w:name="_Toc296891053"/>
      <w:bookmarkStart w:id="571" w:name="_Toc267261692"/>
      <w:bookmarkStart w:id="572" w:name="_Toc296347224"/>
      <w:r>
        <w:rPr>
          <w:rFonts w:ascii="宋体" w:hAnsi="宋体"/>
          <w:color w:val="auto"/>
          <w:sz w:val="24"/>
          <w:highlight w:val="none"/>
        </w:rPr>
        <w:t>件2：</w:t>
      </w:r>
    </w:p>
    <w:bookmarkEnd w:id="566"/>
    <w:bookmarkEnd w:id="567"/>
    <w:bookmarkEnd w:id="568"/>
    <w:bookmarkEnd w:id="569"/>
    <w:bookmarkEnd w:id="570"/>
    <w:bookmarkEnd w:id="571"/>
    <w:bookmarkEnd w:id="572"/>
    <w:p>
      <w:pPr>
        <w:spacing w:beforeLines="50" w:afterLines="50" w:line="440" w:lineRule="exact"/>
        <w:jc w:val="center"/>
        <w:rPr>
          <w:rFonts w:ascii="宋体" w:hAnsi="宋体"/>
          <w:color w:val="auto"/>
          <w:sz w:val="24"/>
          <w:highlight w:val="none"/>
        </w:rPr>
      </w:pPr>
      <w:r>
        <w:rPr>
          <w:rFonts w:ascii="宋体" w:hAnsi="宋体"/>
          <w:color w:val="auto"/>
          <w:sz w:val="24"/>
          <w:highlight w:val="none"/>
        </w:rPr>
        <w:t>发包人供应材料设备一览表</w:t>
      </w:r>
    </w:p>
    <w:tbl>
      <w:tblPr>
        <w:tblStyle w:val="13"/>
        <w:tblW w:w="103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322"/>
        <w:gridCol w:w="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序号</w:t>
            </w:r>
          </w:p>
        </w:tc>
        <w:tc>
          <w:tcPr>
            <w:tcW w:w="1276" w:type="dxa"/>
            <w:tcBorders>
              <w:top w:val="single" w:color="auto" w:sz="12" w:space="0"/>
              <w:bottom w:val="double" w:color="auto" w:sz="6" w:space="0"/>
            </w:tcBorders>
            <w:vAlign w:val="center"/>
          </w:tcPr>
          <w:p>
            <w:pPr>
              <w:keepNext/>
              <w:autoSpaceDE w:val="0"/>
              <w:autoSpaceDN w:val="0"/>
              <w:adjustRightInd w:val="0"/>
              <w:spacing w:line="440" w:lineRule="exact"/>
              <w:ind w:left="63" w:right="63"/>
              <w:jc w:val="center"/>
              <w:rPr>
                <w:rFonts w:ascii="宋体" w:hAnsi="宋体"/>
                <w:color w:val="auto"/>
                <w:sz w:val="24"/>
                <w:highlight w:val="none"/>
              </w:rPr>
            </w:pPr>
            <w:r>
              <w:rPr>
                <w:rFonts w:ascii="宋体" w:hAnsi="宋体"/>
                <w:color w:val="auto"/>
                <w:sz w:val="24"/>
                <w:highlight w:val="none"/>
              </w:rPr>
              <w:t>材料、</w:t>
            </w:r>
          </w:p>
          <w:p>
            <w:pPr>
              <w:keepNext/>
              <w:autoSpaceDE w:val="0"/>
              <w:autoSpaceDN w:val="0"/>
              <w:adjustRightInd w:val="0"/>
              <w:spacing w:line="440" w:lineRule="exact"/>
              <w:ind w:right="63"/>
              <w:jc w:val="center"/>
              <w:rPr>
                <w:rFonts w:ascii="宋体" w:hAnsi="宋体"/>
                <w:color w:val="auto"/>
                <w:sz w:val="24"/>
                <w:highlight w:val="none"/>
              </w:rPr>
            </w:pPr>
            <w:r>
              <w:rPr>
                <w:rFonts w:ascii="宋体" w:hAnsi="宋体"/>
                <w:color w:val="auto"/>
                <w:sz w:val="24"/>
                <w:highlight w:val="none"/>
              </w:rPr>
              <w:t>设备品种</w:t>
            </w:r>
          </w:p>
        </w:tc>
        <w:tc>
          <w:tcPr>
            <w:tcW w:w="1418" w:type="dxa"/>
            <w:tcBorders>
              <w:top w:val="single" w:color="auto" w:sz="12" w:space="0"/>
              <w:bottom w:val="double" w:color="auto" w:sz="6" w:space="0"/>
            </w:tcBorders>
            <w:vAlign w:val="center"/>
          </w:tcPr>
          <w:p>
            <w:pPr>
              <w:keepNext/>
              <w:autoSpaceDE w:val="0"/>
              <w:autoSpaceDN w:val="0"/>
              <w:adjustRightInd w:val="0"/>
              <w:spacing w:line="440" w:lineRule="exact"/>
              <w:ind w:left="63" w:right="63"/>
              <w:jc w:val="center"/>
              <w:rPr>
                <w:rFonts w:ascii="宋体" w:hAnsi="宋体"/>
                <w:color w:val="auto"/>
                <w:sz w:val="24"/>
                <w:highlight w:val="none"/>
              </w:rPr>
            </w:pPr>
            <w:r>
              <w:rPr>
                <w:rFonts w:ascii="宋体" w:hAnsi="宋体"/>
                <w:color w:val="auto"/>
                <w:sz w:val="24"/>
                <w:highlight w:val="none"/>
              </w:rPr>
              <w:t>规格型号</w:t>
            </w:r>
          </w:p>
        </w:tc>
        <w:tc>
          <w:tcPr>
            <w:tcW w:w="940" w:type="dxa"/>
            <w:tcBorders>
              <w:top w:val="single" w:color="auto" w:sz="12" w:space="0"/>
              <w:bottom w:val="double" w:color="auto" w:sz="6" w:space="0"/>
            </w:tcBorders>
            <w:vAlign w:val="center"/>
          </w:tcPr>
          <w:p>
            <w:pPr>
              <w:keepNext/>
              <w:autoSpaceDE w:val="0"/>
              <w:autoSpaceDN w:val="0"/>
              <w:adjustRightInd w:val="0"/>
              <w:spacing w:line="440" w:lineRule="exact"/>
              <w:ind w:left="63" w:right="63"/>
              <w:jc w:val="center"/>
              <w:rPr>
                <w:rFonts w:ascii="宋体" w:hAnsi="宋体"/>
                <w:color w:val="auto"/>
                <w:sz w:val="24"/>
                <w:highlight w:val="none"/>
              </w:rPr>
            </w:pPr>
            <w:r>
              <w:rPr>
                <w:rFonts w:ascii="宋体" w:hAnsi="宋体"/>
                <w:color w:val="auto"/>
                <w:sz w:val="24"/>
                <w:highlight w:val="none"/>
              </w:rPr>
              <w:t>单位</w:t>
            </w:r>
          </w:p>
        </w:tc>
        <w:tc>
          <w:tcPr>
            <w:tcW w:w="851" w:type="dxa"/>
            <w:tcBorders>
              <w:top w:val="single" w:color="auto" w:sz="12" w:space="0"/>
              <w:bottom w:val="double" w:color="auto" w:sz="6" w:space="0"/>
            </w:tcBorders>
            <w:vAlign w:val="center"/>
          </w:tcPr>
          <w:p>
            <w:pPr>
              <w:keepNext/>
              <w:autoSpaceDE w:val="0"/>
              <w:autoSpaceDN w:val="0"/>
              <w:adjustRightInd w:val="0"/>
              <w:spacing w:line="440" w:lineRule="exact"/>
              <w:ind w:left="63" w:right="63"/>
              <w:jc w:val="center"/>
              <w:rPr>
                <w:rFonts w:ascii="宋体" w:hAnsi="宋体"/>
                <w:color w:val="auto"/>
                <w:sz w:val="24"/>
                <w:highlight w:val="none"/>
              </w:rPr>
            </w:pPr>
            <w:r>
              <w:rPr>
                <w:rFonts w:ascii="宋体" w:hAnsi="宋体"/>
                <w:color w:val="auto"/>
                <w:sz w:val="24"/>
                <w:highlight w:val="none"/>
              </w:rPr>
              <w:t>数量</w:t>
            </w:r>
          </w:p>
        </w:tc>
        <w:tc>
          <w:tcPr>
            <w:tcW w:w="104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单价</w:t>
            </w:r>
            <w:r>
              <w:rPr>
                <w:rFonts w:hint="eastAsia" w:ascii="宋体" w:hAnsi="宋体"/>
                <w:color w:val="auto"/>
                <w:sz w:val="24"/>
                <w:highlight w:val="none"/>
              </w:rPr>
              <w:t>（元）</w:t>
            </w:r>
          </w:p>
        </w:tc>
        <w:tc>
          <w:tcPr>
            <w:tcW w:w="992"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质量等级</w:t>
            </w:r>
          </w:p>
        </w:tc>
        <w:tc>
          <w:tcPr>
            <w:tcW w:w="85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供应时间</w:t>
            </w:r>
          </w:p>
        </w:tc>
        <w:tc>
          <w:tcPr>
            <w:tcW w:w="1322"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送达地点</w:t>
            </w:r>
          </w:p>
        </w:tc>
        <w:tc>
          <w:tcPr>
            <w:tcW w:w="76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4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044"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99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851"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322"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764"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ascii="宋体" w:hAnsi="宋体"/>
                <w:color w:val="auto"/>
                <w:sz w:val="24"/>
                <w:highlight w:val="none"/>
              </w:rPr>
            </w:pPr>
          </w:p>
        </w:tc>
        <w:tc>
          <w:tcPr>
            <w:tcW w:w="1276" w:type="dxa"/>
            <w:vAlign w:val="center"/>
          </w:tcPr>
          <w:p>
            <w:pPr>
              <w:jc w:val="center"/>
              <w:rPr>
                <w:rFonts w:ascii="宋体" w:hAnsi="宋体"/>
                <w:color w:val="auto"/>
                <w:sz w:val="24"/>
                <w:highlight w:val="none"/>
              </w:rPr>
            </w:pPr>
          </w:p>
        </w:tc>
        <w:tc>
          <w:tcPr>
            <w:tcW w:w="1418" w:type="dxa"/>
            <w:vAlign w:val="center"/>
          </w:tcPr>
          <w:p>
            <w:pPr>
              <w:jc w:val="center"/>
              <w:rPr>
                <w:rFonts w:ascii="宋体" w:hAnsi="宋体"/>
                <w:color w:val="auto"/>
                <w:sz w:val="24"/>
                <w:highlight w:val="none"/>
              </w:rPr>
            </w:pPr>
          </w:p>
        </w:tc>
        <w:tc>
          <w:tcPr>
            <w:tcW w:w="940"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044" w:type="dxa"/>
            <w:vAlign w:val="center"/>
          </w:tcPr>
          <w:p>
            <w:pPr>
              <w:jc w:val="center"/>
              <w:rPr>
                <w:rFonts w:ascii="宋体" w:hAnsi="宋体"/>
                <w:color w:val="auto"/>
                <w:sz w:val="24"/>
                <w:highlight w:val="none"/>
              </w:rPr>
            </w:pPr>
          </w:p>
        </w:tc>
        <w:tc>
          <w:tcPr>
            <w:tcW w:w="992" w:type="dxa"/>
            <w:vAlign w:val="center"/>
          </w:tcPr>
          <w:p>
            <w:pPr>
              <w:jc w:val="center"/>
              <w:rPr>
                <w:rFonts w:ascii="宋体" w:hAnsi="宋体"/>
                <w:color w:val="auto"/>
                <w:sz w:val="24"/>
                <w:highlight w:val="none"/>
              </w:rPr>
            </w:pPr>
          </w:p>
        </w:tc>
        <w:tc>
          <w:tcPr>
            <w:tcW w:w="851" w:type="dxa"/>
            <w:vAlign w:val="center"/>
          </w:tcPr>
          <w:p>
            <w:pPr>
              <w:jc w:val="center"/>
              <w:rPr>
                <w:rFonts w:ascii="宋体" w:hAnsi="宋体"/>
                <w:color w:val="auto"/>
                <w:sz w:val="24"/>
                <w:highlight w:val="none"/>
              </w:rPr>
            </w:pPr>
          </w:p>
        </w:tc>
        <w:tc>
          <w:tcPr>
            <w:tcW w:w="1322" w:type="dxa"/>
            <w:vAlign w:val="center"/>
          </w:tcPr>
          <w:p>
            <w:pPr>
              <w:jc w:val="center"/>
              <w:rPr>
                <w:rFonts w:ascii="宋体" w:hAnsi="宋体"/>
                <w:color w:val="auto"/>
                <w:sz w:val="24"/>
                <w:highlight w:val="none"/>
              </w:rPr>
            </w:pPr>
          </w:p>
        </w:tc>
        <w:tc>
          <w:tcPr>
            <w:tcW w:w="764" w:type="dxa"/>
            <w:vAlign w:val="center"/>
          </w:tcPr>
          <w:p>
            <w:pPr>
              <w:jc w:val="center"/>
              <w:rPr>
                <w:rFonts w:ascii="宋体" w:hAnsi="宋体"/>
                <w:color w:val="auto"/>
                <w:sz w:val="24"/>
                <w:highlight w:val="none"/>
              </w:rPr>
            </w:pPr>
          </w:p>
        </w:tc>
      </w:tr>
    </w:tbl>
    <w:p>
      <w:pPr>
        <w:spacing w:line="440" w:lineRule="exact"/>
        <w:rPr>
          <w:rFonts w:ascii="宋体" w:hAnsi="宋体"/>
          <w:color w:val="auto"/>
          <w:sz w:val="24"/>
          <w:highlight w:val="none"/>
        </w:rPr>
      </w:pP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573" w:name="_Toc296891054"/>
      <w:bookmarkStart w:id="574" w:name="_Toc267261693"/>
      <w:bookmarkStart w:id="575" w:name="_Toc296347225"/>
      <w:bookmarkStart w:id="576" w:name="_Toc296891266"/>
      <w:bookmarkStart w:id="577" w:name="_Toc296503226"/>
      <w:bookmarkStart w:id="578" w:name="_Toc296346727"/>
      <w:bookmarkStart w:id="579" w:name="_Toc296944565"/>
      <w:r>
        <w:rPr>
          <w:rFonts w:ascii="宋体" w:hAnsi="宋体"/>
          <w:color w:val="auto"/>
          <w:sz w:val="24"/>
          <w:highlight w:val="none"/>
        </w:rPr>
        <w:t>件3：</w:t>
      </w:r>
      <w:bookmarkEnd w:id="573"/>
      <w:bookmarkEnd w:id="574"/>
      <w:bookmarkEnd w:id="575"/>
      <w:bookmarkEnd w:id="576"/>
      <w:bookmarkEnd w:id="577"/>
      <w:bookmarkEnd w:id="578"/>
      <w:bookmarkEnd w:id="579"/>
    </w:p>
    <w:p>
      <w:pPr>
        <w:spacing w:beforeLines="50" w:afterLines="50" w:line="440" w:lineRule="exact"/>
        <w:jc w:val="center"/>
        <w:rPr>
          <w:rFonts w:ascii="宋体" w:hAnsi="宋体"/>
          <w:color w:val="auto"/>
          <w:sz w:val="24"/>
          <w:highlight w:val="none"/>
        </w:rPr>
      </w:pPr>
      <w:r>
        <w:rPr>
          <w:rFonts w:ascii="宋体" w:hAnsi="宋体"/>
          <w:color w:val="auto"/>
          <w:sz w:val="24"/>
          <w:highlight w:val="none"/>
        </w:rPr>
        <w:t>工程质量保修书</w:t>
      </w:r>
    </w:p>
    <w:p>
      <w:pPr>
        <w:spacing w:line="440" w:lineRule="exact"/>
        <w:ind w:firstLine="480" w:firstLineChars="200"/>
        <w:rPr>
          <w:rFonts w:ascii="宋体" w:hAnsi="宋体"/>
          <w:color w:val="auto"/>
          <w:sz w:val="24"/>
          <w:highlight w:val="none"/>
        </w:rPr>
      </w:pPr>
      <w:r>
        <w:rPr>
          <w:rFonts w:ascii="宋体" w:hAnsi="宋体"/>
          <w:color w:val="auto"/>
          <w:sz w:val="24"/>
          <w:highlight w:val="none"/>
        </w:rPr>
        <w:t>发包人（全称）：</w:t>
      </w:r>
    </w:p>
    <w:p>
      <w:pPr>
        <w:spacing w:line="440" w:lineRule="exact"/>
        <w:rPr>
          <w:rFonts w:ascii="宋体" w:hAnsi="宋体"/>
          <w:color w:val="auto"/>
          <w:sz w:val="24"/>
          <w:highlight w:val="none"/>
        </w:rPr>
      </w:pPr>
      <w:r>
        <w:rPr>
          <w:rFonts w:ascii="宋体" w:hAnsi="宋体"/>
          <w:color w:val="auto"/>
          <w:sz w:val="24"/>
          <w:highlight w:val="none"/>
        </w:rPr>
        <w:t>　　承包人（全称）：</w:t>
      </w:r>
    </w:p>
    <w:p>
      <w:pPr>
        <w:spacing w:line="440" w:lineRule="exact"/>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ascii="宋体" w:hAnsi="宋体"/>
          <w:color w:val="auto"/>
          <w:sz w:val="24"/>
          <w:highlight w:val="none"/>
        </w:rPr>
        <w:t>发包人和承包人根据《中华人民共和国建筑法》和《建设工程质量管理条例》，经协商一致就</w:t>
      </w:r>
      <w:r>
        <w:rPr>
          <w:rFonts w:ascii="宋体" w:hAnsi="宋体"/>
          <w:color w:val="auto"/>
          <w:sz w:val="24"/>
          <w:highlight w:val="none"/>
          <w:u w:val="single"/>
        </w:rPr>
        <w:t>（工程全称）</w:t>
      </w:r>
      <w:r>
        <w:rPr>
          <w:rFonts w:ascii="宋体" w:hAnsi="宋体"/>
          <w:color w:val="auto"/>
          <w:sz w:val="24"/>
          <w:highlight w:val="none"/>
        </w:rPr>
        <w:t>签订工程质量保修书。</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一、工程质量保修范围和内容</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承包人在质量保修期内，按照有关法律规定和合同约定，承担工程质量保修责任。</w:t>
      </w:r>
    </w:p>
    <w:p>
      <w:pPr>
        <w:spacing w:line="360" w:lineRule="auto"/>
        <w:ind w:firstLine="480" w:firstLineChars="200"/>
        <w:rPr>
          <w:rFonts w:ascii="宋体" w:hAnsi="宋体"/>
          <w:color w:val="auto"/>
          <w:sz w:val="24"/>
          <w:highlight w:val="none"/>
        </w:rPr>
      </w:pPr>
      <w:r>
        <w:rPr>
          <w:rFonts w:ascii="宋体" w:hAnsi="宋体"/>
          <w:color w:val="auto"/>
          <w:sz w:val="24"/>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w:t>
      </w:r>
      <w:r>
        <w:rPr>
          <w:rFonts w:ascii="宋体" w:hAnsi="宋体"/>
          <w:color w:val="auto"/>
          <w:sz w:val="24"/>
          <w:highlight w:val="none"/>
          <w:u w:val="single"/>
        </w:rPr>
        <w:t>下：</w:t>
      </w:r>
      <w:r>
        <w:rPr>
          <w:rFonts w:hint="eastAsia" w:ascii="宋体" w:hAnsi="宋体"/>
          <w:color w:val="auto"/>
          <w:sz w:val="24"/>
          <w:highlight w:val="none"/>
          <w:u w:val="single"/>
        </w:rPr>
        <w:t xml:space="preserve">   </w:t>
      </w:r>
      <w:r>
        <w:rPr>
          <w:rFonts w:ascii="宋体" w:hAnsi="宋体"/>
          <w:color w:val="auto"/>
          <w:sz w:val="24"/>
          <w:highlight w:val="none"/>
          <w:u w:val="singl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二、质量保修期</w:t>
      </w:r>
    </w:p>
    <w:p>
      <w:pPr>
        <w:spacing w:line="360" w:lineRule="auto"/>
        <w:ind w:firstLine="480" w:firstLineChars="200"/>
        <w:rPr>
          <w:rFonts w:ascii="宋体" w:hAnsi="宋体"/>
          <w:color w:val="auto"/>
          <w:sz w:val="24"/>
          <w:highlight w:val="none"/>
        </w:rPr>
      </w:pPr>
      <w:r>
        <w:rPr>
          <w:rFonts w:ascii="宋体" w:hAnsi="宋体"/>
          <w:color w:val="auto"/>
          <w:sz w:val="24"/>
          <w:highlight w:val="none"/>
        </w:rPr>
        <w:t>根据《建设工程质量管理条例》及有关规定，工程的质量保修期如下：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1．地基基础工程和主体结构工程为设计文件规定的工程合理使用年限；</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屋面防水工程、有防水要求的卫生间、房间和外墙面的防渗</w:t>
      </w:r>
      <w:r>
        <w:rPr>
          <w:rFonts w:hint="eastAsia" w:ascii="宋体" w:hAnsi="宋体"/>
          <w:color w:val="auto"/>
          <w:sz w:val="24"/>
          <w:highlight w:val="none"/>
        </w:rPr>
        <w:t>为</w:t>
      </w:r>
      <w:r>
        <w:rPr>
          <w:rFonts w:hint="eastAsia" w:ascii="宋体" w:hAnsi="宋体"/>
          <w:color w:val="auto"/>
          <w:sz w:val="24"/>
          <w:highlight w:val="none"/>
          <w:u w:val="single"/>
        </w:rPr>
        <w:t xml:space="preserve">    5    </w:t>
      </w:r>
      <w:r>
        <w:rPr>
          <w:rFonts w:ascii="宋体" w:hAnsi="宋体"/>
          <w:color w:val="auto"/>
          <w:sz w:val="24"/>
          <w:highlight w:val="none"/>
        </w:rPr>
        <w:t>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装修工程为</w:t>
      </w:r>
      <w:r>
        <w:rPr>
          <w:rFonts w:hint="eastAsia" w:ascii="宋体" w:hAnsi="宋体"/>
          <w:color w:val="auto"/>
          <w:sz w:val="24"/>
          <w:highlight w:val="none"/>
          <w:u w:val="single"/>
        </w:rPr>
        <w:t>2</w:t>
      </w:r>
      <w:r>
        <w:rPr>
          <w:rFonts w:ascii="宋体" w:hAnsi="宋体"/>
          <w:color w:val="auto"/>
          <w:sz w:val="24"/>
          <w:highlight w:val="none"/>
        </w:rPr>
        <w:t>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电气管线、给排水管道、设备安装工程为</w:t>
      </w:r>
      <w:r>
        <w:rPr>
          <w:rFonts w:hint="eastAsia" w:ascii="宋体" w:hAnsi="宋体"/>
          <w:color w:val="auto"/>
          <w:sz w:val="24"/>
          <w:highlight w:val="none"/>
          <w:u w:val="single"/>
        </w:rPr>
        <w:t>2</w:t>
      </w:r>
      <w:r>
        <w:rPr>
          <w:rFonts w:ascii="宋体" w:hAnsi="宋体"/>
          <w:color w:val="auto"/>
          <w:sz w:val="24"/>
          <w:highlight w:val="none"/>
        </w:rPr>
        <w:t>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供热与供冷系统为</w:t>
      </w:r>
      <w:r>
        <w:rPr>
          <w:rFonts w:hint="eastAsia" w:ascii="宋体" w:hAnsi="宋体"/>
          <w:color w:val="auto"/>
          <w:sz w:val="24"/>
          <w:highlight w:val="none"/>
          <w:u w:val="single"/>
        </w:rPr>
        <w:t>2</w:t>
      </w:r>
      <w:r>
        <w:rPr>
          <w:rFonts w:ascii="宋体" w:hAnsi="宋体"/>
          <w:color w:val="auto"/>
          <w:sz w:val="24"/>
          <w:highlight w:val="none"/>
        </w:rPr>
        <w:t>个采暖期、供冷期；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住宅小区内的给排水设施、道路等配套工程为</w:t>
      </w:r>
      <w:r>
        <w:rPr>
          <w:rFonts w:hint="eastAsia" w:ascii="宋体" w:hAnsi="宋体"/>
          <w:color w:val="auto"/>
          <w:sz w:val="24"/>
          <w:highlight w:val="none"/>
          <w:u w:val="single"/>
        </w:rPr>
        <w:t>2</w:t>
      </w:r>
      <w:r>
        <w:rPr>
          <w:rFonts w:ascii="宋体" w:hAnsi="宋体"/>
          <w:color w:val="auto"/>
          <w:sz w:val="24"/>
          <w:highlight w:val="none"/>
        </w:rPr>
        <w:t>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其他项目保修期限约定如下：。</w:t>
      </w:r>
    </w:p>
    <w:p>
      <w:pPr>
        <w:spacing w:line="360" w:lineRule="auto"/>
        <w:ind w:firstLine="480" w:firstLineChars="200"/>
        <w:rPr>
          <w:rFonts w:ascii="宋体" w:hAnsi="宋体"/>
          <w:color w:val="auto"/>
          <w:sz w:val="24"/>
          <w:highlight w:val="none"/>
        </w:rPr>
      </w:pPr>
      <w:r>
        <w:rPr>
          <w:rFonts w:ascii="宋体" w:hAnsi="宋体"/>
          <w:color w:val="auto"/>
          <w:sz w:val="24"/>
          <w:highlight w:val="none"/>
        </w:rPr>
        <w:t>质量保修期自工程竣工验收合格之日起计算。</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三、缺陷责任期</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工程缺陷责任期为</w:t>
      </w:r>
      <w:r>
        <w:rPr>
          <w:rFonts w:hint="eastAsia" w:ascii="宋体" w:hAnsi="宋体"/>
          <w:color w:val="auto"/>
          <w:sz w:val="24"/>
          <w:highlight w:val="none"/>
          <w:u w:val="single"/>
        </w:rPr>
        <w:t>24</w:t>
      </w:r>
      <w:r>
        <w:rPr>
          <w:rFonts w:ascii="宋体" w:hAnsi="宋体"/>
          <w:color w:val="auto"/>
          <w:sz w:val="24"/>
          <w:highlight w:val="none"/>
        </w:rPr>
        <w:t>个月，缺陷责任期自工程</w:t>
      </w:r>
      <w:r>
        <w:rPr>
          <w:rFonts w:hint="eastAsia" w:ascii="宋体" w:hAnsi="宋体"/>
          <w:color w:val="auto"/>
          <w:sz w:val="24"/>
          <w:highlight w:val="none"/>
        </w:rPr>
        <w:t>通过竣工验收</w:t>
      </w:r>
      <w:r>
        <w:rPr>
          <w:rFonts w:ascii="宋体" w:hAnsi="宋体"/>
          <w:color w:val="auto"/>
          <w:sz w:val="24"/>
          <w:highlight w:val="none"/>
        </w:rPr>
        <w:t>之日起计算。单位工程先于全部工程进行验收，单位工程缺陷责任期自单位工程验收合格之日起算。</w:t>
      </w:r>
    </w:p>
    <w:p>
      <w:pPr>
        <w:spacing w:line="360" w:lineRule="auto"/>
        <w:ind w:firstLine="480" w:firstLineChars="200"/>
        <w:rPr>
          <w:rFonts w:ascii="宋体" w:hAnsi="宋体"/>
          <w:color w:val="auto"/>
          <w:sz w:val="24"/>
          <w:highlight w:val="none"/>
        </w:rPr>
      </w:pPr>
      <w:r>
        <w:rPr>
          <w:rFonts w:ascii="宋体" w:hAnsi="宋体"/>
          <w:color w:val="auto"/>
          <w:sz w:val="24"/>
          <w:highlight w:val="none"/>
        </w:rPr>
        <w:t>缺陷责任期终止后，发包人应退还剩余的质量保证金。</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四、质量保修责任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发生紧急事故需抢修的，承包人在接到事故通知后，应当立即到达事故现场抢修。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质量保修完成后，由发包人组织验收。</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五、保修费用</w:t>
      </w:r>
    </w:p>
    <w:p>
      <w:pPr>
        <w:spacing w:line="360" w:lineRule="auto"/>
        <w:ind w:firstLine="480" w:firstLineChars="200"/>
        <w:rPr>
          <w:rFonts w:ascii="宋体" w:hAnsi="宋体"/>
          <w:color w:val="auto"/>
          <w:sz w:val="24"/>
          <w:highlight w:val="none"/>
        </w:rPr>
      </w:pPr>
      <w:r>
        <w:rPr>
          <w:rFonts w:ascii="宋体" w:hAnsi="宋体"/>
          <w:color w:val="auto"/>
          <w:sz w:val="24"/>
          <w:highlight w:val="none"/>
        </w:rPr>
        <w:t>保修费用由造成质量缺陷的责任方承担。</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六、双方约定的其他工程质量保修事项：</w:t>
      </w:r>
      <w:r>
        <w:rPr>
          <w:rFonts w:hint="eastAsia" w:ascii="宋体" w:hAnsi="宋体"/>
          <w:color w:val="auto"/>
          <w:sz w:val="24"/>
          <w:highlight w:val="none"/>
        </w:rPr>
        <w:t xml:space="preserve">  </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ascii="宋体" w:hAnsi="宋体"/>
          <w:color w:val="auto"/>
          <w:sz w:val="24"/>
          <w:highlight w:val="none"/>
        </w:rPr>
        <w:t>工程质量保修书由发包人、承包人在工程竣工验收前共同签署，作为施工合同附件，其有效期限至保修期满。</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发包人(公章)：</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承包人(公章)：</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地  址：</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地  址：</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法定代表人(签字)：</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法定代表人(签字)：</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委托代理人(签字)：</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r>
        <w:rPr>
          <w:rFonts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ascii="宋体" w:hAnsi="宋体"/>
          <w:color w:val="auto"/>
          <w:sz w:val="24"/>
          <w:highlight w:val="none"/>
        </w:rPr>
        <w:t>委托代理人(签字)：</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电  话：</w:t>
      </w:r>
      <w:r>
        <w:rPr>
          <w:rFonts w:hint="eastAsia" w:ascii="宋体" w:hAnsi="宋体" w:cs="MingLiU_HKSCS"/>
          <w:color w:val="auto"/>
          <w:sz w:val="24"/>
          <w:highlight w:val="none"/>
          <w:u w:val="single"/>
        </w:rPr>
        <w:t></w:t>
      </w:r>
      <w:r>
        <w:rPr>
          <w:rFonts w:ascii="宋体" w:hAnsi="宋体"/>
          <w:color w:val="auto"/>
          <w:sz w:val="24"/>
          <w:highlight w:val="none"/>
        </w:rPr>
        <w:t xml:space="preserve">             电  话：</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传  真：</w:t>
      </w:r>
      <w:r>
        <w:rPr>
          <w:rFonts w:hint="eastAsia" w:ascii="宋体" w:hAnsi="宋体" w:cs="MingLiU_HKSCS"/>
          <w:color w:val="auto"/>
          <w:sz w:val="24"/>
          <w:highlight w:val="none"/>
          <w:u w:val="single"/>
        </w:rPr>
        <w:t></w:t>
      </w:r>
      <w:r>
        <w:rPr>
          <w:rFonts w:ascii="宋体" w:hAnsi="宋体"/>
          <w:color w:val="auto"/>
          <w:sz w:val="24"/>
          <w:highlight w:val="none"/>
        </w:rPr>
        <w:t xml:space="preserve">             传  真：</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开户银行：</w:t>
      </w:r>
      <w:r>
        <w:rPr>
          <w:rFonts w:hint="eastAsia" w:ascii="宋体" w:hAnsi="宋体" w:cs="MingLiU_HKSCS"/>
          <w:color w:val="auto"/>
          <w:sz w:val="24"/>
          <w:highlight w:val="none"/>
          <w:u w:val="single"/>
        </w:rPr>
        <w:t></w:t>
      </w:r>
      <w:r>
        <w:rPr>
          <w:rFonts w:ascii="宋体" w:hAnsi="宋体"/>
          <w:color w:val="auto"/>
          <w:sz w:val="24"/>
          <w:highlight w:val="none"/>
        </w:rPr>
        <w:t xml:space="preserve">             开户银行：</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账  号：</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none"/>
          <w:lang w:val="en-US" w:eastAsia="zh-CN"/>
        </w:rPr>
        <w:t xml:space="preserve">            </w:t>
      </w:r>
      <w:r>
        <w:rPr>
          <w:rFonts w:ascii="宋体" w:hAnsi="宋体"/>
          <w:color w:val="auto"/>
          <w:sz w:val="24"/>
          <w:highlight w:val="none"/>
        </w:rPr>
        <w:t>账 号：</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p>
    <w:p>
      <w:pPr>
        <w:spacing w:line="360" w:lineRule="auto"/>
        <w:rPr>
          <w:rFonts w:ascii="宋体" w:hAnsi="宋体"/>
          <w:color w:val="auto"/>
          <w:sz w:val="24"/>
          <w:highlight w:val="none"/>
        </w:rPr>
      </w:pPr>
      <w:r>
        <w:rPr>
          <w:rFonts w:ascii="宋体" w:hAnsi="宋体"/>
          <w:color w:val="auto"/>
          <w:sz w:val="24"/>
          <w:highlight w:val="none"/>
        </w:rPr>
        <w:t>邮政编码：</w:t>
      </w:r>
      <w:r>
        <w:rPr>
          <w:rFonts w:hint="eastAsia" w:ascii="宋体" w:hAnsi="宋体" w:cs="MingLiU_HKSCS"/>
          <w:color w:val="auto"/>
          <w:sz w:val="24"/>
          <w:highlight w:val="none"/>
          <w:u w:val="single"/>
        </w:rPr>
        <w:t></w:t>
      </w:r>
      <w:r>
        <w:rPr>
          <w:rFonts w:hint="eastAsia" w:ascii="宋体" w:hAnsi="宋体" w:cs="MingLiU_HKSCS"/>
          <w:color w:val="auto"/>
          <w:sz w:val="24"/>
          <w:highlight w:val="none"/>
          <w:u w:val="single"/>
          <w:lang w:val="en-US" w:eastAsia="zh-CN"/>
        </w:rPr>
        <w:t xml:space="preserve">   </w:t>
      </w:r>
      <w:r>
        <w:rPr>
          <w:rFonts w:hint="eastAsia" w:ascii="宋体" w:hAnsi="宋体" w:cs="MingLiU_HKSCS"/>
          <w:color w:val="auto"/>
          <w:sz w:val="24"/>
          <w:highlight w:val="none"/>
          <w:u w:val="single"/>
        </w:rPr>
        <w:t></w:t>
      </w:r>
      <w:r>
        <w:rPr>
          <w:rFonts w:ascii="宋体" w:hAnsi="宋体"/>
          <w:color w:val="auto"/>
          <w:sz w:val="24"/>
          <w:highlight w:val="none"/>
        </w:rPr>
        <w:t xml:space="preserve">            邮政编码：</w:t>
      </w:r>
      <w:r>
        <w:rPr>
          <w:rFonts w:hint="eastAsia" w:ascii="宋体" w:hAnsi="宋体" w:cs="MingLiU_HKSCS"/>
          <w:color w:val="auto"/>
          <w:sz w:val="24"/>
          <w:highlight w:val="none"/>
          <w:u w:val="single"/>
        </w:rPr>
        <w:t></w:t>
      </w: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附件4：</w:t>
      </w:r>
    </w:p>
    <w:p>
      <w:pPr>
        <w:spacing w:beforeLines="50" w:afterLines="50" w:line="440" w:lineRule="exact"/>
        <w:jc w:val="center"/>
        <w:rPr>
          <w:rFonts w:ascii="宋体" w:hAnsi="宋体"/>
          <w:color w:val="auto"/>
          <w:sz w:val="24"/>
          <w:highlight w:val="none"/>
        </w:rPr>
      </w:pPr>
      <w:r>
        <w:rPr>
          <w:rFonts w:ascii="宋体" w:hAnsi="宋体"/>
          <w:color w:val="auto"/>
          <w:sz w:val="24"/>
          <w:highlight w:val="none"/>
        </w:rPr>
        <w:t>主要建设工程文件目录</w:t>
      </w:r>
    </w:p>
    <w:tbl>
      <w:tblPr>
        <w:tblStyle w:val="13"/>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文件名称</w:t>
            </w:r>
          </w:p>
        </w:tc>
        <w:tc>
          <w:tcPr>
            <w:tcW w:w="1276"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套数</w:t>
            </w:r>
          </w:p>
        </w:tc>
        <w:tc>
          <w:tcPr>
            <w:tcW w:w="145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费用</w:t>
            </w:r>
            <w:r>
              <w:rPr>
                <w:rFonts w:hint="eastAsia" w:ascii="宋体" w:hAnsi="宋体"/>
                <w:color w:val="auto"/>
                <w:sz w:val="24"/>
                <w:highlight w:val="none"/>
              </w:rPr>
              <w:t>（元）</w:t>
            </w:r>
          </w:p>
        </w:tc>
        <w:tc>
          <w:tcPr>
            <w:tcW w:w="1243"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r>
              <w:rPr>
                <w:rFonts w:ascii="宋体" w:hAnsi="宋体"/>
                <w:color w:val="auto"/>
                <w:sz w:val="24"/>
                <w:highlight w:val="none"/>
              </w:rPr>
              <w:t>质量</w:t>
            </w:r>
          </w:p>
        </w:tc>
        <w:tc>
          <w:tcPr>
            <w:tcW w:w="1450" w:type="dxa"/>
            <w:tcBorders>
              <w:top w:val="single" w:color="auto" w:sz="12" w:space="0"/>
              <w:bottom w:val="double" w:color="auto" w:sz="6" w:space="0"/>
            </w:tcBorders>
          </w:tcPr>
          <w:p>
            <w:pPr>
              <w:spacing w:line="440" w:lineRule="exact"/>
              <w:jc w:val="center"/>
              <w:rPr>
                <w:rFonts w:ascii="宋体" w:hAnsi="宋体"/>
                <w:color w:val="auto"/>
                <w:sz w:val="24"/>
                <w:highlight w:val="none"/>
              </w:rPr>
            </w:pPr>
            <w:r>
              <w:rPr>
                <w:rFonts w:ascii="宋体" w:hAnsi="宋体"/>
                <w:color w:val="auto"/>
                <w:sz w:val="24"/>
                <w:highlight w:val="none"/>
              </w:rPr>
              <w:t>移交时间</w:t>
            </w:r>
          </w:p>
        </w:tc>
        <w:tc>
          <w:tcPr>
            <w:tcW w:w="1667" w:type="dxa"/>
            <w:tcBorders>
              <w:top w:val="single" w:color="auto" w:sz="12" w:space="0"/>
              <w:bottom w:val="double" w:color="auto" w:sz="6" w:space="0"/>
            </w:tcBorders>
          </w:tcPr>
          <w:p>
            <w:pPr>
              <w:spacing w:line="440" w:lineRule="exact"/>
              <w:jc w:val="center"/>
              <w:rPr>
                <w:rFonts w:ascii="宋体" w:hAnsi="宋体"/>
                <w:color w:val="auto"/>
                <w:sz w:val="24"/>
                <w:highlight w:val="none"/>
              </w:rPr>
            </w:pPr>
            <w:r>
              <w:rPr>
                <w:rFonts w:ascii="宋体" w:hAnsi="宋体"/>
                <w:color w:val="auto"/>
                <w:sz w:val="24"/>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tcBorders>
              <w:top w:val="nil"/>
            </w:tcBorders>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276"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243"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667"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ascii="宋体" w:hAnsi="宋体"/>
                <w:color w:val="auto"/>
                <w:sz w:val="24"/>
                <w:highlight w:val="none"/>
              </w:rPr>
            </w:pPr>
          </w:p>
        </w:tc>
        <w:tc>
          <w:tcPr>
            <w:tcW w:w="1276"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243" w:type="dxa"/>
          </w:tcPr>
          <w:p>
            <w:pPr>
              <w:rPr>
                <w:rFonts w:ascii="宋体" w:hAnsi="宋体"/>
                <w:color w:val="auto"/>
                <w:sz w:val="24"/>
                <w:highlight w:val="none"/>
              </w:rPr>
            </w:pPr>
          </w:p>
        </w:tc>
        <w:tc>
          <w:tcPr>
            <w:tcW w:w="1450" w:type="dxa"/>
          </w:tcPr>
          <w:p>
            <w:pPr>
              <w:rPr>
                <w:rFonts w:ascii="宋体" w:hAnsi="宋体"/>
                <w:color w:val="auto"/>
                <w:sz w:val="24"/>
                <w:highlight w:val="none"/>
              </w:rPr>
            </w:pPr>
          </w:p>
        </w:tc>
        <w:tc>
          <w:tcPr>
            <w:tcW w:w="1667" w:type="dxa"/>
          </w:tcPr>
          <w:p>
            <w:pPr>
              <w:rPr>
                <w:rFonts w:ascii="宋体" w:hAnsi="宋体"/>
                <w:color w:val="auto"/>
                <w:sz w:val="24"/>
                <w:highlight w:val="none"/>
              </w:rPr>
            </w:pPr>
          </w:p>
        </w:tc>
      </w:tr>
    </w:tbl>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580" w:name="_Toc267261698"/>
      <w:bookmarkStart w:id="581" w:name="_Toc296347226"/>
      <w:bookmarkStart w:id="582" w:name="_Toc296944566"/>
      <w:bookmarkStart w:id="583" w:name="_Toc296346728"/>
      <w:bookmarkStart w:id="584" w:name="_Toc296503227"/>
      <w:bookmarkStart w:id="585" w:name="_Toc296891267"/>
      <w:bookmarkStart w:id="586" w:name="_Toc296891055"/>
      <w:r>
        <w:rPr>
          <w:rFonts w:ascii="宋体" w:hAnsi="宋体"/>
          <w:color w:val="auto"/>
          <w:sz w:val="24"/>
          <w:highlight w:val="none"/>
        </w:rPr>
        <w:t>件5：</w:t>
      </w:r>
    </w:p>
    <w:bookmarkEnd w:id="580"/>
    <w:bookmarkEnd w:id="581"/>
    <w:bookmarkEnd w:id="582"/>
    <w:bookmarkEnd w:id="583"/>
    <w:bookmarkEnd w:id="584"/>
    <w:bookmarkEnd w:id="585"/>
    <w:bookmarkEnd w:id="586"/>
    <w:p>
      <w:pPr>
        <w:spacing w:beforeLines="50" w:afterLines="50" w:line="440" w:lineRule="exact"/>
        <w:jc w:val="center"/>
        <w:rPr>
          <w:rFonts w:ascii="宋体" w:hAnsi="宋体"/>
          <w:color w:val="auto"/>
          <w:sz w:val="24"/>
          <w:highlight w:val="none"/>
        </w:rPr>
      </w:pPr>
      <w:r>
        <w:rPr>
          <w:rFonts w:ascii="宋体" w:hAnsi="宋体"/>
          <w:color w:val="auto"/>
          <w:sz w:val="24"/>
          <w:highlight w:val="none"/>
        </w:rPr>
        <w:t>承包人用于本工程施工的机械设备表</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序号</w:t>
            </w:r>
          </w:p>
        </w:tc>
        <w:tc>
          <w:tcPr>
            <w:tcW w:w="1418"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机械或设备名称</w:t>
            </w:r>
          </w:p>
        </w:tc>
        <w:tc>
          <w:tcPr>
            <w:tcW w:w="85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规格型号</w:t>
            </w:r>
          </w:p>
        </w:tc>
        <w:tc>
          <w:tcPr>
            <w:tcW w:w="1058"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数量</w:t>
            </w:r>
          </w:p>
        </w:tc>
        <w:tc>
          <w:tcPr>
            <w:tcW w:w="88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产地</w:t>
            </w:r>
          </w:p>
        </w:tc>
        <w:tc>
          <w:tcPr>
            <w:tcW w:w="102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制造年份</w:t>
            </w:r>
          </w:p>
        </w:tc>
        <w:tc>
          <w:tcPr>
            <w:tcW w:w="148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额定功率(kW)</w:t>
            </w:r>
          </w:p>
        </w:tc>
        <w:tc>
          <w:tcPr>
            <w:tcW w:w="1020"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生产能力</w:t>
            </w:r>
          </w:p>
        </w:tc>
        <w:tc>
          <w:tcPr>
            <w:tcW w:w="92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5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8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020"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921"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ascii="宋体" w:hAnsi="宋体"/>
                <w:color w:val="auto"/>
                <w:sz w:val="24"/>
                <w:highlight w:val="none"/>
              </w:rPr>
            </w:pPr>
          </w:p>
        </w:tc>
        <w:tc>
          <w:tcPr>
            <w:tcW w:w="1418" w:type="dxa"/>
          </w:tcPr>
          <w:p>
            <w:pPr>
              <w:rPr>
                <w:rFonts w:ascii="宋体" w:hAnsi="宋体"/>
                <w:color w:val="auto"/>
                <w:sz w:val="24"/>
                <w:highlight w:val="none"/>
              </w:rPr>
            </w:pPr>
          </w:p>
        </w:tc>
        <w:tc>
          <w:tcPr>
            <w:tcW w:w="850" w:type="dxa"/>
          </w:tcPr>
          <w:p>
            <w:pPr>
              <w:rPr>
                <w:rFonts w:ascii="宋体" w:hAnsi="宋体"/>
                <w:color w:val="auto"/>
                <w:sz w:val="24"/>
                <w:highlight w:val="none"/>
              </w:rPr>
            </w:pPr>
          </w:p>
        </w:tc>
        <w:tc>
          <w:tcPr>
            <w:tcW w:w="1058" w:type="dxa"/>
          </w:tcPr>
          <w:p>
            <w:pPr>
              <w:rPr>
                <w:rFonts w:ascii="宋体" w:hAnsi="宋体"/>
                <w:color w:val="auto"/>
                <w:sz w:val="24"/>
                <w:highlight w:val="none"/>
              </w:rPr>
            </w:pPr>
          </w:p>
        </w:tc>
        <w:tc>
          <w:tcPr>
            <w:tcW w:w="8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1480" w:type="dxa"/>
          </w:tcPr>
          <w:p>
            <w:pPr>
              <w:rPr>
                <w:rFonts w:ascii="宋体" w:hAnsi="宋体"/>
                <w:color w:val="auto"/>
                <w:sz w:val="24"/>
                <w:highlight w:val="none"/>
              </w:rPr>
            </w:pPr>
          </w:p>
        </w:tc>
        <w:tc>
          <w:tcPr>
            <w:tcW w:w="1020" w:type="dxa"/>
          </w:tcPr>
          <w:p>
            <w:pPr>
              <w:rPr>
                <w:rFonts w:ascii="宋体" w:hAnsi="宋体"/>
                <w:color w:val="auto"/>
                <w:sz w:val="24"/>
                <w:highlight w:val="none"/>
              </w:rPr>
            </w:pPr>
          </w:p>
        </w:tc>
        <w:tc>
          <w:tcPr>
            <w:tcW w:w="921" w:type="dxa"/>
          </w:tcPr>
          <w:p>
            <w:pPr>
              <w:rPr>
                <w:rFonts w:ascii="宋体" w:hAnsi="宋体"/>
                <w:color w:val="auto"/>
                <w:sz w:val="24"/>
                <w:highlight w:val="none"/>
              </w:rPr>
            </w:pPr>
          </w:p>
        </w:tc>
      </w:tr>
    </w:tbl>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587" w:name="_Toc267261699"/>
      <w:bookmarkStart w:id="588" w:name="_Toc296346729"/>
      <w:bookmarkStart w:id="589" w:name="_Toc296891268"/>
      <w:bookmarkStart w:id="590" w:name="_Toc296891056"/>
      <w:bookmarkStart w:id="591" w:name="_Toc296503228"/>
      <w:bookmarkStart w:id="592" w:name="_Toc296347227"/>
      <w:bookmarkStart w:id="593" w:name="_Toc296944567"/>
      <w:r>
        <w:rPr>
          <w:rFonts w:ascii="宋体" w:hAnsi="宋体"/>
          <w:color w:val="auto"/>
          <w:sz w:val="24"/>
          <w:highlight w:val="none"/>
        </w:rPr>
        <w:t>件6：</w:t>
      </w:r>
    </w:p>
    <w:bookmarkEnd w:id="587"/>
    <w:bookmarkEnd w:id="588"/>
    <w:bookmarkEnd w:id="589"/>
    <w:bookmarkEnd w:id="590"/>
    <w:bookmarkEnd w:id="591"/>
    <w:bookmarkEnd w:id="592"/>
    <w:bookmarkEnd w:id="593"/>
    <w:p>
      <w:pPr>
        <w:spacing w:beforeLines="50" w:afterLines="50" w:line="440" w:lineRule="exact"/>
        <w:jc w:val="center"/>
        <w:rPr>
          <w:rFonts w:ascii="宋体" w:hAnsi="宋体"/>
          <w:color w:val="auto"/>
          <w:sz w:val="24"/>
          <w:highlight w:val="none"/>
        </w:rPr>
      </w:pPr>
      <w:r>
        <w:rPr>
          <w:rFonts w:ascii="宋体" w:hAnsi="宋体"/>
          <w:color w:val="auto"/>
          <w:sz w:val="24"/>
          <w:highlight w:val="none"/>
        </w:rPr>
        <w:t>承包人主要施工管理人员表</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名称</w:t>
            </w:r>
          </w:p>
        </w:tc>
        <w:tc>
          <w:tcPr>
            <w:tcW w:w="1418"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姓名</w:t>
            </w:r>
          </w:p>
        </w:tc>
        <w:tc>
          <w:tcPr>
            <w:tcW w:w="113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职务</w:t>
            </w:r>
          </w:p>
        </w:tc>
        <w:tc>
          <w:tcPr>
            <w:tcW w:w="113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职称</w:t>
            </w:r>
          </w:p>
        </w:tc>
        <w:tc>
          <w:tcPr>
            <w:tcW w:w="4252"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项目主管</w:t>
            </w:r>
          </w:p>
        </w:tc>
        <w:tc>
          <w:tcPr>
            <w:tcW w:w="1418"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其他人员</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项目经理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项目副经理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技术负责人</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造价管理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质量管理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材料管理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计划管理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安全管理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其他人员</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bl>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594" w:name="_Toc296891057"/>
      <w:bookmarkStart w:id="595" w:name="_Toc296503229"/>
      <w:bookmarkStart w:id="596" w:name="_Toc296891269"/>
      <w:bookmarkStart w:id="597" w:name="_Toc296346730"/>
      <w:bookmarkStart w:id="598" w:name="_Toc296944568"/>
      <w:bookmarkStart w:id="599" w:name="_Toc296347228"/>
      <w:r>
        <w:rPr>
          <w:rFonts w:ascii="宋体" w:hAnsi="宋体"/>
          <w:color w:val="auto"/>
          <w:sz w:val="24"/>
          <w:highlight w:val="none"/>
        </w:rPr>
        <w:t>件7：</w:t>
      </w:r>
    </w:p>
    <w:bookmarkEnd w:id="594"/>
    <w:bookmarkEnd w:id="595"/>
    <w:bookmarkEnd w:id="596"/>
    <w:bookmarkEnd w:id="597"/>
    <w:bookmarkEnd w:id="598"/>
    <w:bookmarkEnd w:id="599"/>
    <w:p>
      <w:pPr>
        <w:spacing w:beforeLines="50" w:afterLines="50" w:line="440" w:lineRule="exact"/>
        <w:jc w:val="center"/>
        <w:rPr>
          <w:rFonts w:ascii="宋体" w:hAnsi="宋体"/>
          <w:color w:val="auto"/>
          <w:sz w:val="24"/>
          <w:highlight w:val="none"/>
        </w:rPr>
      </w:pPr>
      <w:r>
        <w:rPr>
          <w:rFonts w:ascii="宋体" w:hAnsi="宋体"/>
          <w:color w:val="auto"/>
          <w:sz w:val="24"/>
          <w:highlight w:val="none"/>
        </w:rPr>
        <w:t>分包人主要施工管理人员表</w:t>
      </w:r>
    </w:p>
    <w:tbl>
      <w:tblPr>
        <w:tblStyle w:val="13"/>
        <w:tblW w:w="98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名称</w:t>
            </w:r>
          </w:p>
        </w:tc>
        <w:tc>
          <w:tcPr>
            <w:tcW w:w="1418"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姓名</w:t>
            </w:r>
          </w:p>
        </w:tc>
        <w:tc>
          <w:tcPr>
            <w:tcW w:w="113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职务</w:t>
            </w:r>
          </w:p>
        </w:tc>
        <w:tc>
          <w:tcPr>
            <w:tcW w:w="1134"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职称</w:t>
            </w:r>
          </w:p>
        </w:tc>
        <w:tc>
          <w:tcPr>
            <w:tcW w:w="4252" w:type="dxa"/>
            <w:tcBorders>
              <w:top w:val="single" w:color="auto" w:sz="12" w:space="0"/>
              <w:bottom w:val="doub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项目主管</w:t>
            </w:r>
          </w:p>
        </w:tc>
        <w:tc>
          <w:tcPr>
            <w:tcW w:w="1418"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top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其他人员</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项目经理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项目副经理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技术负责人</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造价管理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质量管理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材料管理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计划管理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安全管理</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其他人员</w:t>
            </w: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bottom w:val="nil"/>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134"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4252" w:type="dxa"/>
            <w:tcBorders>
              <w:bottom w:val="single" w:color="auto" w:sz="12" w:space="0"/>
            </w:tcBorders>
            <w:vAlign w:val="center"/>
          </w:tcPr>
          <w:p>
            <w:pPr>
              <w:keepNext/>
              <w:autoSpaceDE w:val="0"/>
              <w:autoSpaceDN w:val="0"/>
              <w:adjustRightInd w:val="0"/>
              <w:spacing w:line="440" w:lineRule="exact"/>
              <w:ind w:left="63" w:right="63"/>
              <w:rPr>
                <w:rFonts w:ascii="宋体" w:hAnsi="宋体" w:eastAsia="仿宋_GB2312"/>
                <w:color w:val="auto"/>
                <w:sz w:val="24"/>
                <w:highlight w:val="none"/>
              </w:rPr>
            </w:pPr>
          </w:p>
        </w:tc>
      </w:tr>
    </w:tbl>
    <w:p>
      <w:pPr>
        <w:spacing w:line="440" w:lineRule="exact"/>
        <w:rPr>
          <w:rFonts w:ascii="宋体" w:hAnsi="宋体"/>
          <w:color w:val="auto"/>
          <w:sz w:val="24"/>
          <w:highlight w:val="none"/>
        </w:rPr>
      </w:pPr>
      <w:r>
        <w:rPr>
          <w:rFonts w:ascii="宋体" w:hAnsi="宋体"/>
          <w:color w:val="auto"/>
          <w:sz w:val="24"/>
          <w:highlight w:val="none"/>
        </w:rPr>
        <w:br w:type="page"/>
      </w:r>
      <w:bookmarkStart w:id="600" w:name="_Toc267261701"/>
      <w:r>
        <w:rPr>
          <w:rFonts w:ascii="宋体" w:hAnsi="宋体"/>
          <w:color w:val="auto"/>
          <w:sz w:val="24"/>
          <w:highlight w:val="none"/>
        </w:rPr>
        <w:t>附</w:t>
      </w:r>
      <w:bookmarkStart w:id="601" w:name="_Toc296944570"/>
      <w:bookmarkStart w:id="602" w:name="_Toc296346732"/>
      <w:bookmarkStart w:id="603" w:name="_Toc296503231"/>
      <w:bookmarkStart w:id="604" w:name="_Toc296891271"/>
      <w:bookmarkStart w:id="605" w:name="_Toc296347230"/>
      <w:bookmarkStart w:id="606" w:name="_Toc296891059"/>
      <w:r>
        <w:rPr>
          <w:rFonts w:ascii="宋体" w:hAnsi="宋体"/>
          <w:color w:val="auto"/>
          <w:sz w:val="24"/>
          <w:highlight w:val="none"/>
        </w:rPr>
        <w:t>件8：</w:t>
      </w:r>
    </w:p>
    <w:bookmarkEnd w:id="600"/>
    <w:bookmarkEnd w:id="601"/>
    <w:bookmarkEnd w:id="602"/>
    <w:bookmarkEnd w:id="603"/>
    <w:bookmarkEnd w:id="604"/>
    <w:bookmarkEnd w:id="605"/>
    <w:bookmarkEnd w:id="606"/>
    <w:p>
      <w:pPr>
        <w:spacing w:beforeLines="50" w:afterLines="50" w:line="440" w:lineRule="exact"/>
        <w:jc w:val="center"/>
        <w:rPr>
          <w:rFonts w:ascii="宋体" w:hAnsi="宋体"/>
          <w:color w:val="auto"/>
          <w:sz w:val="24"/>
          <w:highlight w:val="none"/>
        </w:rPr>
      </w:pPr>
      <w:r>
        <w:rPr>
          <w:rFonts w:ascii="宋体" w:hAnsi="宋体"/>
          <w:color w:val="auto"/>
          <w:sz w:val="24"/>
          <w:highlight w:val="none"/>
        </w:rPr>
        <w:t>履约担保</w:t>
      </w:r>
    </w:p>
    <w:p>
      <w:pPr>
        <w:spacing w:line="440" w:lineRule="exact"/>
        <w:rPr>
          <w:rFonts w:ascii="宋体" w:hAnsi="宋体"/>
          <w:color w:val="auto"/>
          <w:sz w:val="24"/>
          <w:highlight w:val="none"/>
        </w:rPr>
      </w:pPr>
      <w:r>
        <w:rPr>
          <w:rFonts w:ascii="宋体" w:hAnsi="宋体"/>
          <w:color w:val="auto"/>
          <w:sz w:val="24"/>
          <w:highlight w:val="none"/>
          <w:u w:val="single"/>
        </w:rPr>
        <w:tab/>
      </w:r>
      <w:r>
        <w:rPr>
          <w:rFonts w:ascii="宋体" w:hAnsi="宋体"/>
          <w:color w:val="auto"/>
          <w:sz w:val="24"/>
          <w:highlight w:val="none"/>
        </w:rPr>
        <w:t>（发包人名称）：</w:t>
      </w:r>
    </w:p>
    <w:p>
      <w:pPr>
        <w:spacing w:line="440" w:lineRule="exact"/>
        <w:rPr>
          <w:rFonts w:ascii="宋体" w:hAnsi="宋体"/>
          <w:color w:val="auto"/>
          <w:sz w:val="24"/>
          <w:highlight w:val="none"/>
        </w:rPr>
      </w:pP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鉴于（发包人名称，以下简称“发包人”）与</w:t>
      </w:r>
    </w:p>
    <w:p>
      <w:pPr>
        <w:spacing w:line="360" w:lineRule="auto"/>
        <w:rPr>
          <w:rFonts w:ascii="宋体" w:hAnsi="宋体"/>
          <w:color w:val="auto"/>
          <w:sz w:val="24"/>
          <w:highlight w:val="none"/>
        </w:rPr>
      </w:pPr>
      <w:r>
        <w:rPr>
          <w:rFonts w:ascii="宋体" w:hAnsi="宋体"/>
          <w:color w:val="auto"/>
          <w:sz w:val="24"/>
          <w:highlight w:val="none"/>
        </w:rPr>
        <w:t xml:space="preserve">（承包人名称）（以下称“承包人”）于年月日就（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ascii="宋体" w:hAnsi="宋体"/>
          <w:color w:val="auto"/>
          <w:sz w:val="24"/>
          <w:highlight w:val="none"/>
        </w:rPr>
      </w:pPr>
      <w:r>
        <w:rPr>
          <w:rFonts w:ascii="宋体" w:hAnsi="宋体"/>
          <w:color w:val="auto"/>
          <w:sz w:val="24"/>
          <w:highlight w:val="none"/>
        </w:rPr>
        <w:t>1. 担保金额人民币（大写）元（¥）。</w:t>
      </w:r>
    </w:p>
    <w:p>
      <w:pPr>
        <w:spacing w:line="360" w:lineRule="auto"/>
        <w:ind w:firstLine="480" w:firstLineChars="200"/>
        <w:rPr>
          <w:rFonts w:ascii="宋体" w:hAnsi="宋体"/>
          <w:color w:val="auto"/>
          <w:sz w:val="24"/>
          <w:highlight w:val="none"/>
        </w:rPr>
      </w:pPr>
      <w:r>
        <w:rPr>
          <w:rFonts w:ascii="宋体" w:hAnsi="宋体"/>
          <w:color w:val="auto"/>
          <w:sz w:val="24"/>
          <w:highlight w:val="none"/>
        </w:rPr>
        <w:t>2. 担保有效期自你方与承包人签订的合同生效之日起至你方签发或应签发工程接收证书之日止。</w:t>
      </w:r>
    </w:p>
    <w:p>
      <w:pPr>
        <w:spacing w:line="360" w:lineRule="auto"/>
        <w:ind w:firstLine="480" w:firstLineChars="200"/>
        <w:rPr>
          <w:rFonts w:ascii="宋体" w:hAnsi="宋体"/>
          <w:color w:val="auto"/>
          <w:sz w:val="24"/>
          <w:highlight w:val="none"/>
        </w:rPr>
      </w:pPr>
      <w:r>
        <w:rPr>
          <w:rFonts w:ascii="宋体" w:hAnsi="宋体"/>
          <w:color w:val="auto"/>
          <w:sz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ascii="宋体" w:hAnsi="宋体"/>
          <w:color w:val="auto"/>
          <w:sz w:val="24"/>
          <w:highlight w:val="none"/>
        </w:rPr>
      </w:pPr>
      <w:r>
        <w:rPr>
          <w:rFonts w:ascii="宋体" w:hAnsi="宋体"/>
          <w:color w:val="auto"/>
          <w:sz w:val="24"/>
          <w:highlight w:val="none"/>
        </w:rPr>
        <w:t>4. 你方和承包人按合同约定变更合同时，我方承担本担保规定的义务不变。</w:t>
      </w:r>
    </w:p>
    <w:p>
      <w:pPr>
        <w:spacing w:line="360" w:lineRule="auto"/>
        <w:ind w:firstLine="480" w:firstLineChars="200"/>
        <w:rPr>
          <w:rFonts w:ascii="宋体" w:hAnsi="宋体"/>
          <w:color w:val="auto"/>
          <w:sz w:val="24"/>
          <w:highlight w:val="none"/>
        </w:rPr>
      </w:pPr>
      <w:r>
        <w:rPr>
          <w:rFonts w:ascii="宋体" w:hAnsi="宋体"/>
          <w:color w:val="auto"/>
          <w:sz w:val="24"/>
          <w:highlight w:val="none"/>
        </w:rPr>
        <w:t>5. 因本保函发生的纠纷，可由双方协商解决，协商不成的，任何一方均可提请仲裁委员会仲裁。</w:t>
      </w:r>
    </w:p>
    <w:p>
      <w:pPr>
        <w:spacing w:line="360" w:lineRule="auto"/>
        <w:ind w:firstLine="480" w:firstLineChars="200"/>
        <w:rPr>
          <w:rFonts w:ascii="宋体" w:hAnsi="宋体"/>
          <w:color w:val="auto"/>
          <w:sz w:val="24"/>
          <w:highlight w:val="none"/>
        </w:rPr>
      </w:pPr>
      <w:r>
        <w:rPr>
          <w:rFonts w:ascii="宋体" w:hAnsi="宋体"/>
          <w:color w:val="auto"/>
          <w:sz w:val="24"/>
          <w:highlight w:val="none"/>
        </w:rPr>
        <w:t>6. 本保函自我方法定代表人（或其授权代理人）签字并加盖公章之日起生效。</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担 保 人：（盖单位章）</w:t>
      </w:r>
    </w:p>
    <w:p>
      <w:pPr>
        <w:spacing w:line="360" w:lineRule="auto"/>
        <w:rPr>
          <w:rFonts w:ascii="宋体" w:hAnsi="宋体"/>
          <w:color w:val="auto"/>
          <w:sz w:val="24"/>
          <w:highlight w:val="none"/>
        </w:rPr>
      </w:pPr>
      <w:r>
        <w:rPr>
          <w:rFonts w:ascii="宋体" w:hAnsi="宋体"/>
          <w:color w:val="auto"/>
          <w:sz w:val="24"/>
          <w:highlight w:val="none"/>
        </w:rPr>
        <w:t>法定代表人或其委托代理人：（签字）</w:t>
      </w:r>
    </w:p>
    <w:p>
      <w:pPr>
        <w:spacing w:line="360" w:lineRule="auto"/>
        <w:rPr>
          <w:rFonts w:ascii="宋体" w:hAnsi="宋体"/>
          <w:color w:val="auto"/>
          <w:sz w:val="24"/>
          <w:highlight w:val="none"/>
        </w:rPr>
      </w:pPr>
      <w:r>
        <w:rPr>
          <w:rFonts w:ascii="宋体" w:hAnsi="宋体"/>
          <w:color w:val="auto"/>
          <w:sz w:val="24"/>
          <w:highlight w:val="none"/>
        </w:rPr>
        <w:t>地    址：</w:t>
      </w:r>
    </w:p>
    <w:p>
      <w:pPr>
        <w:spacing w:line="360" w:lineRule="auto"/>
        <w:rPr>
          <w:rFonts w:ascii="宋体" w:hAnsi="宋体"/>
          <w:color w:val="auto"/>
          <w:sz w:val="24"/>
          <w:highlight w:val="none"/>
        </w:rPr>
      </w:pPr>
      <w:r>
        <w:rPr>
          <w:rFonts w:ascii="宋体" w:hAnsi="宋体"/>
          <w:color w:val="auto"/>
          <w:sz w:val="24"/>
          <w:highlight w:val="none"/>
        </w:rPr>
        <w:t>邮政编码：</w:t>
      </w:r>
    </w:p>
    <w:p>
      <w:pPr>
        <w:spacing w:line="360" w:lineRule="auto"/>
        <w:rPr>
          <w:rFonts w:ascii="宋体" w:hAnsi="宋体"/>
          <w:color w:val="auto"/>
          <w:sz w:val="24"/>
          <w:highlight w:val="none"/>
          <w:u w:val="single"/>
        </w:rPr>
      </w:pPr>
      <w:r>
        <w:rPr>
          <w:rFonts w:ascii="宋体" w:hAnsi="宋体"/>
          <w:color w:val="auto"/>
          <w:sz w:val="24"/>
          <w:highlight w:val="none"/>
        </w:rPr>
        <w:t>电    话：</w:t>
      </w:r>
    </w:p>
    <w:p>
      <w:pPr>
        <w:spacing w:line="360" w:lineRule="auto"/>
        <w:rPr>
          <w:rFonts w:ascii="宋体" w:hAnsi="宋体"/>
          <w:color w:val="auto"/>
          <w:sz w:val="24"/>
          <w:highlight w:val="none"/>
        </w:rPr>
      </w:pPr>
      <w:r>
        <w:rPr>
          <w:rFonts w:ascii="宋体" w:hAnsi="宋体"/>
          <w:color w:val="auto"/>
          <w:sz w:val="24"/>
          <w:highlight w:val="none"/>
        </w:rPr>
        <w:t>传    真：</w:t>
      </w:r>
    </w:p>
    <w:p>
      <w:pPr>
        <w:spacing w:line="360" w:lineRule="auto"/>
        <w:jc w:val="left"/>
        <w:rPr>
          <w:rFonts w:ascii="宋体" w:hAnsi="宋体"/>
          <w:color w:val="auto"/>
          <w:sz w:val="24"/>
          <w:highlight w:val="none"/>
          <w:u w:val="single"/>
        </w:rPr>
      </w:pPr>
    </w:p>
    <w:p>
      <w:pPr>
        <w:spacing w:line="360" w:lineRule="auto"/>
        <w:ind w:left="1519" w:hanging="1519" w:hangingChars="633"/>
        <w:rPr>
          <w:rFonts w:ascii="宋体" w:hAnsi="宋体"/>
          <w:color w:val="auto"/>
          <w:sz w:val="24"/>
          <w:highlight w:val="none"/>
        </w:rPr>
      </w:pPr>
      <w:r>
        <w:rPr>
          <w:rFonts w:ascii="宋体" w:hAnsi="宋体"/>
          <w:color w:val="auto"/>
          <w:sz w:val="24"/>
          <w:highlight w:val="none"/>
        </w:rPr>
        <w:t>年月日</w:t>
      </w:r>
    </w:p>
    <w:p>
      <w:pPr>
        <w:spacing w:line="360" w:lineRule="auto"/>
        <w:ind w:left="1519" w:hanging="1519" w:hangingChars="633"/>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607" w:name="_Toc296944571"/>
      <w:bookmarkStart w:id="608" w:name="_Toc296346733"/>
      <w:bookmarkStart w:id="609" w:name="_Toc296503232"/>
      <w:bookmarkStart w:id="610" w:name="_Toc267261702"/>
      <w:bookmarkStart w:id="611" w:name="_Toc296891060"/>
      <w:bookmarkStart w:id="612" w:name="_Toc296347231"/>
      <w:bookmarkStart w:id="613" w:name="_Toc296891272"/>
      <w:r>
        <w:rPr>
          <w:rFonts w:ascii="宋体" w:hAnsi="宋体"/>
          <w:color w:val="auto"/>
          <w:sz w:val="24"/>
          <w:highlight w:val="none"/>
        </w:rPr>
        <w:t>件9 ：</w:t>
      </w:r>
    </w:p>
    <w:bookmarkEnd w:id="607"/>
    <w:bookmarkEnd w:id="608"/>
    <w:bookmarkEnd w:id="609"/>
    <w:bookmarkEnd w:id="610"/>
    <w:bookmarkEnd w:id="611"/>
    <w:bookmarkEnd w:id="612"/>
    <w:bookmarkEnd w:id="613"/>
    <w:p>
      <w:pPr>
        <w:spacing w:beforeLines="50" w:afterLines="50" w:line="440" w:lineRule="exact"/>
        <w:jc w:val="center"/>
        <w:rPr>
          <w:rFonts w:ascii="宋体" w:hAnsi="宋体"/>
          <w:color w:val="auto"/>
          <w:sz w:val="24"/>
          <w:highlight w:val="none"/>
        </w:rPr>
      </w:pPr>
      <w:r>
        <w:rPr>
          <w:rFonts w:ascii="宋体" w:hAnsi="宋体"/>
          <w:color w:val="auto"/>
          <w:sz w:val="24"/>
          <w:highlight w:val="none"/>
        </w:rPr>
        <w:t>预付款担保</w:t>
      </w:r>
    </w:p>
    <w:p>
      <w:pPr>
        <w:spacing w:line="360" w:lineRule="auto"/>
        <w:rPr>
          <w:rFonts w:ascii="宋体" w:hAnsi="宋体"/>
          <w:color w:val="auto"/>
          <w:sz w:val="24"/>
          <w:highlight w:val="none"/>
        </w:rPr>
      </w:pP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 xml:space="preserve"> （发包人名称）：</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根据（承包人名称）（以下称</w:t>
      </w:r>
      <w:r>
        <w:rPr>
          <w:rFonts w:hint="eastAsia" w:ascii="宋体" w:hAnsi="宋体"/>
          <w:color w:val="auto"/>
          <w:sz w:val="24"/>
          <w:highlight w:val="none"/>
        </w:rPr>
        <w:t>“</w:t>
      </w:r>
      <w:r>
        <w:rPr>
          <w:rFonts w:ascii="宋体" w:hAnsi="宋体"/>
          <w:color w:val="auto"/>
          <w:sz w:val="24"/>
          <w:highlight w:val="none"/>
        </w:rPr>
        <w:t>承包人</w:t>
      </w:r>
      <w:r>
        <w:rPr>
          <w:rFonts w:hint="eastAsia" w:ascii="宋体" w:hAnsi="宋体"/>
          <w:color w:val="auto"/>
          <w:sz w:val="24"/>
          <w:highlight w:val="none"/>
        </w:rPr>
        <w:t>”</w:t>
      </w:r>
      <w:r>
        <w:rPr>
          <w:rFonts w:ascii="宋体" w:hAnsi="宋体"/>
          <w:color w:val="auto"/>
          <w:sz w:val="24"/>
          <w:highlight w:val="none"/>
        </w:rPr>
        <w:t>）与</w:t>
      </w:r>
    </w:p>
    <w:p>
      <w:pPr>
        <w:spacing w:line="360" w:lineRule="auto"/>
        <w:outlineLvl w:val="0"/>
        <w:rPr>
          <w:rFonts w:ascii="宋体" w:hAnsi="宋体"/>
          <w:color w:val="auto"/>
          <w:sz w:val="24"/>
          <w:highlight w:val="none"/>
        </w:rPr>
      </w:pPr>
      <w:r>
        <w:rPr>
          <w:rFonts w:ascii="宋体" w:hAnsi="宋体"/>
          <w:color w:val="auto"/>
          <w:sz w:val="24"/>
          <w:highlight w:val="none"/>
        </w:rPr>
        <w:t>（发包人名称）（以下简称</w:t>
      </w:r>
      <w:r>
        <w:rPr>
          <w:rFonts w:hint="eastAsia" w:ascii="宋体" w:hAnsi="宋体"/>
          <w:color w:val="auto"/>
          <w:sz w:val="24"/>
          <w:highlight w:val="none"/>
        </w:rPr>
        <w:t>“</w:t>
      </w:r>
      <w:r>
        <w:rPr>
          <w:rFonts w:ascii="宋体" w:hAnsi="宋体"/>
          <w:color w:val="auto"/>
          <w:sz w:val="24"/>
          <w:highlight w:val="none"/>
        </w:rPr>
        <w:t>发包人</w:t>
      </w:r>
      <w:r>
        <w:rPr>
          <w:rFonts w:hint="eastAsia" w:ascii="宋体" w:hAnsi="宋体"/>
          <w:color w:val="auto"/>
          <w:sz w:val="24"/>
          <w:highlight w:val="none"/>
        </w:rPr>
        <w:t>”</w:t>
      </w:r>
      <w:r>
        <w:rPr>
          <w:rFonts w:ascii="宋体" w:hAnsi="宋体"/>
          <w:color w:val="auto"/>
          <w:sz w:val="24"/>
          <w:highlight w:val="none"/>
        </w:rPr>
        <w:t>）于年月日签订的（工程名称）《建设工程施工合同》，承包人按约定的金额向</w:t>
      </w:r>
      <w:r>
        <w:rPr>
          <w:rFonts w:hint="eastAsia" w:ascii="宋体" w:hAnsi="宋体"/>
          <w:color w:val="auto"/>
          <w:sz w:val="24"/>
          <w:highlight w:val="none"/>
        </w:rPr>
        <w:t>你方</w:t>
      </w:r>
      <w:r>
        <w:rPr>
          <w:rFonts w:ascii="宋体" w:hAnsi="宋体"/>
          <w:color w:val="auto"/>
          <w:sz w:val="24"/>
          <w:highlight w:val="none"/>
        </w:rPr>
        <w:t>提交一份预付款担保，即有权得到</w:t>
      </w:r>
      <w:r>
        <w:rPr>
          <w:rFonts w:hint="eastAsia" w:ascii="宋体" w:hAnsi="宋体"/>
          <w:color w:val="auto"/>
          <w:sz w:val="24"/>
          <w:highlight w:val="none"/>
        </w:rPr>
        <w:t>你方</w:t>
      </w:r>
      <w:r>
        <w:rPr>
          <w:rFonts w:ascii="宋体" w:hAnsi="宋体"/>
          <w:color w:val="auto"/>
          <w:sz w:val="24"/>
          <w:highlight w:val="none"/>
        </w:rPr>
        <w:t>支付相等金额的预付款。我方愿意就你方提供给承包人的预付款</w:t>
      </w:r>
      <w:r>
        <w:rPr>
          <w:rFonts w:hint="eastAsia" w:ascii="宋体" w:hAnsi="宋体"/>
          <w:color w:val="auto"/>
          <w:sz w:val="24"/>
          <w:highlight w:val="none"/>
        </w:rPr>
        <w:t>为承包人</w:t>
      </w:r>
      <w:r>
        <w:rPr>
          <w:rFonts w:ascii="宋体" w:hAnsi="宋体"/>
          <w:color w:val="auto"/>
          <w:sz w:val="24"/>
          <w:highlight w:val="none"/>
        </w:rPr>
        <w:t>提供连带责任担保。</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担保金额人民币（大写）</w:t>
      </w:r>
      <w:r>
        <w:rPr>
          <w:rFonts w:hint="eastAsia" w:ascii="宋体" w:hAnsi="宋体"/>
          <w:color w:val="auto"/>
          <w:sz w:val="24"/>
          <w:highlight w:val="none"/>
        </w:rPr>
        <w:t>元</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担保有效期自预付款支付给承包人起生效，至</w:t>
      </w:r>
      <w:r>
        <w:rPr>
          <w:rFonts w:hint="eastAsia" w:ascii="宋体" w:hAnsi="宋体"/>
          <w:color w:val="auto"/>
          <w:sz w:val="24"/>
          <w:highlight w:val="none"/>
        </w:rPr>
        <w:t>你方</w:t>
      </w:r>
      <w:r>
        <w:rPr>
          <w:rFonts w:ascii="宋体" w:hAnsi="宋体"/>
          <w:color w:val="auto"/>
          <w:sz w:val="24"/>
          <w:highlight w:val="none"/>
        </w:rPr>
        <w:t>签发的</w:t>
      </w:r>
      <w:r>
        <w:rPr>
          <w:rFonts w:hint="eastAsia" w:ascii="宋体" w:hAnsi="宋体"/>
          <w:color w:val="auto"/>
          <w:sz w:val="24"/>
          <w:highlight w:val="none"/>
        </w:rPr>
        <w:t>进</w:t>
      </w:r>
      <w:r>
        <w:rPr>
          <w:rFonts w:ascii="宋体" w:hAnsi="宋体"/>
          <w:color w:val="auto"/>
          <w:sz w:val="24"/>
          <w:highlight w:val="none"/>
        </w:rPr>
        <w:t>度款支付证书说明已完全扣清止。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在本保函有效期内，因承包人违反合同约定的义务而要求</w:t>
      </w:r>
      <w:r>
        <w:rPr>
          <w:rFonts w:hint="eastAsia" w:ascii="宋体" w:hAnsi="宋体"/>
          <w:color w:val="auto"/>
          <w:sz w:val="24"/>
          <w:highlight w:val="none"/>
        </w:rPr>
        <w:t>收</w:t>
      </w:r>
      <w:r>
        <w:rPr>
          <w:rFonts w:ascii="宋体" w:hAnsi="宋体"/>
          <w:color w:val="auto"/>
          <w:sz w:val="24"/>
          <w:highlight w:val="none"/>
        </w:rPr>
        <w:t>回预付款时，我方在收到你方的书面通知后，在７天内无条件支付。但本保函的担保金额，在任何时候不应超过预付款金额减去</w:t>
      </w:r>
      <w:r>
        <w:rPr>
          <w:rFonts w:hint="eastAsia" w:ascii="宋体" w:hAnsi="宋体"/>
          <w:color w:val="auto"/>
          <w:sz w:val="24"/>
          <w:highlight w:val="none"/>
        </w:rPr>
        <w:t>你方</w:t>
      </w:r>
      <w:r>
        <w:rPr>
          <w:rFonts w:ascii="宋体" w:hAnsi="宋体"/>
          <w:color w:val="auto"/>
          <w:sz w:val="24"/>
          <w:highlight w:val="none"/>
        </w:rPr>
        <w:t>按合同约定在向承包人签发的进度款支付证书中扣除的金额。</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 你方</w:t>
      </w:r>
      <w:r>
        <w:rPr>
          <w:rFonts w:ascii="宋体" w:hAnsi="宋体"/>
          <w:color w:val="auto"/>
          <w:sz w:val="24"/>
          <w:highlight w:val="none"/>
        </w:rPr>
        <w:t>和承包人按合同约定变更合同时，我方承担本保函规定的义务不变。</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5. </w:t>
      </w:r>
      <w:r>
        <w:rPr>
          <w:rFonts w:ascii="宋体" w:hAnsi="宋体"/>
          <w:color w:val="auto"/>
          <w:sz w:val="24"/>
          <w:highlight w:val="none"/>
        </w:rPr>
        <w:t>因本保函发生的纠纷，可由双方协商解决，协商不成的，任何一方均可提请仲裁委员会仲裁。</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6. </w:t>
      </w:r>
      <w:r>
        <w:rPr>
          <w:rFonts w:ascii="宋体" w:hAnsi="宋体"/>
          <w:color w:val="auto"/>
          <w:sz w:val="24"/>
          <w:highlight w:val="none"/>
        </w:rPr>
        <w:t>本保函自我方法定代表人（或其授权代理人）签字并加盖公章之日起生效。</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担保人：（盖单位章）</w:t>
      </w:r>
    </w:p>
    <w:p>
      <w:pPr>
        <w:spacing w:line="360" w:lineRule="auto"/>
        <w:rPr>
          <w:rFonts w:ascii="宋体" w:hAnsi="宋体"/>
          <w:color w:val="auto"/>
          <w:sz w:val="24"/>
          <w:highlight w:val="none"/>
        </w:rPr>
      </w:pPr>
      <w:r>
        <w:rPr>
          <w:rFonts w:ascii="宋体" w:hAnsi="宋体"/>
          <w:color w:val="auto"/>
          <w:sz w:val="24"/>
          <w:highlight w:val="none"/>
        </w:rPr>
        <w:t>法定代表人或其委托代理人：（签字）</w:t>
      </w:r>
    </w:p>
    <w:p>
      <w:pPr>
        <w:spacing w:line="360" w:lineRule="auto"/>
        <w:rPr>
          <w:rFonts w:ascii="宋体" w:hAnsi="宋体"/>
          <w:color w:val="auto"/>
          <w:sz w:val="24"/>
          <w:highlight w:val="none"/>
        </w:rPr>
      </w:pPr>
      <w:r>
        <w:rPr>
          <w:rFonts w:ascii="宋体" w:hAnsi="宋体"/>
          <w:color w:val="auto"/>
          <w:sz w:val="24"/>
          <w:highlight w:val="none"/>
        </w:rPr>
        <w:t>地    址：</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rPr>
          <w:rFonts w:ascii="宋体" w:hAnsi="宋体"/>
          <w:color w:val="auto"/>
          <w:sz w:val="24"/>
          <w:highlight w:val="none"/>
          <w:u w:val="single"/>
        </w:rPr>
      </w:pPr>
      <w:r>
        <w:rPr>
          <w:rFonts w:ascii="宋体" w:hAnsi="宋体"/>
          <w:color w:val="auto"/>
          <w:sz w:val="24"/>
          <w:highlight w:val="none"/>
        </w:rPr>
        <w:t>邮政编码：</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rPr>
          <w:rFonts w:ascii="宋体" w:hAnsi="宋体"/>
          <w:color w:val="auto"/>
          <w:sz w:val="24"/>
          <w:highlight w:val="none"/>
          <w:u w:val="single"/>
        </w:rPr>
      </w:pPr>
      <w:r>
        <w:rPr>
          <w:rFonts w:ascii="宋体" w:hAnsi="宋体"/>
          <w:color w:val="auto"/>
          <w:sz w:val="24"/>
          <w:highlight w:val="none"/>
        </w:rPr>
        <w:t>电    话：</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rPr>
          <w:rFonts w:ascii="宋体" w:hAnsi="宋体"/>
          <w:color w:val="auto"/>
          <w:sz w:val="24"/>
          <w:highlight w:val="none"/>
        </w:rPr>
      </w:pPr>
      <w:r>
        <w:rPr>
          <w:rFonts w:ascii="宋体" w:hAnsi="宋体"/>
          <w:color w:val="auto"/>
          <w:sz w:val="24"/>
          <w:highlight w:val="none"/>
        </w:rPr>
        <w:t>传    真：</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rPr>
          <w:rFonts w:ascii="宋体" w:hAnsi="宋体"/>
          <w:color w:val="auto"/>
          <w:sz w:val="24"/>
          <w:highlight w:val="none"/>
          <w:u w:val="single"/>
        </w:rPr>
      </w:pPr>
    </w:p>
    <w:p>
      <w:pPr>
        <w:spacing w:line="360" w:lineRule="auto"/>
        <w:rPr>
          <w:rFonts w:ascii="宋体" w:hAnsi="宋体"/>
          <w:color w:val="auto"/>
          <w:sz w:val="24"/>
          <w:highlight w:val="none"/>
        </w:rPr>
      </w:pPr>
      <w:r>
        <w:rPr>
          <w:rFonts w:ascii="宋体" w:hAnsi="宋体"/>
          <w:color w:val="auto"/>
          <w:sz w:val="24"/>
          <w:highlight w:val="none"/>
        </w:rPr>
        <w:t>年月日</w:t>
      </w: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w:t>
      </w:r>
      <w:bookmarkStart w:id="614" w:name="_Toc296944572"/>
      <w:bookmarkStart w:id="615" w:name="_Toc296346734"/>
      <w:bookmarkStart w:id="616" w:name="_Toc296503233"/>
      <w:bookmarkStart w:id="617" w:name="_Toc296891061"/>
      <w:bookmarkStart w:id="618" w:name="_Toc296891273"/>
      <w:bookmarkStart w:id="619" w:name="_Toc296347232"/>
      <w:r>
        <w:rPr>
          <w:rFonts w:ascii="宋体" w:hAnsi="宋体"/>
          <w:color w:val="auto"/>
          <w:sz w:val="24"/>
          <w:highlight w:val="none"/>
        </w:rPr>
        <w:t xml:space="preserve">件10:  </w:t>
      </w:r>
    </w:p>
    <w:bookmarkEnd w:id="614"/>
    <w:bookmarkEnd w:id="615"/>
    <w:bookmarkEnd w:id="616"/>
    <w:bookmarkEnd w:id="617"/>
    <w:bookmarkEnd w:id="618"/>
    <w:bookmarkEnd w:id="619"/>
    <w:p>
      <w:pPr>
        <w:spacing w:beforeLines="50" w:afterLines="50" w:line="440" w:lineRule="exact"/>
        <w:jc w:val="center"/>
        <w:rPr>
          <w:rFonts w:ascii="宋体" w:hAnsi="宋体"/>
          <w:color w:val="auto"/>
          <w:sz w:val="24"/>
          <w:highlight w:val="none"/>
        </w:rPr>
      </w:pPr>
      <w:r>
        <w:rPr>
          <w:rFonts w:ascii="宋体" w:hAnsi="宋体"/>
          <w:color w:val="auto"/>
          <w:sz w:val="24"/>
          <w:highlight w:val="none"/>
        </w:rPr>
        <w:t>支付担保</w:t>
      </w:r>
    </w:p>
    <w:p>
      <w:pPr>
        <w:spacing w:line="440" w:lineRule="exact"/>
        <w:jc w:val="left"/>
        <w:rPr>
          <w:rFonts w:ascii="宋体" w:hAnsi="宋体"/>
          <w:color w:val="auto"/>
          <w:sz w:val="24"/>
          <w:highlight w:val="none"/>
        </w:rPr>
      </w:pPr>
      <w:r>
        <w:rPr>
          <w:rFonts w:ascii="宋体" w:hAnsi="宋体"/>
          <w:color w:val="auto"/>
          <w:sz w:val="24"/>
          <w:highlight w:val="none"/>
        </w:rPr>
        <w:t>（承包人）：</w:t>
      </w:r>
    </w:p>
    <w:p>
      <w:pPr>
        <w:spacing w:line="440" w:lineRule="exact"/>
        <w:jc w:val="left"/>
        <w:rPr>
          <w:rFonts w:ascii="宋体" w:hAnsi="宋体"/>
          <w:color w:val="auto"/>
          <w:sz w:val="24"/>
          <w:highlight w:val="none"/>
        </w:rPr>
      </w:pP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鉴于你方作为承包人已经与（发包人名称）（以下称</w:t>
      </w:r>
      <w:r>
        <w:rPr>
          <w:rFonts w:hint="eastAsia" w:ascii="宋体" w:hAnsi="宋体"/>
          <w:color w:val="auto"/>
          <w:sz w:val="24"/>
          <w:highlight w:val="none"/>
        </w:rPr>
        <w:t>“</w:t>
      </w:r>
      <w:r>
        <w:rPr>
          <w:rFonts w:ascii="宋体" w:hAnsi="宋体"/>
          <w:color w:val="auto"/>
          <w:sz w:val="24"/>
          <w:highlight w:val="none"/>
        </w:rPr>
        <w:t>发包人</w:t>
      </w:r>
      <w:r>
        <w:rPr>
          <w:rFonts w:hint="eastAsia" w:ascii="宋体" w:hAnsi="宋体"/>
          <w:color w:val="auto"/>
          <w:sz w:val="24"/>
          <w:highlight w:val="none"/>
        </w:rPr>
        <w:t>”</w:t>
      </w:r>
      <w:r>
        <w:rPr>
          <w:rFonts w:ascii="宋体" w:hAnsi="宋体"/>
          <w:color w:val="auto"/>
          <w:sz w:val="24"/>
          <w:highlight w:val="none"/>
        </w:rPr>
        <w:t>）于年月日签订了（工程名称）《建设工程施工合同》（以下称</w:t>
      </w:r>
      <w:r>
        <w:rPr>
          <w:rFonts w:hint="eastAsia" w:ascii="宋体" w:hAnsi="宋体"/>
          <w:color w:val="auto"/>
          <w:sz w:val="24"/>
          <w:highlight w:val="none"/>
        </w:rPr>
        <w:t>“</w:t>
      </w:r>
      <w:r>
        <w:rPr>
          <w:rFonts w:ascii="宋体" w:hAnsi="宋体"/>
          <w:color w:val="auto"/>
          <w:sz w:val="24"/>
          <w:highlight w:val="none"/>
        </w:rPr>
        <w:t>主合同</w:t>
      </w:r>
      <w:r>
        <w:rPr>
          <w:rFonts w:hint="eastAsia" w:ascii="宋体" w:hAnsi="宋体"/>
          <w:color w:val="auto"/>
          <w:sz w:val="24"/>
          <w:highlight w:val="none"/>
        </w:rPr>
        <w:t>”</w:t>
      </w:r>
      <w:r>
        <w:rPr>
          <w:rFonts w:ascii="宋体" w:hAnsi="宋体"/>
          <w:color w:val="auto"/>
          <w:sz w:val="24"/>
          <w:highlight w:val="none"/>
        </w:rPr>
        <w:t>），应发包人的申请，我方愿就发包人履行主合同约定的工程款支付义务以保证的方式向你方提供如下担保：</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一、保证的范围及保证金额</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我方的保证范围是主合同约定的工程款。</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本保函所称主合同约定的工程款是指主合同约定的除工程质量保证金以外的合同价款。</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我方保证的金额是主合同约定的工程款的%，数额最高不超过人民币元（大写：）。</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二、保证的方式及保证期间</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我方保证的方式为：连带责任保证。</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我方保证的期间为：自本合同生效之日起至主合同约定的工程款支付完毕之日后日内。</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你方与发包人协议变更工程款支付日期的，经我方书面同意后，保证期间按照变更后的支付日期做相应调整。</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三、承担保证责任的形式</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我方承担保证责任的形式是代为支付。发包人未按主合同约定向你方支付工程款的，由我方在保证金额内代为支付。</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四、代偿的安排</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我方收到你方的书面索赔通知及相应的证明材料后７天内无条件支付。</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五、保证责任的解除</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在本保函承诺的保证期间内，你方未书面向我方主张保证责任的，自保证期间届满次日起，我方保证责任解除。</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发包人按主合同约定履行了工程款的全部支付义务的，自本保函承诺的保证期间届满次日起，我方保证责任解除。</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我方按照本保函向你方履行保证责任所支付金额达到本保函保证金额时，自我方向你方支付（支付款项从我方账户划出）之日起，保证责任即解除。</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4. </w:t>
      </w:r>
      <w:r>
        <w:rPr>
          <w:rFonts w:ascii="宋体" w:hAnsi="宋体"/>
          <w:color w:val="auto"/>
          <w:sz w:val="24"/>
          <w:highlight w:val="none"/>
        </w:rPr>
        <w:t>按照法律法规的规定或出现应解除我方保证责任的其他情形的，我方在本保函项下的保证责任亦解除。</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5. </w:t>
      </w:r>
      <w:r>
        <w:rPr>
          <w:rFonts w:ascii="宋体" w:hAnsi="宋体"/>
          <w:color w:val="auto"/>
          <w:sz w:val="24"/>
          <w:highlight w:val="none"/>
        </w:rPr>
        <w:t>我方解除保证责任后，你方应自我方保证责任解除之日起个工作日内，将本保函原件返还我方。</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六、免责条款</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1. </w:t>
      </w:r>
      <w:r>
        <w:rPr>
          <w:rFonts w:ascii="宋体" w:hAnsi="宋体"/>
          <w:color w:val="auto"/>
          <w:sz w:val="24"/>
          <w:highlight w:val="none"/>
        </w:rPr>
        <w:t>因你方违约致使发包人不能履行义务的，我方不承担保证责任。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2. </w:t>
      </w:r>
      <w:r>
        <w:rPr>
          <w:rFonts w:ascii="宋体" w:hAnsi="宋体"/>
          <w:color w:val="auto"/>
          <w:sz w:val="24"/>
          <w:highlight w:val="none"/>
        </w:rPr>
        <w:t>依照法律法规的规定或你方与发包人的另行约定，免除发包人部分或全部义务的，我方亦免除其相应的保证责任。</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3. </w:t>
      </w:r>
      <w:r>
        <w:rPr>
          <w:rFonts w:ascii="宋体" w:hAnsi="宋体"/>
          <w:color w:val="auto"/>
          <w:sz w:val="24"/>
          <w:highlight w:val="none"/>
        </w:rPr>
        <w:t>你方与发包人协议变更主合同的，如加重发包人责任致使我方保证责任加重的，需征得我方书面同意，否则我方不再承担因此而加重部分的保证责任，但主合同第10条</w:t>
      </w:r>
      <w:r>
        <w:rPr>
          <w:rFonts w:hint="eastAsia" w:ascii="宋体" w:hAnsi="宋体"/>
          <w:color w:val="auto"/>
          <w:sz w:val="24"/>
          <w:highlight w:val="none"/>
        </w:rPr>
        <w:t>〔</w:t>
      </w:r>
      <w:r>
        <w:rPr>
          <w:rFonts w:ascii="宋体" w:hAnsi="宋体"/>
          <w:color w:val="auto"/>
          <w:sz w:val="24"/>
          <w:highlight w:val="none"/>
        </w:rPr>
        <w:t>变更</w:t>
      </w:r>
      <w:r>
        <w:rPr>
          <w:rFonts w:hint="eastAsia" w:ascii="宋体" w:hAnsi="宋体"/>
          <w:color w:val="auto"/>
          <w:sz w:val="24"/>
          <w:highlight w:val="none"/>
        </w:rPr>
        <w:t>〕</w:t>
      </w:r>
      <w:r>
        <w:rPr>
          <w:rFonts w:ascii="宋体" w:hAnsi="宋体"/>
          <w:color w:val="auto"/>
          <w:sz w:val="24"/>
          <w:highlight w:val="none"/>
        </w:rPr>
        <w:t>约定的变更不受本款限制。</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 xml:space="preserve">4. </w:t>
      </w:r>
      <w:r>
        <w:rPr>
          <w:rFonts w:ascii="宋体" w:hAnsi="宋体"/>
          <w:color w:val="auto"/>
          <w:sz w:val="24"/>
          <w:highlight w:val="none"/>
        </w:rPr>
        <w:t>因不可抗力造成发包人不能履行义务的，我方不承担保证责任。</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七、争议解决</w:t>
      </w:r>
    </w:p>
    <w:p>
      <w:pPr>
        <w:spacing w:after="120" w:line="360" w:lineRule="auto"/>
        <w:ind w:firstLine="480" w:firstLineChars="200"/>
        <w:rPr>
          <w:rFonts w:ascii="宋体" w:hAnsi="宋体"/>
          <w:color w:val="auto"/>
          <w:sz w:val="24"/>
          <w:highlight w:val="none"/>
        </w:rPr>
      </w:pPr>
      <w:r>
        <w:rPr>
          <w:rFonts w:ascii="宋体" w:hAnsi="宋体"/>
          <w:color w:val="auto"/>
          <w:sz w:val="24"/>
          <w:highlight w:val="none"/>
        </w:rPr>
        <w:t>因本保函</w:t>
      </w:r>
      <w:r>
        <w:rPr>
          <w:rFonts w:hint="eastAsia" w:ascii="宋体" w:hAnsi="宋体"/>
          <w:color w:val="auto"/>
          <w:sz w:val="24"/>
          <w:highlight w:val="none"/>
        </w:rPr>
        <w:t>或本保函相关事项</w:t>
      </w:r>
      <w:r>
        <w:rPr>
          <w:rFonts w:ascii="宋体" w:hAnsi="宋体"/>
          <w:color w:val="auto"/>
          <w:sz w:val="24"/>
          <w:highlight w:val="none"/>
        </w:rPr>
        <w:t>发生的纠纷，可由双方协商解决，协商不成的，按下列第种方式</w:t>
      </w:r>
      <w:r>
        <w:rPr>
          <w:rFonts w:hint="eastAsia" w:ascii="宋体" w:hAnsi="宋体"/>
          <w:color w:val="auto"/>
          <w:sz w:val="24"/>
          <w:highlight w:val="none"/>
        </w:rPr>
        <w:t>解</w:t>
      </w:r>
      <w:r>
        <w:rPr>
          <w:rFonts w:ascii="宋体" w:hAnsi="宋体"/>
          <w:color w:val="auto"/>
          <w:sz w:val="24"/>
          <w:highlight w:val="none"/>
        </w:rPr>
        <w:t>决：</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（1）向仲裁委员会申请仲裁；</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（2）向人民法院起诉。</w:t>
      </w:r>
    </w:p>
    <w:p>
      <w:pPr>
        <w:spacing w:line="360" w:lineRule="auto"/>
        <w:ind w:firstLine="480" w:firstLineChars="200"/>
        <w:jc w:val="left"/>
        <w:outlineLvl w:val="0"/>
        <w:rPr>
          <w:rFonts w:ascii="宋体" w:hAnsi="宋体"/>
          <w:color w:val="auto"/>
          <w:sz w:val="24"/>
          <w:highlight w:val="none"/>
        </w:rPr>
      </w:pPr>
      <w:r>
        <w:rPr>
          <w:rFonts w:ascii="宋体" w:hAnsi="宋体"/>
          <w:color w:val="auto"/>
          <w:sz w:val="24"/>
          <w:highlight w:val="none"/>
        </w:rPr>
        <w:t>八、保函的生效</w:t>
      </w:r>
    </w:p>
    <w:p>
      <w:pPr>
        <w:spacing w:line="360" w:lineRule="auto"/>
        <w:ind w:firstLine="480" w:firstLineChars="200"/>
        <w:jc w:val="left"/>
        <w:rPr>
          <w:rFonts w:ascii="宋体" w:hAnsi="宋体"/>
          <w:color w:val="auto"/>
          <w:sz w:val="24"/>
          <w:highlight w:val="none"/>
        </w:rPr>
      </w:pPr>
      <w:r>
        <w:rPr>
          <w:rFonts w:ascii="宋体" w:hAnsi="宋体"/>
          <w:color w:val="auto"/>
          <w:sz w:val="24"/>
          <w:highlight w:val="none"/>
        </w:rPr>
        <w:t>本保函自我方法定代表人（或其授权代理人）签字并加盖公章之日起生效。</w:t>
      </w:r>
    </w:p>
    <w:p>
      <w:pPr>
        <w:spacing w:line="360" w:lineRule="auto"/>
        <w:ind w:firstLine="480" w:firstLineChars="200"/>
        <w:jc w:val="left"/>
        <w:rPr>
          <w:rFonts w:ascii="宋体" w:hAnsi="宋体"/>
          <w:color w:val="auto"/>
          <w:sz w:val="24"/>
          <w:highlight w:val="none"/>
        </w:rPr>
      </w:pPr>
    </w:p>
    <w:p>
      <w:pPr>
        <w:spacing w:line="360" w:lineRule="auto"/>
        <w:ind w:right="600"/>
        <w:jc w:val="left"/>
        <w:rPr>
          <w:rFonts w:ascii="宋体" w:hAnsi="宋体"/>
          <w:color w:val="auto"/>
          <w:sz w:val="24"/>
          <w:highlight w:val="none"/>
        </w:rPr>
      </w:pPr>
    </w:p>
    <w:p>
      <w:pPr>
        <w:spacing w:line="360" w:lineRule="auto"/>
        <w:ind w:right="600"/>
        <w:jc w:val="left"/>
        <w:rPr>
          <w:rFonts w:ascii="宋体" w:hAnsi="宋体"/>
          <w:color w:val="auto"/>
          <w:sz w:val="24"/>
          <w:highlight w:val="none"/>
        </w:rPr>
      </w:pPr>
      <w:r>
        <w:rPr>
          <w:rFonts w:ascii="宋体" w:hAnsi="宋体"/>
          <w:color w:val="auto"/>
          <w:sz w:val="24"/>
          <w:highlight w:val="none"/>
        </w:rPr>
        <w:t>担保人：（盖章）</w:t>
      </w:r>
    </w:p>
    <w:p>
      <w:pPr>
        <w:spacing w:line="360" w:lineRule="auto"/>
        <w:ind w:right="1200"/>
        <w:rPr>
          <w:rFonts w:ascii="宋体" w:hAnsi="宋体"/>
          <w:color w:val="auto"/>
          <w:sz w:val="24"/>
          <w:highlight w:val="none"/>
        </w:rPr>
      </w:pPr>
      <w:r>
        <w:rPr>
          <w:rFonts w:ascii="宋体" w:hAnsi="宋体"/>
          <w:color w:val="auto"/>
          <w:sz w:val="24"/>
          <w:highlight w:val="none"/>
        </w:rPr>
        <w:t>法定代表人或委托代理人：（签字）</w:t>
      </w:r>
    </w:p>
    <w:p>
      <w:pPr>
        <w:spacing w:line="360" w:lineRule="auto"/>
        <w:jc w:val="left"/>
        <w:rPr>
          <w:rFonts w:ascii="宋体" w:hAnsi="宋体"/>
          <w:color w:val="auto"/>
          <w:sz w:val="24"/>
          <w:highlight w:val="none"/>
        </w:rPr>
      </w:pPr>
      <w:r>
        <w:rPr>
          <w:rFonts w:ascii="宋体" w:hAnsi="宋体"/>
          <w:color w:val="auto"/>
          <w:sz w:val="24"/>
          <w:highlight w:val="none"/>
        </w:rPr>
        <w:t>地    址：</w:t>
      </w:r>
    </w:p>
    <w:p>
      <w:pPr>
        <w:spacing w:line="360" w:lineRule="auto"/>
        <w:jc w:val="left"/>
        <w:rPr>
          <w:rFonts w:ascii="宋体" w:hAnsi="宋体"/>
          <w:color w:val="auto"/>
          <w:sz w:val="24"/>
          <w:highlight w:val="none"/>
        </w:rPr>
      </w:pPr>
      <w:r>
        <w:rPr>
          <w:rFonts w:ascii="宋体" w:hAnsi="宋体"/>
          <w:color w:val="auto"/>
          <w:sz w:val="24"/>
          <w:highlight w:val="none"/>
        </w:rPr>
        <w:t>邮政编码：</w:t>
      </w:r>
    </w:p>
    <w:p>
      <w:pPr>
        <w:spacing w:line="360" w:lineRule="auto"/>
        <w:jc w:val="left"/>
        <w:rPr>
          <w:rFonts w:ascii="宋体" w:hAnsi="宋体"/>
          <w:color w:val="auto"/>
          <w:sz w:val="24"/>
          <w:highlight w:val="none"/>
        </w:rPr>
      </w:pPr>
      <w:r>
        <w:rPr>
          <w:rFonts w:ascii="宋体" w:hAnsi="宋体"/>
          <w:color w:val="auto"/>
          <w:sz w:val="24"/>
          <w:highlight w:val="none"/>
        </w:rPr>
        <w:t>传    真：</w:t>
      </w:r>
    </w:p>
    <w:p>
      <w:pPr>
        <w:spacing w:line="360" w:lineRule="auto"/>
        <w:ind w:right="150" w:firstLine="480" w:firstLineChars="200"/>
        <w:jc w:val="left"/>
        <w:rPr>
          <w:rFonts w:ascii="宋体" w:hAnsi="宋体"/>
          <w:color w:val="auto"/>
          <w:sz w:val="24"/>
          <w:highlight w:val="none"/>
          <w:u w:val="single"/>
        </w:rPr>
      </w:pPr>
    </w:p>
    <w:p>
      <w:pPr>
        <w:spacing w:line="360" w:lineRule="auto"/>
        <w:ind w:right="150" w:firstLine="480" w:firstLineChars="200"/>
        <w:jc w:val="left"/>
        <w:rPr>
          <w:rFonts w:ascii="宋体" w:hAnsi="宋体"/>
          <w:color w:val="auto"/>
          <w:sz w:val="24"/>
          <w:highlight w:val="none"/>
        </w:rPr>
      </w:pPr>
      <w:r>
        <w:rPr>
          <w:rFonts w:ascii="宋体" w:hAnsi="宋体"/>
          <w:color w:val="auto"/>
          <w:sz w:val="24"/>
          <w:highlight w:val="none"/>
        </w:rPr>
        <w:t>年月日</w:t>
      </w:r>
    </w:p>
    <w:p>
      <w:pPr>
        <w:spacing w:line="440" w:lineRule="exact"/>
        <w:rPr>
          <w:rFonts w:ascii="宋体" w:hAnsi="宋体"/>
          <w:color w:val="auto"/>
          <w:sz w:val="24"/>
          <w:highlight w:val="none"/>
        </w:rPr>
      </w:pPr>
      <w:r>
        <w:rPr>
          <w:rFonts w:ascii="宋体" w:hAnsi="宋体"/>
          <w:color w:val="auto"/>
          <w:sz w:val="24"/>
          <w:highlight w:val="none"/>
        </w:rPr>
        <w:br w:type="page"/>
      </w:r>
      <w:r>
        <w:rPr>
          <w:rFonts w:ascii="宋体" w:hAnsi="宋体"/>
          <w:color w:val="auto"/>
          <w:sz w:val="24"/>
          <w:highlight w:val="none"/>
        </w:rPr>
        <w:t>附件11：</w:t>
      </w:r>
    </w:p>
    <w:p>
      <w:pPr>
        <w:spacing w:beforeLines="50" w:afterLines="50" w:line="440" w:lineRule="exact"/>
        <w:jc w:val="center"/>
        <w:outlineLvl w:val="0"/>
        <w:rPr>
          <w:rFonts w:ascii="宋体" w:hAnsi="宋体"/>
          <w:color w:val="auto"/>
          <w:sz w:val="24"/>
          <w:highlight w:val="none"/>
        </w:rPr>
      </w:pPr>
      <w:r>
        <w:rPr>
          <w:rFonts w:ascii="宋体" w:hAnsi="宋体"/>
          <w:color w:val="auto"/>
          <w:sz w:val="24"/>
          <w:highlight w:val="none"/>
        </w:rPr>
        <w:t>11-1：材料暂估价表</w:t>
      </w:r>
    </w:p>
    <w:tbl>
      <w:tblPr>
        <w:tblStyle w:val="1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序号</w:t>
            </w:r>
          </w:p>
        </w:tc>
        <w:tc>
          <w:tcPr>
            <w:tcW w:w="1984"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名称</w:t>
            </w:r>
          </w:p>
        </w:tc>
        <w:tc>
          <w:tcPr>
            <w:tcW w:w="851"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单位</w:t>
            </w:r>
          </w:p>
        </w:tc>
        <w:tc>
          <w:tcPr>
            <w:tcW w:w="774"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数量</w:t>
            </w:r>
          </w:p>
        </w:tc>
        <w:tc>
          <w:tcPr>
            <w:tcW w:w="1352"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单价</w:t>
            </w:r>
            <w:r>
              <w:rPr>
                <w:rFonts w:hint="eastAsia" w:ascii="宋体" w:hAnsi="宋体" w:eastAsia="仿宋_GB2312"/>
                <w:color w:val="auto"/>
                <w:sz w:val="24"/>
                <w:highlight w:val="none"/>
              </w:rPr>
              <w:t>（元）</w:t>
            </w:r>
          </w:p>
        </w:tc>
        <w:tc>
          <w:tcPr>
            <w:tcW w:w="1418"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合价</w:t>
            </w:r>
            <w:r>
              <w:rPr>
                <w:rFonts w:hint="eastAsia" w:ascii="宋体" w:hAnsi="宋体" w:eastAsia="仿宋_GB2312"/>
                <w:color w:val="auto"/>
                <w:sz w:val="24"/>
                <w:highlight w:val="none"/>
              </w:rPr>
              <w:t>（元）</w:t>
            </w:r>
          </w:p>
        </w:tc>
        <w:tc>
          <w:tcPr>
            <w:tcW w:w="1701"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r>
              <w:rPr>
                <w:rFonts w:ascii="宋体" w:hAnsi="宋体" w:eastAsia="仿宋_GB2312"/>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Borders>
              <w:top w:val="nil"/>
            </w:tcBorders>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98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851"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774"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352"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418" w:type="dxa"/>
          </w:tcPr>
          <w:p>
            <w:pPr>
              <w:keepNext/>
              <w:autoSpaceDE w:val="0"/>
              <w:autoSpaceDN w:val="0"/>
              <w:adjustRightInd w:val="0"/>
              <w:spacing w:line="440" w:lineRule="exact"/>
              <w:ind w:left="63" w:right="63"/>
              <w:rPr>
                <w:rFonts w:ascii="宋体" w:hAnsi="宋体" w:eastAsia="仿宋_GB2312"/>
                <w:color w:val="auto"/>
                <w:sz w:val="24"/>
                <w:highlight w:val="none"/>
              </w:rPr>
            </w:pPr>
          </w:p>
        </w:tc>
        <w:tc>
          <w:tcPr>
            <w:tcW w:w="1701" w:type="dxa"/>
          </w:tcPr>
          <w:p>
            <w:pPr>
              <w:keepNext/>
              <w:autoSpaceDE w:val="0"/>
              <w:autoSpaceDN w:val="0"/>
              <w:adjustRightInd w:val="0"/>
              <w:spacing w:line="440" w:lineRule="exact"/>
              <w:ind w:left="63" w:right="63"/>
              <w:rPr>
                <w:rFonts w:ascii="宋体" w:hAnsi="宋体" w:eastAsia="仿宋_GB2312"/>
                <w:color w:val="auto"/>
                <w:sz w:val="24"/>
                <w:highlight w:val="none"/>
              </w:rPr>
            </w:pPr>
          </w:p>
        </w:tc>
      </w:tr>
    </w:tbl>
    <w:p>
      <w:pPr>
        <w:rPr>
          <w:color w:val="auto"/>
          <w:highlight w:val="none"/>
        </w:rPr>
      </w:pPr>
    </w:p>
    <w:p>
      <w:pPr>
        <w:spacing w:beforeLines="50" w:afterLines="50" w:line="440" w:lineRule="exact"/>
        <w:jc w:val="center"/>
        <w:rPr>
          <w:rFonts w:ascii="宋体" w:hAnsi="宋体"/>
          <w:color w:val="auto"/>
          <w:sz w:val="24"/>
          <w:highlight w:val="none"/>
        </w:rPr>
      </w:pPr>
      <w:r>
        <w:rPr>
          <w:color w:val="auto"/>
          <w:highlight w:val="none"/>
        </w:rPr>
        <w:br w:type="page"/>
      </w:r>
      <w:r>
        <w:rPr>
          <w:rFonts w:ascii="宋体" w:hAnsi="宋体"/>
          <w:color w:val="auto"/>
          <w:sz w:val="24"/>
          <w:highlight w:val="none"/>
        </w:rPr>
        <w:t>11-2：工程设备暂估价表</w:t>
      </w:r>
    </w:p>
    <w:tbl>
      <w:tblPr>
        <w:tblStyle w:val="13"/>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序号</w:t>
            </w:r>
          </w:p>
        </w:tc>
        <w:tc>
          <w:tcPr>
            <w:tcW w:w="1984"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名称</w:t>
            </w:r>
          </w:p>
        </w:tc>
        <w:tc>
          <w:tcPr>
            <w:tcW w:w="851"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单位</w:t>
            </w:r>
          </w:p>
        </w:tc>
        <w:tc>
          <w:tcPr>
            <w:tcW w:w="774"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数量</w:t>
            </w:r>
          </w:p>
        </w:tc>
        <w:tc>
          <w:tcPr>
            <w:tcW w:w="1352"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单价</w:t>
            </w:r>
            <w:r>
              <w:rPr>
                <w:rFonts w:hint="eastAsia" w:ascii="宋体" w:hAnsi="宋体" w:eastAsia="仿宋_GB2312"/>
                <w:sz w:val="24"/>
              </w:rPr>
              <w:t>（元）</w:t>
            </w:r>
          </w:p>
        </w:tc>
        <w:tc>
          <w:tcPr>
            <w:tcW w:w="1418"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合价</w:t>
            </w:r>
            <w:r>
              <w:rPr>
                <w:rFonts w:hint="eastAsia" w:ascii="宋体" w:hAnsi="宋体" w:eastAsia="仿宋_GB2312"/>
                <w:sz w:val="24"/>
              </w:rPr>
              <w:t>（元）</w:t>
            </w:r>
          </w:p>
        </w:tc>
        <w:tc>
          <w:tcPr>
            <w:tcW w:w="1701"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984"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851"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774"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352"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418"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701"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984"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851"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774"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352"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418"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701" w:type="dxa"/>
            <w:tcBorders>
              <w:top w:val="nil"/>
            </w:tcBorders>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851" w:type="dxa"/>
          </w:tcPr>
          <w:p>
            <w:pPr>
              <w:keepNext/>
              <w:autoSpaceDE w:val="0"/>
              <w:autoSpaceDN w:val="0"/>
              <w:adjustRightInd w:val="0"/>
              <w:spacing w:line="440" w:lineRule="exact"/>
              <w:ind w:left="63" w:right="63"/>
              <w:rPr>
                <w:rFonts w:ascii="宋体" w:hAnsi="宋体" w:eastAsia="仿宋_GB2312"/>
                <w:sz w:val="24"/>
              </w:rPr>
            </w:pPr>
          </w:p>
        </w:tc>
        <w:tc>
          <w:tcPr>
            <w:tcW w:w="774" w:type="dxa"/>
          </w:tcPr>
          <w:p>
            <w:pPr>
              <w:keepNext/>
              <w:autoSpaceDE w:val="0"/>
              <w:autoSpaceDN w:val="0"/>
              <w:adjustRightInd w:val="0"/>
              <w:spacing w:line="440" w:lineRule="exact"/>
              <w:ind w:left="63" w:right="63"/>
              <w:rPr>
                <w:rFonts w:ascii="宋体" w:hAnsi="宋体" w:eastAsia="仿宋_GB2312"/>
                <w:sz w:val="24"/>
              </w:rPr>
            </w:pPr>
          </w:p>
        </w:tc>
        <w:tc>
          <w:tcPr>
            <w:tcW w:w="1352" w:type="dxa"/>
          </w:tcPr>
          <w:p>
            <w:pPr>
              <w:keepNext/>
              <w:autoSpaceDE w:val="0"/>
              <w:autoSpaceDN w:val="0"/>
              <w:adjustRightInd w:val="0"/>
              <w:spacing w:line="440" w:lineRule="exact"/>
              <w:ind w:left="63" w:right="63"/>
              <w:rPr>
                <w:rFonts w:ascii="宋体" w:hAnsi="宋体" w:eastAsia="仿宋_GB2312"/>
                <w:sz w:val="24"/>
              </w:rPr>
            </w:pPr>
          </w:p>
        </w:tc>
        <w:tc>
          <w:tcPr>
            <w:tcW w:w="1418" w:type="dxa"/>
          </w:tcPr>
          <w:p>
            <w:pPr>
              <w:keepNext/>
              <w:autoSpaceDE w:val="0"/>
              <w:autoSpaceDN w:val="0"/>
              <w:adjustRightInd w:val="0"/>
              <w:spacing w:line="440" w:lineRule="exact"/>
              <w:ind w:left="63" w:right="63"/>
              <w:rPr>
                <w:rFonts w:ascii="宋体" w:hAnsi="宋体" w:eastAsia="仿宋_GB2312"/>
                <w:sz w:val="24"/>
              </w:rPr>
            </w:pPr>
          </w:p>
        </w:tc>
        <w:tc>
          <w:tcPr>
            <w:tcW w:w="1701" w:type="dxa"/>
          </w:tcPr>
          <w:p>
            <w:pPr>
              <w:keepNext/>
              <w:autoSpaceDE w:val="0"/>
              <w:autoSpaceDN w:val="0"/>
              <w:adjustRightInd w:val="0"/>
              <w:spacing w:line="440" w:lineRule="exact"/>
              <w:ind w:left="63" w:right="63"/>
              <w:rPr>
                <w:rFonts w:ascii="宋体" w:hAnsi="宋体" w:eastAsia="仿宋_GB2312"/>
                <w:sz w:val="24"/>
              </w:rPr>
            </w:pPr>
          </w:p>
        </w:tc>
      </w:tr>
    </w:tbl>
    <w:p>
      <w:pPr>
        <w:spacing w:line="440" w:lineRule="exact"/>
        <w:rPr>
          <w:rFonts w:ascii="宋体" w:hAnsi="宋体"/>
          <w:sz w:val="24"/>
        </w:rPr>
      </w:pPr>
    </w:p>
    <w:p>
      <w:pPr>
        <w:spacing w:beforeLines="50" w:afterLines="50" w:line="440" w:lineRule="exact"/>
        <w:jc w:val="center"/>
        <w:rPr>
          <w:rFonts w:ascii="宋体" w:hAnsi="宋体"/>
          <w:sz w:val="24"/>
        </w:rPr>
      </w:pPr>
      <w:r>
        <w:rPr>
          <w:rFonts w:ascii="宋体" w:hAnsi="宋体"/>
          <w:sz w:val="24"/>
        </w:rPr>
        <w:br w:type="page"/>
      </w:r>
      <w:r>
        <w:rPr>
          <w:rFonts w:ascii="宋体" w:hAnsi="宋体"/>
          <w:sz w:val="24"/>
        </w:rPr>
        <w:t>11-3：专业工程暂估价表</w:t>
      </w:r>
    </w:p>
    <w:tbl>
      <w:tblPr>
        <w:tblStyle w:val="13"/>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序号</w:t>
            </w:r>
          </w:p>
        </w:tc>
        <w:tc>
          <w:tcPr>
            <w:tcW w:w="1984"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专业工程名称</w:t>
            </w:r>
          </w:p>
        </w:tc>
        <w:tc>
          <w:tcPr>
            <w:tcW w:w="4678"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工程内容</w:t>
            </w:r>
          </w:p>
        </w:tc>
        <w:tc>
          <w:tcPr>
            <w:tcW w:w="1276" w:type="dxa"/>
            <w:tcBorders>
              <w:top w:val="single" w:color="auto" w:sz="12" w:space="0"/>
              <w:bottom w:val="double" w:color="auto" w:sz="6" w:space="0"/>
            </w:tcBorders>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984"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4678"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c>
          <w:tcPr>
            <w:tcW w:w="1276" w:type="dxa"/>
            <w:tcBorders>
              <w:top w:val="double" w:color="auto" w:sz="6" w:space="0"/>
              <w:bottom w:val="single" w:color="auto" w:sz="6" w:space="0"/>
            </w:tcBorders>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984"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4678"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276" w:type="dxa"/>
            <w:tcBorders>
              <w:top w:val="nil"/>
            </w:tcBorders>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984"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4678" w:type="dxa"/>
            <w:tcBorders>
              <w:top w:val="nil"/>
            </w:tcBorders>
          </w:tcPr>
          <w:p>
            <w:pPr>
              <w:keepNext/>
              <w:autoSpaceDE w:val="0"/>
              <w:autoSpaceDN w:val="0"/>
              <w:adjustRightInd w:val="0"/>
              <w:spacing w:line="440" w:lineRule="exact"/>
              <w:ind w:left="63" w:right="63"/>
              <w:rPr>
                <w:rFonts w:ascii="宋体" w:hAnsi="宋体" w:eastAsia="仿宋_GB2312"/>
                <w:sz w:val="24"/>
              </w:rPr>
            </w:pPr>
          </w:p>
        </w:tc>
        <w:tc>
          <w:tcPr>
            <w:tcW w:w="1276" w:type="dxa"/>
            <w:tcBorders>
              <w:top w:val="nil"/>
            </w:tcBorders>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keepNext/>
              <w:autoSpaceDE w:val="0"/>
              <w:autoSpaceDN w:val="0"/>
              <w:adjustRightInd w:val="0"/>
              <w:spacing w:line="440" w:lineRule="exact"/>
              <w:ind w:left="63" w:right="63"/>
              <w:rPr>
                <w:rFonts w:ascii="宋体" w:hAnsi="宋体" w:eastAsia="仿宋_GB2312"/>
                <w:sz w:val="24"/>
              </w:rPr>
            </w:pPr>
          </w:p>
        </w:tc>
        <w:tc>
          <w:tcPr>
            <w:tcW w:w="1984" w:type="dxa"/>
          </w:tcPr>
          <w:p>
            <w:pPr>
              <w:keepNext/>
              <w:autoSpaceDE w:val="0"/>
              <w:autoSpaceDN w:val="0"/>
              <w:adjustRightInd w:val="0"/>
              <w:spacing w:line="440" w:lineRule="exact"/>
              <w:ind w:left="63" w:right="63"/>
              <w:rPr>
                <w:rFonts w:ascii="宋体" w:hAnsi="宋体" w:eastAsia="仿宋_GB2312"/>
                <w:sz w:val="24"/>
              </w:rPr>
            </w:pPr>
          </w:p>
        </w:tc>
        <w:tc>
          <w:tcPr>
            <w:tcW w:w="4678" w:type="dxa"/>
          </w:tcPr>
          <w:p>
            <w:pPr>
              <w:keepNext/>
              <w:autoSpaceDE w:val="0"/>
              <w:autoSpaceDN w:val="0"/>
              <w:adjustRightInd w:val="0"/>
              <w:spacing w:line="440" w:lineRule="exact"/>
              <w:ind w:left="63" w:right="63"/>
              <w:rPr>
                <w:rFonts w:ascii="宋体" w:hAnsi="宋体" w:eastAsia="仿宋_GB2312"/>
                <w:sz w:val="24"/>
              </w:rPr>
            </w:pPr>
          </w:p>
        </w:tc>
        <w:tc>
          <w:tcPr>
            <w:tcW w:w="1276" w:type="dxa"/>
          </w:tcPr>
          <w:p>
            <w:pPr>
              <w:keepNext/>
              <w:autoSpaceDE w:val="0"/>
              <w:autoSpaceDN w:val="0"/>
              <w:adjustRightInd w:val="0"/>
              <w:spacing w:line="440" w:lineRule="exact"/>
              <w:ind w:left="63" w:right="63"/>
              <w:rPr>
                <w:rFonts w:ascii="宋体"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keepNext/>
              <w:autoSpaceDE w:val="0"/>
              <w:autoSpaceDN w:val="0"/>
              <w:adjustRightInd w:val="0"/>
              <w:spacing w:line="440" w:lineRule="exact"/>
              <w:ind w:left="63" w:right="63"/>
              <w:rPr>
                <w:rFonts w:ascii="宋体" w:hAnsi="宋体" w:eastAsia="仿宋_GB2312"/>
                <w:sz w:val="24"/>
              </w:rPr>
            </w:pPr>
            <w:r>
              <w:rPr>
                <w:rFonts w:ascii="宋体" w:hAnsi="宋体" w:eastAsia="仿宋_GB2312"/>
                <w:sz w:val="24"/>
              </w:rPr>
              <w:t>小计：</w:t>
            </w:r>
          </w:p>
        </w:tc>
      </w:tr>
    </w:tbl>
    <w:p>
      <w:pPr>
        <w:sectPr>
          <w:footerReference r:id="rId6" w:type="default"/>
          <w:pgSz w:w="11906" w:h="16838"/>
          <w:pgMar w:top="1418" w:right="1555" w:bottom="1418" w:left="1531" w:header="851" w:footer="992" w:gutter="0"/>
          <w:pgNumType w:fmt="decimal"/>
          <w:cols w:space="720" w:num="1"/>
          <w:titlePg/>
          <w:docGrid w:type="lines" w:linePitch="312" w:charSpace="0"/>
        </w:sectPr>
      </w:pPr>
    </w:p>
    <w:p>
      <w:pPr>
        <w:jc w:val="both"/>
        <w:rPr>
          <w:rFonts w:ascii="宋体" w:hAnsi="宋体" w:cs="宋体"/>
          <w:bCs/>
          <w:sz w:val="44"/>
          <w:szCs w:val="44"/>
        </w:rPr>
      </w:pPr>
      <w:r>
        <w:rPr>
          <w:rFonts w:hint="eastAsia" w:ascii="宋体" w:hAnsi="宋体" w:cs="宋体"/>
          <w:bCs/>
          <w:sz w:val="44"/>
          <w:szCs w:val="44"/>
        </w:rPr>
        <w:t>第五部分. 附件（响应文件格式）</w:t>
      </w:r>
    </w:p>
    <w:p>
      <w:pPr>
        <w:rPr>
          <w:rFonts w:ascii="宋体" w:hAnsi="宋体" w:cs="宋体"/>
          <w:b/>
          <w:bCs/>
          <w:sz w:val="24"/>
        </w:rPr>
      </w:pPr>
    </w:p>
    <w:p>
      <w:pPr>
        <w:spacing w:line="360" w:lineRule="auto"/>
        <w:jc w:val="center"/>
        <w:rPr>
          <w:rFonts w:ascii="宋体" w:hAnsi="宋体" w:cs="宋体"/>
          <w:b/>
          <w:sz w:val="48"/>
          <w:szCs w:val="20"/>
        </w:rPr>
      </w:pPr>
      <w:r>
        <w:rPr>
          <w:rFonts w:hint="eastAsia" w:ascii="宋体" w:hAnsi="宋体" w:cs="宋体"/>
          <w:b/>
          <w:color w:val="FFFFFF" w:themeColor="background1"/>
          <w:sz w:val="48"/>
          <w:szCs w:val="20"/>
          <w:u w:val="single"/>
          <w:lang w:val="en-US" w:eastAsia="zh-CN"/>
          <w14:textFill>
            <w14:solidFill>
              <w14:schemeClr w14:val="bg1"/>
            </w14:solidFill>
          </w14:textFill>
        </w:rPr>
        <w:t>1</w:t>
      </w:r>
      <w:r>
        <w:rPr>
          <w:rFonts w:hint="eastAsia" w:ascii="宋体" w:hAnsi="宋体" w:cs="宋体"/>
          <w:b/>
          <w:sz w:val="48"/>
          <w:szCs w:val="20"/>
          <w:u w:val="single"/>
          <w:lang w:val="en-US" w:eastAsia="zh-CN"/>
        </w:rPr>
        <w:t xml:space="preserve">                   </w:t>
      </w:r>
      <w:r>
        <w:rPr>
          <w:rFonts w:hint="eastAsia" w:ascii="宋体" w:hAnsi="宋体" w:cs="宋体"/>
          <w:b/>
          <w:sz w:val="48"/>
          <w:szCs w:val="20"/>
        </w:rPr>
        <w:t>项目竞争性磋商</w:t>
      </w:r>
    </w:p>
    <w:p>
      <w:pPr>
        <w:spacing w:line="360" w:lineRule="auto"/>
        <w:jc w:val="center"/>
        <w:rPr>
          <w:rFonts w:ascii="宋体" w:hAnsi="宋体" w:cs="宋体"/>
          <w:b/>
          <w:sz w:val="72"/>
          <w:szCs w:val="20"/>
        </w:rPr>
      </w:pPr>
      <w:r>
        <w:rPr>
          <w:rFonts w:hint="eastAsia" w:ascii="宋体" w:hAnsi="宋体" w:cs="宋体"/>
          <w:b/>
          <w:sz w:val="72"/>
          <w:szCs w:val="20"/>
        </w:rPr>
        <w:t>响应文件</w:t>
      </w:r>
    </w:p>
    <w:p>
      <w:pPr>
        <w:spacing w:line="360" w:lineRule="auto"/>
        <w:jc w:val="center"/>
        <w:rPr>
          <w:rFonts w:ascii="宋体" w:hAnsi="宋体" w:cs="宋体"/>
          <w:b/>
          <w:sz w:val="48"/>
          <w:szCs w:val="20"/>
        </w:rPr>
      </w:pPr>
    </w:p>
    <w:p>
      <w:pPr>
        <w:spacing w:line="360" w:lineRule="auto"/>
        <w:jc w:val="center"/>
        <w:rPr>
          <w:rFonts w:ascii="宋体" w:hAnsi="宋体" w:cs="宋体"/>
          <w:b/>
          <w:sz w:val="48"/>
          <w:szCs w:val="20"/>
        </w:rPr>
      </w:pPr>
    </w:p>
    <w:p>
      <w:pPr>
        <w:spacing w:line="360" w:lineRule="auto"/>
        <w:jc w:val="center"/>
        <w:rPr>
          <w:rFonts w:ascii="宋体" w:hAnsi="宋体" w:cs="宋体"/>
          <w:b/>
          <w:sz w:val="48"/>
          <w:szCs w:val="20"/>
        </w:rPr>
      </w:pPr>
    </w:p>
    <w:p>
      <w:pPr>
        <w:spacing w:line="360" w:lineRule="auto"/>
        <w:jc w:val="center"/>
        <w:rPr>
          <w:rFonts w:ascii="宋体" w:hAnsi="宋体" w:cs="宋体"/>
          <w:b/>
          <w:sz w:val="48"/>
          <w:szCs w:val="20"/>
        </w:rPr>
      </w:pPr>
    </w:p>
    <w:p>
      <w:pPr>
        <w:spacing w:line="360" w:lineRule="auto"/>
        <w:jc w:val="center"/>
        <w:rPr>
          <w:rFonts w:ascii="宋体" w:hAnsi="宋体" w:cs="宋体"/>
          <w:b/>
          <w:sz w:val="48"/>
          <w:szCs w:val="20"/>
        </w:rPr>
      </w:pPr>
    </w:p>
    <w:p>
      <w:pPr>
        <w:snapToGrid w:val="0"/>
        <w:spacing w:line="360" w:lineRule="auto"/>
        <w:rPr>
          <w:rFonts w:hint="eastAsia" w:ascii="宋体" w:hAnsi="宋体" w:cs="宋体"/>
          <w:b/>
          <w:sz w:val="28"/>
          <w:szCs w:val="20"/>
        </w:rPr>
      </w:pPr>
    </w:p>
    <w:p>
      <w:pPr>
        <w:snapToGrid w:val="0"/>
        <w:spacing w:line="360" w:lineRule="auto"/>
        <w:rPr>
          <w:rFonts w:hint="eastAsia" w:ascii="宋体" w:hAnsi="宋体" w:cs="宋体"/>
          <w:b/>
          <w:sz w:val="28"/>
          <w:szCs w:val="20"/>
        </w:rPr>
      </w:pPr>
    </w:p>
    <w:p>
      <w:pPr>
        <w:snapToGrid w:val="0"/>
        <w:spacing w:line="360" w:lineRule="auto"/>
        <w:rPr>
          <w:rFonts w:ascii="宋体" w:hAnsi="宋体" w:cs="宋体"/>
          <w:b/>
          <w:sz w:val="28"/>
          <w:szCs w:val="20"/>
          <w:u w:val="single"/>
        </w:rPr>
      </w:pPr>
      <w:r>
        <w:rPr>
          <w:rFonts w:hint="eastAsia" w:ascii="宋体" w:hAnsi="宋体" w:cs="宋体"/>
          <w:b/>
          <w:sz w:val="28"/>
          <w:szCs w:val="20"/>
        </w:rPr>
        <w:t>采购编号：</w:t>
      </w:r>
      <w:r>
        <w:rPr>
          <w:rFonts w:hint="eastAsia" w:ascii="宋体" w:hAnsi="宋体" w:cs="宋体"/>
          <w:b/>
          <w:sz w:val="30"/>
          <w:szCs w:val="20"/>
          <w:u w:val="single"/>
        </w:rPr>
        <w:tab/>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ab/>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ab/>
      </w:r>
    </w:p>
    <w:p>
      <w:pPr>
        <w:snapToGrid w:val="0"/>
        <w:spacing w:line="360" w:lineRule="auto"/>
        <w:rPr>
          <w:rFonts w:hint="eastAsia" w:ascii="宋体" w:hAnsi="宋体" w:cs="宋体"/>
          <w:b/>
          <w:sz w:val="28"/>
          <w:szCs w:val="20"/>
        </w:rPr>
      </w:pPr>
    </w:p>
    <w:p>
      <w:pPr>
        <w:snapToGrid w:val="0"/>
        <w:spacing w:line="360" w:lineRule="auto"/>
        <w:rPr>
          <w:rFonts w:ascii="宋体" w:hAnsi="宋体" w:cs="宋体"/>
          <w:b/>
          <w:sz w:val="30"/>
          <w:szCs w:val="20"/>
          <w:u w:val="single"/>
        </w:rPr>
      </w:pPr>
      <w:r>
        <w:rPr>
          <w:rFonts w:hint="eastAsia" w:ascii="宋体" w:hAnsi="宋体" w:cs="宋体"/>
          <w:b/>
          <w:sz w:val="28"/>
          <w:szCs w:val="20"/>
        </w:rPr>
        <w:t>项目</w:t>
      </w:r>
      <w:r>
        <w:rPr>
          <w:rFonts w:hint="eastAsia" w:ascii="宋体" w:hAnsi="宋体" w:cs="宋体"/>
          <w:b/>
          <w:sz w:val="30"/>
          <w:szCs w:val="20"/>
        </w:rPr>
        <w:t>名称：</w:t>
      </w:r>
      <w:r>
        <w:rPr>
          <w:rFonts w:hint="eastAsia" w:ascii="宋体" w:hAnsi="宋体" w:cs="宋体"/>
          <w:b/>
          <w:sz w:val="30"/>
          <w:szCs w:val="20"/>
          <w:u w:val="single"/>
        </w:rPr>
        <w:tab/>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ab/>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ab/>
      </w:r>
    </w:p>
    <w:p>
      <w:pPr>
        <w:snapToGrid w:val="0"/>
        <w:spacing w:line="360" w:lineRule="auto"/>
        <w:rPr>
          <w:rFonts w:ascii="宋体" w:hAnsi="宋体" w:cs="宋体"/>
          <w:b/>
          <w:bCs/>
          <w:sz w:val="30"/>
          <w:szCs w:val="30"/>
          <w:u w:val="single"/>
        </w:rPr>
      </w:pPr>
    </w:p>
    <w:p>
      <w:pPr>
        <w:snapToGrid w:val="0"/>
        <w:spacing w:line="360" w:lineRule="auto"/>
        <w:ind w:firstLine="602" w:firstLineChars="200"/>
        <w:rPr>
          <w:rFonts w:ascii="宋体" w:hAnsi="宋体" w:cs="宋体"/>
          <w:b/>
          <w:sz w:val="30"/>
          <w:szCs w:val="30"/>
        </w:rPr>
      </w:pPr>
      <w:r>
        <w:rPr>
          <w:rFonts w:hint="eastAsia" w:ascii="宋体" w:hAnsi="宋体" w:cs="宋体"/>
          <w:b/>
          <w:bCs/>
          <w:sz w:val="30"/>
          <w:szCs w:val="30"/>
        </w:rPr>
        <w:t>年</w:t>
      </w:r>
      <w:r>
        <w:rPr>
          <w:rFonts w:hint="eastAsia" w:ascii="宋体" w:hAnsi="宋体" w:cs="宋体"/>
          <w:b/>
          <w:bCs/>
          <w:sz w:val="30"/>
          <w:szCs w:val="30"/>
          <w:lang w:val="en-US" w:eastAsia="zh-CN"/>
        </w:rPr>
        <w:t xml:space="preserve">  </w:t>
      </w:r>
      <w:r>
        <w:rPr>
          <w:rFonts w:hint="eastAsia" w:ascii="宋体" w:hAnsi="宋体" w:cs="宋体"/>
          <w:b/>
          <w:bCs/>
          <w:sz w:val="30"/>
          <w:szCs w:val="30"/>
        </w:rPr>
        <w:t>月</w:t>
      </w:r>
      <w:r>
        <w:rPr>
          <w:rFonts w:hint="eastAsia" w:ascii="宋体" w:hAnsi="宋体" w:cs="宋体"/>
          <w:b/>
          <w:bCs/>
          <w:sz w:val="30"/>
          <w:szCs w:val="30"/>
          <w:lang w:val="en-US" w:eastAsia="zh-CN"/>
        </w:rPr>
        <w:t xml:space="preserve">  </w:t>
      </w:r>
      <w:r>
        <w:rPr>
          <w:rFonts w:hint="eastAsia" w:ascii="宋体" w:hAnsi="宋体" w:cs="宋体"/>
          <w:b/>
          <w:bCs/>
          <w:sz w:val="30"/>
          <w:szCs w:val="30"/>
        </w:rPr>
        <w:t>日</w:t>
      </w:r>
      <w:r>
        <w:rPr>
          <w:rFonts w:hint="eastAsia" w:ascii="宋体" w:hAnsi="宋体" w:cs="宋体"/>
          <w:b/>
          <w:bCs/>
          <w:sz w:val="30"/>
          <w:szCs w:val="30"/>
          <w:lang w:val="en-US" w:eastAsia="zh-CN"/>
        </w:rPr>
        <w:t xml:space="preserve">  </w:t>
      </w:r>
      <w:r>
        <w:rPr>
          <w:rFonts w:hint="eastAsia" w:ascii="宋体" w:hAnsi="宋体" w:cs="宋体"/>
          <w:b/>
          <w:bCs/>
          <w:sz w:val="30"/>
          <w:szCs w:val="30"/>
        </w:rPr>
        <w:t>时</w:t>
      </w:r>
      <w:r>
        <w:rPr>
          <w:rFonts w:hint="eastAsia" w:ascii="宋体" w:hAnsi="宋体" w:cs="宋体"/>
          <w:b/>
          <w:bCs/>
          <w:sz w:val="30"/>
          <w:szCs w:val="30"/>
          <w:lang w:val="en-US" w:eastAsia="zh-CN"/>
        </w:rPr>
        <w:t xml:space="preserve">  </w:t>
      </w:r>
      <w:r>
        <w:rPr>
          <w:rFonts w:hint="eastAsia" w:ascii="宋体" w:hAnsi="宋体" w:cs="宋体"/>
          <w:b/>
          <w:bCs/>
          <w:sz w:val="30"/>
          <w:szCs w:val="30"/>
        </w:rPr>
        <w:t>分</w:t>
      </w:r>
      <w:r>
        <w:rPr>
          <w:rFonts w:hint="eastAsia" w:ascii="宋体" w:hAnsi="宋体" w:cs="宋体"/>
          <w:sz w:val="30"/>
          <w:szCs w:val="30"/>
        </w:rPr>
        <w:t>开标，此时间以前不得开封；</w:t>
      </w:r>
    </w:p>
    <w:p>
      <w:pPr>
        <w:snapToGrid w:val="0"/>
        <w:spacing w:line="360" w:lineRule="auto"/>
        <w:rPr>
          <w:rFonts w:ascii="宋体" w:hAnsi="宋体" w:cs="宋体"/>
          <w:b/>
          <w:sz w:val="30"/>
          <w:szCs w:val="20"/>
        </w:rPr>
      </w:pPr>
    </w:p>
    <w:p>
      <w:pPr>
        <w:snapToGrid w:val="0"/>
        <w:spacing w:line="360" w:lineRule="auto"/>
        <w:rPr>
          <w:rFonts w:ascii="宋体" w:hAnsi="宋体" w:cs="宋体"/>
          <w:b/>
          <w:sz w:val="30"/>
          <w:szCs w:val="20"/>
          <w:u w:val="single"/>
        </w:rPr>
      </w:pPr>
      <w:r>
        <w:rPr>
          <w:rFonts w:hint="eastAsia" w:ascii="宋体" w:hAnsi="宋体" w:cs="宋体"/>
          <w:b/>
          <w:sz w:val="30"/>
          <w:szCs w:val="20"/>
        </w:rPr>
        <w:t>供应商：</w:t>
      </w:r>
      <w:r>
        <w:rPr>
          <w:rFonts w:hint="eastAsia" w:ascii="宋体" w:hAnsi="宋体" w:cs="宋体"/>
          <w:b/>
          <w:sz w:val="30"/>
          <w:szCs w:val="20"/>
          <w:u w:val="single"/>
        </w:rPr>
        <w:tab/>
      </w:r>
      <w:r>
        <w:rPr>
          <w:rFonts w:hint="eastAsia" w:ascii="宋体" w:hAnsi="宋体" w:cs="宋体"/>
          <w:b/>
          <w:sz w:val="30"/>
          <w:szCs w:val="20"/>
          <w:u w:val="single"/>
        </w:rPr>
        <w:t xml:space="preserve">              </w:t>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 xml:space="preserve">     （盖公章）</w:t>
      </w:r>
    </w:p>
    <w:p>
      <w:pPr>
        <w:snapToGrid w:val="0"/>
        <w:spacing w:line="360" w:lineRule="auto"/>
        <w:rPr>
          <w:rFonts w:hint="eastAsia" w:ascii="宋体" w:hAnsi="宋体" w:cs="宋体"/>
          <w:b/>
          <w:sz w:val="30"/>
          <w:szCs w:val="20"/>
        </w:rPr>
      </w:pPr>
    </w:p>
    <w:p>
      <w:pPr>
        <w:snapToGrid w:val="0"/>
        <w:spacing w:line="360" w:lineRule="auto"/>
        <w:rPr>
          <w:rFonts w:ascii="宋体" w:hAnsi="宋体" w:cs="宋体"/>
          <w:b/>
          <w:sz w:val="30"/>
          <w:szCs w:val="20"/>
        </w:rPr>
      </w:pPr>
      <w:r>
        <w:rPr>
          <w:rFonts w:hint="eastAsia" w:ascii="宋体" w:hAnsi="宋体" w:cs="宋体"/>
          <w:b/>
          <w:sz w:val="30"/>
          <w:szCs w:val="20"/>
        </w:rPr>
        <w:t>法定代表人或</w:t>
      </w:r>
    </w:p>
    <w:p>
      <w:pPr>
        <w:snapToGrid w:val="0"/>
        <w:spacing w:line="360" w:lineRule="auto"/>
        <w:rPr>
          <w:rFonts w:ascii="宋体" w:hAnsi="宋体" w:cs="宋体"/>
          <w:b/>
          <w:sz w:val="30"/>
          <w:szCs w:val="20"/>
          <w:u w:val="single"/>
        </w:rPr>
      </w:pPr>
      <w:r>
        <w:rPr>
          <w:rFonts w:hint="eastAsia" w:ascii="宋体" w:hAnsi="宋体" w:cs="宋体"/>
          <w:b/>
          <w:sz w:val="30"/>
          <w:szCs w:val="20"/>
        </w:rPr>
        <w:t>其委托代理人：</w:t>
      </w:r>
      <w:r>
        <w:rPr>
          <w:rFonts w:hint="eastAsia" w:ascii="宋体" w:hAnsi="宋体" w:cs="宋体"/>
          <w:b/>
          <w:sz w:val="30"/>
          <w:szCs w:val="20"/>
          <w:u w:val="single"/>
        </w:rPr>
        <w:tab/>
      </w:r>
      <w:r>
        <w:rPr>
          <w:rFonts w:hint="eastAsia" w:ascii="宋体" w:hAnsi="宋体" w:cs="宋体"/>
          <w:b/>
          <w:sz w:val="30"/>
          <w:szCs w:val="20"/>
          <w:u w:val="single"/>
        </w:rPr>
        <w:t xml:space="preserve">        </w:t>
      </w:r>
      <w:r>
        <w:rPr>
          <w:rFonts w:hint="eastAsia" w:ascii="宋体" w:hAnsi="宋体" w:cs="宋体"/>
          <w:b/>
          <w:sz w:val="30"/>
          <w:szCs w:val="20"/>
          <w:u w:val="single"/>
          <w:lang w:val="en-US" w:eastAsia="zh-CN"/>
        </w:rPr>
        <w:t xml:space="preserve">       </w:t>
      </w:r>
      <w:r>
        <w:rPr>
          <w:rFonts w:hint="eastAsia" w:ascii="宋体" w:hAnsi="宋体" w:cs="宋体"/>
          <w:b/>
          <w:sz w:val="30"/>
          <w:szCs w:val="20"/>
          <w:u w:val="single"/>
        </w:rPr>
        <w:t xml:space="preserve">  （签字或盖章）</w:t>
      </w:r>
    </w:p>
    <w:p>
      <w:pPr>
        <w:snapToGrid w:val="0"/>
        <w:spacing w:line="360" w:lineRule="auto"/>
        <w:rPr>
          <w:rFonts w:ascii="宋体" w:hAnsi="宋体" w:cs="宋体"/>
          <w:b/>
          <w:sz w:val="30"/>
          <w:szCs w:val="20"/>
        </w:rPr>
      </w:pPr>
    </w:p>
    <w:p>
      <w:pPr>
        <w:snapToGrid w:val="0"/>
        <w:spacing w:line="360" w:lineRule="auto"/>
        <w:rPr>
          <w:rFonts w:ascii="宋体" w:hAnsi="宋体" w:cs="宋体"/>
          <w:bCs/>
          <w:sz w:val="24"/>
        </w:rPr>
      </w:pPr>
      <w:r>
        <w:rPr>
          <w:rFonts w:hint="eastAsia" w:ascii="宋体" w:hAnsi="宋体" w:cs="宋体"/>
          <w:b/>
          <w:sz w:val="30"/>
          <w:szCs w:val="20"/>
        </w:rPr>
        <w:t xml:space="preserve">日  期： </w:t>
      </w:r>
      <w:r>
        <w:rPr>
          <w:rFonts w:hint="eastAsia" w:ascii="宋体" w:hAnsi="宋体" w:cs="宋体"/>
          <w:b/>
          <w:sz w:val="30"/>
          <w:szCs w:val="20"/>
          <w:lang w:val="en-US" w:eastAsia="zh-CN"/>
        </w:rPr>
        <w:t xml:space="preserve">      </w:t>
      </w:r>
      <w:r>
        <w:rPr>
          <w:rFonts w:hint="eastAsia" w:ascii="宋体" w:hAnsi="宋体" w:cs="宋体"/>
          <w:b/>
          <w:sz w:val="30"/>
          <w:szCs w:val="20"/>
        </w:rPr>
        <w:t xml:space="preserve">年 </w:t>
      </w:r>
      <w:r>
        <w:rPr>
          <w:rFonts w:hint="eastAsia" w:ascii="宋体" w:hAnsi="宋体" w:cs="宋体"/>
          <w:b/>
          <w:sz w:val="30"/>
          <w:szCs w:val="20"/>
          <w:lang w:val="en-US" w:eastAsia="zh-CN"/>
        </w:rPr>
        <w:t xml:space="preserve">      </w:t>
      </w:r>
      <w:r>
        <w:rPr>
          <w:rFonts w:hint="eastAsia" w:ascii="宋体" w:hAnsi="宋体" w:cs="宋体"/>
          <w:b/>
          <w:sz w:val="30"/>
          <w:szCs w:val="20"/>
        </w:rPr>
        <w:t>月</w:t>
      </w:r>
      <w:r>
        <w:rPr>
          <w:rFonts w:hint="eastAsia" w:ascii="宋体" w:hAnsi="宋体" w:cs="宋体"/>
          <w:b/>
          <w:sz w:val="30"/>
          <w:szCs w:val="20"/>
          <w:lang w:val="en-US" w:eastAsia="zh-CN"/>
        </w:rPr>
        <w:t xml:space="preserve">      </w:t>
      </w:r>
      <w:r>
        <w:rPr>
          <w:rFonts w:hint="eastAsia" w:ascii="宋体" w:hAnsi="宋体" w:cs="宋体"/>
          <w:b/>
          <w:sz w:val="30"/>
          <w:szCs w:val="20"/>
        </w:rPr>
        <w:t>日</w:t>
      </w:r>
    </w:p>
    <w:p>
      <w:pPr>
        <w:spacing w:line="360" w:lineRule="auto"/>
        <w:jc w:val="center"/>
        <w:outlineLvl w:val="0"/>
        <w:rPr>
          <w:rFonts w:ascii="黑体" w:eastAsia="黑体"/>
          <w:b/>
          <w:sz w:val="30"/>
          <w:szCs w:val="30"/>
        </w:rPr>
      </w:pPr>
      <w:r>
        <w:rPr>
          <w:rFonts w:hint="eastAsia" w:ascii="黑体" w:eastAsia="黑体"/>
          <w:b/>
          <w:sz w:val="30"/>
          <w:szCs w:val="30"/>
        </w:rPr>
        <w:t>（一）响应函（格式）</w:t>
      </w:r>
    </w:p>
    <w:p>
      <w:pPr>
        <w:widowControl/>
        <w:topLinePunct/>
        <w:spacing w:before="4" w:line="360" w:lineRule="auto"/>
        <w:rPr>
          <w:rFonts w:ascii="宋体" w:hAnsi="宋体"/>
          <w:sz w:val="24"/>
        </w:rPr>
      </w:pPr>
      <w:r>
        <w:rPr>
          <w:rFonts w:hint="eastAsia" w:ascii="宋体" w:hAnsi="宋体"/>
          <w:sz w:val="24"/>
        </w:rPr>
        <w:t>致：</w:t>
      </w:r>
      <w:r>
        <w:rPr>
          <w:rFonts w:hint="eastAsia" w:ascii="宋体" w:hAnsi="宋体"/>
          <w:sz w:val="24"/>
          <w:lang w:val="en-US" w:eastAsia="zh-CN"/>
        </w:rPr>
        <w:t>普信国际工程咨询有限</w:t>
      </w:r>
      <w:r>
        <w:rPr>
          <w:rFonts w:hint="eastAsia" w:ascii="宋体" w:hAnsi="宋体"/>
          <w:sz w:val="24"/>
        </w:rPr>
        <w:t>公司</w:t>
      </w:r>
    </w:p>
    <w:p>
      <w:pPr>
        <w:spacing w:line="360" w:lineRule="auto"/>
        <w:ind w:firstLine="480" w:firstLineChars="200"/>
        <w:rPr>
          <w:rFonts w:ascii="宋体" w:hAnsi="宋体"/>
          <w:b/>
          <w:sz w:val="24"/>
        </w:rPr>
      </w:pPr>
      <w:r>
        <w:rPr>
          <w:rFonts w:hint="eastAsia" w:ascii="宋体" w:hAnsi="宋体"/>
          <w:sz w:val="24"/>
        </w:rPr>
        <w:t>一、根据已收到的采购编号为</w:t>
      </w:r>
      <w:r>
        <w:rPr>
          <w:rFonts w:hint="default" w:ascii="宋体" w:hAnsi="宋体"/>
          <w:sz w:val="24"/>
          <w:u w:val="single"/>
          <w:lang w:val="en-US"/>
        </w:rPr>
        <w:t xml:space="preserve">              </w:t>
      </w:r>
      <w:r>
        <w:rPr>
          <w:rFonts w:hint="eastAsia" w:ascii="宋体" w:hAnsi="宋体"/>
          <w:sz w:val="24"/>
        </w:rPr>
        <w:t>的</w:t>
      </w:r>
      <w:r>
        <w:rPr>
          <w:rFonts w:hint="eastAsia" w:ascii="宋体" w:hAnsi="宋体"/>
          <w:b/>
          <w:sz w:val="24"/>
          <w:u w:val="single"/>
        </w:rPr>
        <w:t xml:space="preserve">    （采购项目名称 ）   </w:t>
      </w:r>
      <w:r>
        <w:rPr>
          <w:rFonts w:hint="eastAsia" w:ascii="宋体" w:hAnsi="宋体"/>
          <w:sz w:val="24"/>
        </w:rPr>
        <w:t>的竞争性磋商文件，遵照国家法律、法规和规章的有关规定，我方经过踏勘现场和对</w:t>
      </w:r>
      <w:r>
        <w:rPr>
          <w:rFonts w:hint="eastAsia" w:ascii="宋体" w:hAnsi="宋体"/>
          <w:sz w:val="24"/>
          <w:lang w:val="en-US" w:eastAsia="zh-CN"/>
        </w:rPr>
        <w:t>磋商</w:t>
      </w:r>
      <w:r>
        <w:rPr>
          <w:rFonts w:hint="eastAsia" w:ascii="宋体" w:hAnsi="宋体"/>
          <w:sz w:val="24"/>
        </w:rPr>
        <w:t>文件等所有文件的研究后，我方愿以</w:t>
      </w:r>
      <w:r>
        <w:rPr>
          <w:rFonts w:hint="eastAsia" w:ascii="宋体" w:hAnsi="宋体"/>
          <w:sz w:val="24"/>
          <w:u w:val="single"/>
        </w:rPr>
        <w:t xml:space="preserve">大写金额：        ，小写金额：￥       </w:t>
      </w:r>
      <w:r>
        <w:rPr>
          <w:rFonts w:hint="eastAsia" w:ascii="宋体" w:hAnsi="宋体"/>
          <w:sz w:val="24"/>
        </w:rPr>
        <w:t>的价格，按</w:t>
      </w:r>
      <w:r>
        <w:rPr>
          <w:rFonts w:hint="eastAsia" w:ascii="宋体" w:hAnsi="宋体"/>
          <w:sz w:val="24"/>
          <w:lang w:val="en-US" w:eastAsia="zh-CN"/>
        </w:rPr>
        <w:t>磋商</w:t>
      </w:r>
      <w:r>
        <w:rPr>
          <w:rFonts w:hint="eastAsia" w:ascii="宋体" w:hAnsi="宋体"/>
          <w:sz w:val="24"/>
        </w:rPr>
        <w:t>文件中的要求、技术规范的条件完成本采购项目的工作。</w:t>
      </w:r>
    </w:p>
    <w:p>
      <w:pPr>
        <w:widowControl/>
        <w:topLinePunct/>
        <w:spacing w:before="4" w:line="360" w:lineRule="auto"/>
        <w:ind w:firstLine="480" w:firstLineChars="200"/>
        <w:rPr>
          <w:rFonts w:ascii="宋体" w:hAnsi="宋体"/>
          <w:color w:val="000000"/>
          <w:sz w:val="24"/>
        </w:rPr>
      </w:pPr>
      <w:r>
        <w:rPr>
          <w:rFonts w:hint="eastAsia" w:ascii="宋体" w:hAnsi="宋体"/>
          <w:color w:val="000000"/>
          <w:sz w:val="24"/>
        </w:rPr>
        <w:t>二、我方愿意提供</w:t>
      </w:r>
      <w:r>
        <w:rPr>
          <w:rFonts w:hint="eastAsia" w:ascii="宋体" w:hAnsi="宋体"/>
          <w:sz w:val="24"/>
          <w:lang w:val="en-US" w:eastAsia="zh-CN"/>
        </w:rPr>
        <w:t>普信国际工程咨询有限</w:t>
      </w:r>
      <w:r>
        <w:rPr>
          <w:rFonts w:hint="eastAsia" w:ascii="宋体" w:hAnsi="宋体"/>
          <w:sz w:val="24"/>
        </w:rPr>
        <w:t>公司</w:t>
      </w:r>
      <w:r>
        <w:rPr>
          <w:rFonts w:hint="eastAsia" w:ascii="宋体" w:hAnsi="宋体"/>
          <w:color w:val="000000"/>
          <w:sz w:val="24"/>
        </w:rPr>
        <w:t>在磋商文件中要求的文件、资料。</w:t>
      </w:r>
    </w:p>
    <w:p>
      <w:pPr>
        <w:tabs>
          <w:tab w:val="left" w:pos="525"/>
          <w:tab w:val="left" w:pos="945"/>
        </w:tabs>
        <w:spacing w:line="360" w:lineRule="auto"/>
        <w:ind w:firstLine="480" w:firstLineChars="200"/>
        <w:rPr>
          <w:rFonts w:ascii="宋体" w:hAnsi="宋体"/>
          <w:bCs/>
          <w:color w:val="000000"/>
          <w:sz w:val="24"/>
        </w:rPr>
      </w:pPr>
      <w:r>
        <w:rPr>
          <w:rFonts w:hint="eastAsia" w:ascii="宋体" w:hAnsi="宋体"/>
          <w:color w:val="000000"/>
          <w:sz w:val="24"/>
        </w:rPr>
        <w:t>三、我方同意按磋商文件中的规定，本响应文件报价的有效期限为磋商之日起90天。</w:t>
      </w:r>
    </w:p>
    <w:p>
      <w:pPr>
        <w:spacing w:line="360" w:lineRule="auto"/>
        <w:ind w:firstLine="480" w:firstLineChars="200"/>
        <w:rPr>
          <w:rFonts w:ascii="宋体" w:hAnsi="宋体"/>
          <w:color w:val="000000"/>
          <w:sz w:val="24"/>
        </w:rPr>
      </w:pPr>
      <w:r>
        <w:rPr>
          <w:rFonts w:hint="eastAsia" w:ascii="宋体" w:hAnsi="宋体"/>
          <w:color w:val="000000"/>
          <w:sz w:val="24"/>
        </w:rPr>
        <w:t>四、如果我方的响应文件被接受，我方将履行磋商文件中规定的每一项要求，按期、按质、按量，完成交货任务。</w:t>
      </w:r>
    </w:p>
    <w:p>
      <w:pPr>
        <w:spacing w:line="360" w:lineRule="auto"/>
        <w:ind w:firstLine="480" w:firstLineChars="200"/>
        <w:rPr>
          <w:rFonts w:ascii="宋体" w:hAnsi="宋体"/>
          <w:color w:val="000000"/>
          <w:sz w:val="24"/>
        </w:rPr>
      </w:pPr>
      <w:r>
        <w:rPr>
          <w:rFonts w:hint="eastAsia" w:ascii="宋体" w:hAnsi="宋体"/>
          <w:color w:val="000000"/>
          <w:sz w:val="24"/>
        </w:rPr>
        <w:t>五、我方认为你们有权决定成交供应商。</w:t>
      </w:r>
    </w:p>
    <w:p>
      <w:pPr>
        <w:spacing w:line="360" w:lineRule="auto"/>
        <w:ind w:firstLine="480" w:firstLineChars="200"/>
        <w:rPr>
          <w:rFonts w:ascii="宋体" w:hAnsi="宋体"/>
          <w:color w:val="000000"/>
          <w:sz w:val="24"/>
        </w:rPr>
      </w:pPr>
      <w:r>
        <w:rPr>
          <w:rFonts w:hint="eastAsia" w:ascii="宋体" w:hAnsi="宋体"/>
          <w:color w:val="000000"/>
          <w:sz w:val="24"/>
        </w:rPr>
        <w:t>六、我方愿意遵守《中华人民共和国政府采购法》，并按《中华人民共和国民法典》和合同条款履行自己的全部责任。在合同履行过程中，双方如有争议，由双方协调解决。如协商不能解决，双方可向无锡仲裁委员会按其仲裁规则申请仲裁。</w:t>
      </w:r>
    </w:p>
    <w:p>
      <w:pPr>
        <w:spacing w:line="360" w:lineRule="auto"/>
        <w:ind w:firstLine="480" w:firstLineChars="200"/>
        <w:rPr>
          <w:rFonts w:ascii="宋体" w:hAnsi="宋体"/>
          <w:color w:val="000000"/>
          <w:sz w:val="24"/>
        </w:rPr>
      </w:pPr>
      <w:r>
        <w:rPr>
          <w:rFonts w:hint="eastAsia" w:ascii="宋体" w:hAnsi="宋体"/>
          <w:color w:val="000000"/>
          <w:sz w:val="24"/>
        </w:rPr>
        <w:t>七、我方认可并保证遵守磋商文件的所有规定，放弃对磋商文件提出质疑的权利。</w:t>
      </w:r>
    </w:p>
    <w:p>
      <w:pPr>
        <w:spacing w:line="360" w:lineRule="auto"/>
        <w:ind w:firstLine="480" w:firstLineChars="200"/>
        <w:rPr>
          <w:rFonts w:ascii="宋体" w:hAnsi="宋体"/>
          <w:color w:val="000000"/>
          <w:sz w:val="24"/>
        </w:rPr>
      </w:pPr>
      <w:r>
        <w:rPr>
          <w:rFonts w:hint="eastAsia" w:ascii="宋体" w:hAnsi="宋体"/>
          <w:color w:val="000000"/>
          <w:sz w:val="24"/>
        </w:rPr>
        <w:t>八、如果我方被确定为成交供应商，我方愿意在见证合同时缴纳成交合同总金额</w:t>
      </w:r>
      <w:r>
        <w:rPr>
          <w:rFonts w:ascii="宋体" w:hAnsi="宋体"/>
          <w:color w:val="000000"/>
          <w:sz w:val="24"/>
        </w:rPr>
        <w:t>10</w:t>
      </w:r>
      <w:r>
        <w:rPr>
          <w:rFonts w:hint="eastAsia" w:ascii="宋体" w:hAnsi="宋体"/>
          <w:color w:val="000000"/>
          <w:sz w:val="24"/>
        </w:rPr>
        <w:t>%的履约保证金。且我方如无不可抗力，又未履行磋商文件、响应文件合同条款的，一经查实，我方愿意赔偿由此而造成的一切损失，并同意接受按磋商文件的相关要求对我方进行的处理。</w:t>
      </w:r>
    </w:p>
    <w:p>
      <w:pPr>
        <w:widowControl/>
        <w:topLinePunct/>
        <w:spacing w:before="4" w:line="360" w:lineRule="auto"/>
        <w:rPr>
          <w:rFonts w:ascii="宋体" w:hAnsi="宋体"/>
          <w:color w:val="000000"/>
          <w:sz w:val="24"/>
        </w:rPr>
      </w:pPr>
      <w:r>
        <w:rPr>
          <w:rFonts w:hint="eastAsia" w:ascii="宋体" w:hAnsi="宋体"/>
          <w:color w:val="000000"/>
          <w:sz w:val="24"/>
        </w:rPr>
        <w:t>供应商：（盖章）</w:t>
      </w:r>
    </w:p>
    <w:p>
      <w:pPr>
        <w:widowControl/>
        <w:topLinePunct/>
        <w:spacing w:before="4" w:line="360" w:lineRule="auto"/>
        <w:rPr>
          <w:rFonts w:ascii="宋体" w:hAnsi="宋体"/>
          <w:color w:val="000000"/>
          <w:sz w:val="24"/>
        </w:rPr>
      </w:pPr>
      <w:r>
        <w:rPr>
          <w:rFonts w:hint="eastAsia" w:ascii="宋体" w:hAnsi="宋体"/>
          <w:color w:val="000000"/>
          <w:sz w:val="24"/>
        </w:rPr>
        <w:t>法定代表人或委托代理人：（签字或盖章）</w:t>
      </w:r>
    </w:p>
    <w:p>
      <w:pPr>
        <w:widowControl/>
        <w:topLinePunct/>
        <w:spacing w:before="4" w:line="360" w:lineRule="auto"/>
        <w:rPr>
          <w:rFonts w:ascii="宋体" w:hAnsi="宋体"/>
          <w:color w:val="000000"/>
          <w:sz w:val="24"/>
        </w:rPr>
      </w:pPr>
      <w:r>
        <w:rPr>
          <w:rFonts w:hint="eastAsia" w:ascii="宋体" w:hAnsi="宋体"/>
          <w:color w:val="000000"/>
          <w:sz w:val="24"/>
        </w:rPr>
        <w:t>电话：                   传真：               地址：                   邮编：</w:t>
      </w:r>
    </w:p>
    <w:p>
      <w:pPr>
        <w:widowControl/>
        <w:topLinePunct/>
        <w:spacing w:before="4" w:line="360" w:lineRule="auto"/>
        <w:rPr>
          <w:rFonts w:ascii="宋体" w:hAnsi="宋体"/>
          <w:color w:val="000000"/>
          <w:sz w:val="24"/>
        </w:rPr>
      </w:pPr>
      <w:r>
        <w:rPr>
          <w:rFonts w:hint="eastAsia" w:ascii="宋体" w:hAnsi="宋体"/>
          <w:color w:val="000000"/>
          <w:sz w:val="24"/>
        </w:rPr>
        <w:t>开户名称：               开户银行：                 开户账号：</w:t>
      </w:r>
    </w:p>
    <w:p>
      <w:pPr>
        <w:widowControl/>
        <w:jc w:val="left"/>
        <w:rPr>
          <w:rFonts w:ascii="黑体" w:eastAsia="黑体"/>
          <w:b/>
          <w:sz w:val="30"/>
          <w:szCs w:val="30"/>
        </w:rPr>
      </w:pPr>
      <w:r>
        <w:rPr>
          <w:rFonts w:ascii="黑体" w:eastAsia="黑体"/>
          <w:b/>
          <w:sz w:val="30"/>
          <w:szCs w:val="30"/>
        </w:rPr>
        <w:br w:type="page"/>
      </w:r>
    </w:p>
    <w:p>
      <w:pPr>
        <w:spacing w:line="360" w:lineRule="auto"/>
        <w:jc w:val="center"/>
        <w:outlineLvl w:val="0"/>
        <w:rPr>
          <w:rFonts w:ascii="黑体" w:eastAsia="黑体"/>
          <w:b/>
          <w:sz w:val="30"/>
          <w:szCs w:val="30"/>
        </w:rPr>
      </w:pPr>
      <w:r>
        <w:rPr>
          <w:rFonts w:hint="eastAsia" w:ascii="黑体" w:eastAsia="黑体"/>
          <w:b/>
          <w:sz w:val="30"/>
          <w:szCs w:val="30"/>
        </w:rPr>
        <w:t>（二）关于资格的声明函（格式）</w:t>
      </w:r>
    </w:p>
    <w:p>
      <w:pPr>
        <w:jc w:val="center"/>
        <w:rPr>
          <w:rFonts w:ascii="黑体" w:eastAsia="黑体"/>
          <w:bCs/>
          <w:sz w:val="32"/>
        </w:rPr>
      </w:pPr>
    </w:p>
    <w:p>
      <w:pPr>
        <w:spacing w:line="480" w:lineRule="auto"/>
        <w:jc w:val="center"/>
        <w:rPr>
          <w:rFonts w:ascii="宋体" w:hAnsi="宋体"/>
          <w:bCs/>
          <w:sz w:val="24"/>
        </w:rPr>
      </w:pPr>
      <w:r>
        <w:rPr>
          <w:rFonts w:hint="eastAsia" w:ascii="宋体" w:hAnsi="宋体"/>
          <w:bCs/>
          <w:sz w:val="24"/>
          <w:lang w:val="en-US" w:eastAsia="zh-CN"/>
        </w:rPr>
        <w:t xml:space="preserve">        </w:t>
      </w:r>
      <w:r>
        <w:rPr>
          <w:rFonts w:hint="eastAsia" w:ascii="宋体" w:hAnsi="宋体"/>
          <w:bCs/>
          <w:sz w:val="24"/>
        </w:rPr>
        <w:t>采购编号：</w:t>
      </w:r>
    </w:p>
    <w:p>
      <w:pPr>
        <w:tabs>
          <w:tab w:val="left" w:pos="6300"/>
        </w:tabs>
        <w:spacing w:line="480" w:lineRule="auto"/>
        <w:jc w:val="center"/>
        <w:rPr>
          <w:rFonts w:ascii="宋体" w:hAnsi="宋体"/>
          <w:bCs/>
          <w:sz w:val="24"/>
        </w:rPr>
      </w:pPr>
      <w:r>
        <w:rPr>
          <w:rFonts w:hint="eastAsia" w:ascii="宋体" w:hAnsi="宋体"/>
          <w:bCs/>
          <w:sz w:val="24"/>
        </w:rPr>
        <w:t xml:space="preserve">            日期：</w:t>
      </w:r>
    </w:p>
    <w:p>
      <w:pPr>
        <w:spacing w:line="480" w:lineRule="auto"/>
        <w:rPr>
          <w:rFonts w:ascii="宋体" w:hAnsi="宋体"/>
          <w:bCs/>
          <w:sz w:val="24"/>
        </w:rPr>
      </w:pPr>
      <w:r>
        <w:rPr>
          <w:rFonts w:hint="eastAsia" w:ascii="宋体" w:hAnsi="宋体"/>
          <w:bCs/>
          <w:sz w:val="24"/>
          <w:lang w:val="en-US" w:eastAsia="zh-CN"/>
        </w:rPr>
        <w:t>普信国际工程咨询有限</w:t>
      </w:r>
      <w:r>
        <w:rPr>
          <w:rFonts w:hint="eastAsia" w:ascii="宋体" w:hAnsi="宋体"/>
          <w:bCs/>
          <w:sz w:val="24"/>
        </w:rPr>
        <w:t>公司：</w:t>
      </w:r>
    </w:p>
    <w:p>
      <w:pPr>
        <w:spacing w:line="480" w:lineRule="auto"/>
        <w:rPr>
          <w:rFonts w:ascii="宋体" w:hAnsi="宋体"/>
          <w:bCs/>
          <w:sz w:val="24"/>
        </w:rPr>
      </w:pPr>
      <w:r>
        <w:rPr>
          <w:rFonts w:hint="eastAsia" w:ascii="宋体" w:hAnsi="宋体"/>
          <w:bCs/>
          <w:sz w:val="24"/>
        </w:rPr>
        <w:t xml:space="preserve">    我公司（单位）参加政府采购活动前三年内，在经营活动中没有重大违法记录。</w:t>
      </w:r>
    </w:p>
    <w:p>
      <w:pPr>
        <w:spacing w:line="480" w:lineRule="auto"/>
        <w:rPr>
          <w:rFonts w:ascii="宋体" w:hAnsi="宋体"/>
          <w:bCs/>
          <w:sz w:val="24"/>
        </w:rPr>
      </w:pPr>
      <w:r>
        <w:rPr>
          <w:rFonts w:hint="eastAsia" w:ascii="宋体" w:hAnsi="宋体"/>
          <w:bCs/>
          <w:sz w:val="24"/>
        </w:rPr>
        <w:t xml:space="preserve">    我公司（单位）愿针对本次项目（</w:t>
      </w:r>
      <w:r>
        <w:rPr>
          <w:rFonts w:hint="eastAsia" w:ascii="宋体" w:hAnsi="宋体"/>
          <w:b/>
          <w:bCs/>
          <w:sz w:val="24"/>
        </w:rPr>
        <w:t>采购编号：</w:t>
      </w:r>
      <w:r>
        <w:rPr>
          <w:rFonts w:hint="eastAsia" w:ascii="宋体" w:hAnsi="宋体"/>
          <w:b/>
          <w:bCs/>
          <w:color w:val="0000FF"/>
          <w:sz w:val="24"/>
          <w:lang w:val="en-US" w:eastAsia="zh-CN"/>
        </w:rPr>
        <w:t xml:space="preserve">        </w:t>
      </w:r>
      <w:r>
        <w:rPr>
          <w:rFonts w:hint="eastAsia" w:ascii="黑体" w:eastAsia="黑体"/>
          <w:bCs/>
          <w:sz w:val="24"/>
        </w:rPr>
        <w:t>）</w:t>
      </w:r>
      <w:r>
        <w:rPr>
          <w:rFonts w:hint="eastAsia" w:ascii="宋体" w:hAnsi="宋体"/>
          <w:bCs/>
          <w:sz w:val="24"/>
        </w:rPr>
        <w:t>进行投标，响应文件中所有关于投标资格的文件、证明、陈述均是真实的、准确的。若有违背，我公司（单位）愿意承担由此而产生的一切后果。</w:t>
      </w:r>
    </w:p>
    <w:p>
      <w:pPr>
        <w:spacing w:line="480" w:lineRule="auto"/>
        <w:rPr>
          <w:rFonts w:ascii="宋体" w:hAnsi="宋体"/>
          <w:bCs/>
          <w:sz w:val="24"/>
        </w:rPr>
      </w:pPr>
    </w:p>
    <w:p>
      <w:pPr>
        <w:spacing w:line="480" w:lineRule="auto"/>
        <w:rPr>
          <w:rFonts w:ascii="宋体" w:hAnsi="宋体"/>
          <w:bCs/>
          <w:sz w:val="24"/>
        </w:rPr>
      </w:pPr>
      <w:r>
        <w:rPr>
          <w:rFonts w:hint="eastAsia" w:ascii="宋体" w:hAnsi="宋体"/>
          <w:bCs/>
          <w:sz w:val="24"/>
        </w:rPr>
        <w:t xml:space="preserve">                                     供应商（盖章）：</w:t>
      </w:r>
    </w:p>
    <w:p>
      <w:pPr>
        <w:spacing w:line="480" w:lineRule="auto"/>
        <w:rPr>
          <w:rFonts w:ascii="宋体" w:hAnsi="宋体"/>
          <w:bCs/>
          <w:sz w:val="24"/>
        </w:rPr>
      </w:pPr>
      <w:r>
        <w:rPr>
          <w:rFonts w:hint="eastAsia" w:ascii="宋体" w:hAnsi="宋体"/>
          <w:bCs/>
          <w:sz w:val="24"/>
        </w:rPr>
        <w:t xml:space="preserve">                               法定代表人（签字或盖章）：</w:t>
      </w:r>
    </w:p>
    <w:p>
      <w:pPr>
        <w:spacing w:line="480" w:lineRule="auto"/>
        <w:ind w:firstLine="4680" w:firstLineChars="1950"/>
        <w:rPr>
          <w:rFonts w:ascii="宋体" w:hAnsi="宋体"/>
          <w:bCs/>
          <w:sz w:val="24"/>
        </w:rPr>
      </w:pPr>
      <w:r>
        <w:rPr>
          <w:rFonts w:hint="eastAsia" w:ascii="宋体" w:hAnsi="宋体"/>
          <w:bCs/>
          <w:sz w:val="24"/>
        </w:rPr>
        <w:t>年     月     日</w:t>
      </w:r>
    </w:p>
    <w:p/>
    <w:p/>
    <w:p/>
    <w:p/>
    <w:p>
      <w:pPr>
        <w:spacing w:line="480" w:lineRule="auto"/>
        <w:rPr>
          <w:rFonts w:ascii="宋体" w:hAnsi="宋体"/>
          <w:bCs/>
          <w:color w:val="000000"/>
          <w:sz w:val="24"/>
        </w:rPr>
      </w:pPr>
    </w:p>
    <w:p>
      <w:pPr>
        <w:spacing w:line="480" w:lineRule="auto"/>
        <w:rPr>
          <w:rFonts w:ascii="宋体" w:hAnsi="宋体"/>
          <w:bCs/>
          <w:color w:val="000000"/>
          <w:sz w:val="24"/>
        </w:rPr>
      </w:pPr>
      <w:bookmarkStart w:id="620" w:name="_Hlk66968348"/>
      <w:r>
        <w:rPr>
          <w:rFonts w:hint="eastAsia" w:ascii="宋体" w:hAnsi="宋体"/>
          <w:bCs/>
          <w:color w:val="000000"/>
          <w:sz w:val="24"/>
        </w:rPr>
        <w:t>备注：上述所称“重大违法记录”,是指供应商因违法经营受到刑事处罚或者责令停产停业、吊销许可证或者执照、较大数额罚款等行政处罚。</w:t>
      </w:r>
    </w:p>
    <w:bookmarkEnd w:id="620"/>
    <w:p>
      <w:pPr>
        <w:widowControl/>
        <w:jc w:val="left"/>
        <w:rPr>
          <w:rFonts w:ascii="黑体" w:eastAsia="黑体"/>
          <w:bCs/>
          <w:color w:val="000000"/>
          <w:sz w:val="28"/>
          <w:szCs w:val="28"/>
        </w:rPr>
      </w:pPr>
      <w:bookmarkStart w:id="621" w:name="_Hlk66201189"/>
      <w:r>
        <w:rPr>
          <w:rFonts w:ascii="黑体" w:eastAsia="黑体"/>
          <w:bCs/>
          <w:color w:val="000000"/>
          <w:sz w:val="28"/>
          <w:szCs w:val="28"/>
        </w:rPr>
        <w:br w:type="page"/>
      </w:r>
    </w:p>
    <w:p>
      <w:pPr>
        <w:spacing w:line="360" w:lineRule="auto"/>
        <w:jc w:val="center"/>
        <w:outlineLvl w:val="0"/>
        <w:rPr>
          <w:rFonts w:ascii="黑体" w:eastAsia="黑体"/>
          <w:b/>
          <w:sz w:val="30"/>
          <w:szCs w:val="30"/>
        </w:rPr>
      </w:pPr>
      <w:r>
        <w:rPr>
          <w:rFonts w:hint="eastAsia" w:ascii="黑体" w:eastAsia="黑体"/>
          <w:b/>
          <w:sz w:val="30"/>
          <w:szCs w:val="30"/>
        </w:rPr>
        <w:t>（三）中小企业声明函（工程）</w:t>
      </w:r>
    </w:p>
    <w:p>
      <w:pPr>
        <w:spacing w:line="580" w:lineRule="exact"/>
        <w:ind w:firstLine="480" w:firstLineChars="200"/>
        <w:rPr>
          <w:rFonts w:ascii="宋体" w:hAnsi="宋体"/>
          <w:bCs/>
          <w:color w:val="000000"/>
          <w:sz w:val="24"/>
        </w:rPr>
      </w:pPr>
      <w:r>
        <w:rPr>
          <w:rFonts w:hint="eastAsia" w:ascii="宋体" w:hAnsi="宋体"/>
          <w:bCs/>
          <w:color w:val="000000"/>
          <w:sz w:val="24"/>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color w:val="000000"/>
          <w:sz w:val="24"/>
          <w:szCs w:val="20"/>
        </w:rPr>
      </w:pPr>
      <w:r>
        <w:rPr>
          <w:rFonts w:hint="eastAsia" w:ascii="宋体" w:hAnsi="宋体"/>
          <w:bCs/>
          <w:color w:val="000000"/>
          <w:sz w:val="24"/>
        </w:rPr>
        <w:t>1、</w:t>
      </w:r>
      <w:r>
        <w:rPr>
          <w:rFonts w:hint="eastAsia" w:ascii="宋体" w:hAnsi="宋体"/>
          <w:bCs/>
          <w:i/>
          <w:iCs/>
          <w:color w:val="000000"/>
          <w:sz w:val="24"/>
          <w:szCs w:val="20"/>
          <w:u w:val="single"/>
        </w:rPr>
        <w:t>（标的名称）</w:t>
      </w:r>
      <w:r>
        <w:rPr>
          <w:rFonts w:hint="eastAsia" w:ascii="宋体" w:hAnsi="宋体"/>
          <w:bCs/>
          <w:color w:val="000000"/>
          <w:sz w:val="24"/>
          <w:szCs w:val="20"/>
        </w:rPr>
        <w:t>，属于 行业；承建（承接）企业为</w:t>
      </w:r>
      <w:r>
        <w:rPr>
          <w:rFonts w:hint="eastAsia" w:ascii="宋体" w:hAnsi="宋体"/>
          <w:bCs/>
          <w:i/>
          <w:iCs/>
          <w:color w:val="000000"/>
          <w:sz w:val="24"/>
          <w:szCs w:val="20"/>
          <w:u w:val="single"/>
        </w:rPr>
        <w:t>（企业名称）</w:t>
      </w:r>
      <w:r>
        <w:rPr>
          <w:rFonts w:hint="eastAsia" w:ascii="宋体" w:hAnsi="宋体"/>
          <w:bCs/>
          <w:color w:val="000000"/>
          <w:sz w:val="24"/>
          <w:szCs w:val="20"/>
        </w:rPr>
        <w:t>，从业人员人，营业收入为万元，资产总额为万元</w:t>
      </w:r>
      <w:r>
        <w:rPr>
          <w:rFonts w:hint="eastAsia" w:ascii="宋体" w:hAnsi="宋体"/>
          <w:color w:val="000000"/>
          <w:szCs w:val="20"/>
          <w:vertAlign w:val="superscript"/>
        </w:rPr>
        <w:t>1</w:t>
      </w:r>
      <w:r>
        <w:rPr>
          <w:rFonts w:hint="eastAsia" w:ascii="宋体" w:hAnsi="宋体"/>
          <w:bCs/>
          <w:color w:val="000000"/>
          <w:sz w:val="24"/>
          <w:szCs w:val="20"/>
        </w:rPr>
        <w:t>，属于</w:t>
      </w:r>
      <w:r>
        <w:rPr>
          <w:rFonts w:hint="eastAsia" w:ascii="宋体" w:hAnsi="宋体"/>
          <w:bCs/>
          <w:i/>
          <w:iCs/>
          <w:color w:val="000000"/>
          <w:sz w:val="24"/>
          <w:szCs w:val="20"/>
          <w:u w:val="single"/>
        </w:rPr>
        <w:t>（中型企业、小型企业、微型企业）</w:t>
      </w:r>
      <w:r>
        <w:rPr>
          <w:rFonts w:hint="eastAsia" w:ascii="宋体" w:hAnsi="宋体"/>
          <w:bCs/>
          <w:color w:val="000000"/>
          <w:sz w:val="24"/>
          <w:szCs w:val="20"/>
        </w:rPr>
        <w:t xml:space="preserve">； </w:t>
      </w:r>
    </w:p>
    <w:p>
      <w:pPr>
        <w:spacing w:line="580" w:lineRule="exact"/>
        <w:ind w:firstLine="480" w:firstLineChars="200"/>
        <w:rPr>
          <w:rFonts w:ascii="宋体" w:hAnsi="宋体"/>
          <w:bCs/>
          <w:color w:val="000000"/>
          <w:sz w:val="24"/>
          <w:szCs w:val="20"/>
        </w:rPr>
      </w:pPr>
      <w:r>
        <w:rPr>
          <w:rFonts w:hint="eastAsia" w:ascii="宋体" w:hAnsi="宋体"/>
          <w:bCs/>
          <w:color w:val="000000"/>
          <w:sz w:val="24"/>
          <w:szCs w:val="20"/>
        </w:rPr>
        <w:t>2、</w:t>
      </w:r>
      <w:r>
        <w:rPr>
          <w:rFonts w:hint="eastAsia" w:ascii="宋体" w:hAnsi="宋体"/>
          <w:bCs/>
          <w:i/>
          <w:iCs/>
          <w:color w:val="000000"/>
          <w:sz w:val="24"/>
          <w:szCs w:val="20"/>
          <w:u w:val="single"/>
        </w:rPr>
        <w:t xml:space="preserve">（标的名称） </w:t>
      </w:r>
      <w:r>
        <w:rPr>
          <w:rFonts w:hint="eastAsia" w:ascii="宋体" w:hAnsi="宋体"/>
          <w:bCs/>
          <w:color w:val="000000"/>
          <w:sz w:val="24"/>
          <w:szCs w:val="20"/>
        </w:rPr>
        <w:t>，属于行业；承建（承接）企业为</w:t>
      </w:r>
      <w:r>
        <w:rPr>
          <w:rFonts w:hint="eastAsia" w:ascii="宋体" w:hAnsi="宋体"/>
          <w:bCs/>
          <w:i/>
          <w:iCs/>
          <w:color w:val="000000"/>
          <w:sz w:val="24"/>
          <w:szCs w:val="20"/>
          <w:u w:val="single"/>
        </w:rPr>
        <w:t>（企业名称）</w:t>
      </w:r>
      <w:r>
        <w:rPr>
          <w:rFonts w:hint="eastAsia" w:ascii="宋体" w:hAnsi="宋体"/>
          <w:bCs/>
          <w:color w:val="000000"/>
          <w:sz w:val="24"/>
          <w:szCs w:val="20"/>
        </w:rPr>
        <w:t>，从业人员人，营业收入为万元，资产总额 万元，属于</w:t>
      </w:r>
      <w:r>
        <w:rPr>
          <w:rFonts w:hint="eastAsia" w:ascii="宋体" w:hAnsi="宋体"/>
          <w:bCs/>
          <w:i/>
          <w:iCs/>
          <w:color w:val="000000"/>
          <w:sz w:val="24"/>
          <w:szCs w:val="20"/>
          <w:u w:val="single"/>
        </w:rPr>
        <w:t>（中型企业、小型企业、微型企业）</w:t>
      </w:r>
      <w:r>
        <w:rPr>
          <w:rFonts w:hint="eastAsia" w:ascii="宋体" w:hAnsi="宋体"/>
          <w:bCs/>
          <w:color w:val="000000"/>
          <w:sz w:val="24"/>
          <w:szCs w:val="20"/>
        </w:rPr>
        <w:t xml:space="preserve">； </w:t>
      </w:r>
    </w:p>
    <w:p>
      <w:pPr>
        <w:spacing w:line="580" w:lineRule="exact"/>
        <w:ind w:firstLine="480" w:firstLineChars="200"/>
        <w:rPr>
          <w:rFonts w:ascii="宋体" w:hAnsi="宋体"/>
          <w:bCs/>
          <w:color w:val="000000"/>
          <w:sz w:val="24"/>
          <w:szCs w:val="20"/>
        </w:rPr>
      </w:pPr>
      <w:r>
        <w:rPr>
          <w:rFonts w:hint="eastAsia" w:ascii="宋体" w:hAnsi="宋体"/>
          <w:bCs/>
          <w:color w:val="000000"/>
          <w:sz w:val="24"/>
          <w:szCs w:val="20"/>
        </w:rPr>
        <w:t>……</w:t>
      </w:r>
    </w:p>
    <w:p>
      <w:pPr>
        <w:spacing w:line="580" w:lineRule="exact"/>
        <w:ind w:firstLine="480" w:firstLineChars="200"/>
        <w:rPr>
          <w:rFonts w:ascii="宋体" w:hAnsi="宋体"/>
          <w:bCs/>
          <w:color w:val="000000"/>
          <w:sz w:val="24"/>
          <w:szCs w:val="20"/>
        </w:rPr>
      </w:pPr>
      <w:r>
        <w:rPr>
          <w:rFonts w:hint="eastAsia" w:ascii="宋体" w:hAnsi="宋体"/>
          <w:bCs/>
          <w:color w:val="000000"/>
          <w:sz w:val="24"/>
          <w:szCs w:val="20"/>
        </w:rPr>
        <w:t>以上企业，不属于大企业的分支机构，不存在控股股东为大企业的情形，也不存在与大企业的负责人为同一人的情形。</w:t>
      </w:r>
    </w:p>
    <w:p>
      <w:pPr>
        <w:spacing w:line="580" w:lineRule="exact"/>
        <w:ind w:firstLine="480" w:firstLineChars="200"/>
        <w:rPr>
          <w:rFonts w:ascii="宋体" w:hAnsi="宋体"/>
          <w:bCs/>
          <w:color w:val="000000"/>
          <w:sz w:val="24"/>
          <w:szCs w:val="20"/>
        </w:rPr>
      </w:pPr>
      <w:r>
        <w:rPr>
          <w:rFonts w:hint="eastAsia" w:ascii="宋体" w:hAnsi="宋体"/>
          <w:bCs/>
          <w:color w:val="000000"/>
          <w:sz w:val="24"/>
          <w:szCs w:val="20"/>
        </w:rPr>
        <w:t xml:space="preserve">本企业对上述声明内容的真实性负责。如有虚假，将依法承担相应责任。 </w:t>
      </w:r>
    </w:p>
    <w:p>
      <w:pPr>
        <w:spacing w:line="580" w:lineRule="exact"/>
        <w:ind w:firstLine="480" w:firstLineChars="200"/>
        <w:jc w:val="center"/>
        <w:rPr>
          <w:rFonts w:ascii="宋体" w:hAnsi="宋体"/>
          <w:bCs/>
          <w:color w:val="000000"/>
          <w:sz w:val="24"/>
          <w:szCs w:val="20"/>
        </w:rPr>
      </w:pPr>
      <w:r>
        <w:rPr>
          <w:rFonts w:hint="eastAsia" w:ascii="宋体" w:hAnsi="宋体"/>
          <w:bCs/>
          <w:color w:val="000000"/>
          <w:sz w:val="24"/>
          <w:szCs w:val="20"/>
        </w:rPr>
        <w:t xml:space="preserve">                          企业名称（盖章）： </w:t>
      </w:r>
    </w:p>
    <w:p>
      <w:pPr>
        <w:spacing w:line="580" w:lineRule="exact"/>
        <w:ind w:firstLine="480" w:firstLineChars="200"/>
        <w:jc w:val="center"/>
        <w:rPr>
          <w:rFonts w:ascii="宋体" w:hAnsi="宋体"/>
          <w:bCs/>
          <w:color w:val="000000"/>
          <w:sz w:val="24"/>
          <w:szCs w:val="20"/>
        </w:rPr>
      </w:pPr>
      <w:r>
        <w:rPr>
          <w:rFonts w:hint="eastAsia" w:ascii="宋体" w:hAnsi="宋体"/>
          <w:bCs/>
          <w:color w:val="000000"/>
          <w:sz w:val="24"/>
          <w:szCs w:val="20"/>
        </w:rPr>
        <w:t xml:space="preserve">             </w:t>
      </w:r>
      <w:r>
        <w:rPr>
          <w:rFonts w:hint="eastAsia" w:ascii="宋体" w:hAnsi="宋体"/>
          <w:bCs/>
          <w:color w:val="000000"/>
          <w:sz w:val="24"/>
          <w:szCs w:val="20"/>
          <w:lang w:val="en-US" w:eastAsia="zh-CN"/>
        </w:rPr>
        <w:t xml:space="preserve"> </w:t>
      </w:r>
      <w:r>
        <w:rPr>
          <w:rFonts w:hint="eastAsia" w:ascii="宋体" w:hAnsi="宋体"/>
          <w:bCs/>
          <w:color w:val="000000"/>
          <w:sz w:val="24"/>
          <w:szCs w:val="20"/>
        </w:rPr>
        <w:t xml:space="preserve">  日 期：</w:t>
      </w:r>
      <w:bookmarkEnd w:id="621"/>
    </w:p>
    <w:p>
      <w:pPr>
        <w:rPr>
          <w:rFonts w:ascii="宋体" w:hAnsi="宋体"/>
          <w:color w:val="000000"/>
          <w:szCs w:val="20"/>
        </w:rPr>
      </w:pPr>
    </w:p>
    <w:p>
      <w:pPr>
        <w:rPr>
          <w:rFonts w:ascii="宋体" w:hAnsi="宋体"/>
          <w:color w:val="000000"/>
          <w:szCs w:val="20"/>
        </w:rPr>
      </w:pPr>
    </w:p>
    <w:p>
      <w:pPr>
        <w:spacing w:line="360" w:lineRule="auto"/>
        <w:rPr>
          <w:rFonts w:hint="eastAsia" w:ascii="宋体" w:hAnsi="宋体"/>
          <w:color w:val="000000"/>
          <w:szCs w:val="20"/>
          <w:vertAlign w:val="superscript"/>
        </w:rPr>
      </w:pPr>
    </w:p>
    <w:p>
      <w:pPr>
        <w:spacing w:line="360" w:lineRule="auto"/>
        <w:rPr>
          <w:rFonts w:hint="eastAsia" w:ascii="宋体" w:hAnsi="宋体"/>
          <w:color w:val="000000"/>
          <w:szCs w:val="20"/>
          <w:vertAlign w:val="superscript"/>
        </w:rPr>
      </w:pPr>
    </w:p>
    <w:p>
      <w:pPr>
        <w:spacing w:line="360" w:lineRule="auto"/>
        <w:rPr>
          <w:rFonts w:ascii="宋体" w:hAnsi="宋体"/>
          <w:color w:val="000000"/>
          <w:szCs w:val="20"/>
        </w:rPr>
      </w:pPr>
      <w:r>
        <w:rPr>
          <w:rFonts w:hint="eastAsia" w:ascii="宋体" w:hAnsi="宋体"/>
          <w:color w:val="000000"/>
          <w:szCs w:val="20"/>
          <w:vertAlign w:val="superscript"/>
        </w:rPr>
        <w:t>1</w:t>
      </w:r>
      <w:r>
        <w:rPr>
          <w:rFonts w:hint="eastAsia" w:ascii="宋体" w:hAnsi="宋体"/>
          <w:color w:val="000000"/>
          <w:szCs w:val="20"/>
        </w:rPr>
        <w:t>从业人员、营业收入、资产总额填报上一年度数据，无上一年度数据的新成立企业可不填报。</w:t>
      </w:r>
    </w:p>
    <w:p>
      <w:pPr>
        <w:spacing w:line="360" w:lineRule="auto"/>
        <w:rPr>
          <w:rFonts w:ascii="宋体" w:hAnsi="宋体"/>
          <w:color w:val="000000"/>
          <w:szCs w:val="20"/>
        </w:rPr>
      </w:pPr>
      <w:r>
        <w:rPr>
          <w:rFonts w:hint="eastAsia" w:ascii="宋体" w:hAnsi="宋体"/>
          <w:color w:val="000000"/>
          <w:szCs w:val="20"/>
        </w:rPr>
        <w:t>中标、成交供应商的《中小企业声明函》将随中标、成交公告进行公示。供应商按照本办法规定提供声明函内容不实的，属于提供虚假材料谋取中标、成交，依照《中华人民共和国政府采购法》等国家有关规定追究相应责任。</w:t>
      </w:r>
    </w:p>
    <w:p>
      <w:pPr>
        <w:jc w:val="center"/>
        <w:rPr>
          <w:rFonts w:ascii="黑体"/>
          <w:b/>
          <w:color w:val="000000"/>
          <w:sz w:val="32"/>
          <w:szCs w:val="32"/>
        </w:rPr>
      </w:pPr>
      <w:r>
        <w:rPr>
          <w:rFonts w:hint="eastAsia" w:ascii="黑体"/>
          <w:b/>
          <w:color w:val="000000"/>
          <w:sz w:val="32"/>
          <w:szCs w:val="32"/>
        </w:rPr>
        <w:t>残疾人福利性单位声明函（格式）：</w:t>
      </w:r>
    </w:p>
    <w:p>
      <w:pPr>
        <w:jc w:val="center"/>
        <w:rPr>
          <w:rFonts w:ascii="黑体"/>
          <w:b/>
          <w:color w:val="000000"/>
          <w:sz w:val="32"/>
          <w:szCs w:val="32"/>
        </w:rPr>
      </w:pPr>
    </w:p>
    <w:p>
      <w:pPr>
        <w:spacing w:line="580" w:lineRule="exact"/>
        <w:ind w:firstLine="480" w:firstLineChars="200"/>
        <w:rPr>
          <w:rFonts w:ascii="宋体" w:hAnsi="宋体"/>
          <w:bCs/>
          <w:color w:val="000000"/>
          <w:sz w:val="24"/>
        </w:rPr>
      </w:pPr>
      <w:r>
        <w:rPr>
          <w:rFonts w:hint="eastAsia" w:ascii="宋体" w:hAnsi="宋体"/>
          <w:bCs/>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sz w:val="24"/>
        </w:rPr>
      </w:pPr>
      <w:r>
        <w:rPr>
          <w:rFonts w:hint="eastAsia" w:ascii="宋体" w:hAnsi="宋体"/>
          <w:bCs/>
          <w:color w:val="000000"/>
          <w:sz w:val="24"/>
        </w:rPr>
        <w:t>本单位对上述声明的真实性负责。如有虚假，将依法承担相应责任。</w:t>
      </w:r>
    </w:p>
    <w:p>
      <w:pPr>
        <w:spacing w:line="580" w:lineRule="exact"/>
        <w:ind w:firstLine="480" w:firstLineChars="200"/>
        <w:rPr>
          <w:rFonts w:ascii="宋体" w:hAnsi="宋体"/>
          <w:bCs/>
          <w:color w:val="000000"/>
          <w:sz w:val="24"/>
        </w:rPr>
      </w:pPr>
    </w:p>
    <w:p>
      <w:pPr>
        <w:spacing w:line="580" w:lineRule="exact"/>
        <w:ind w:firstLine="480" w:firstLineChars="200"/>
        <w:rPr>
          <w:rFonts w:ascii="宋体" w:hAnsi="宋体"/>
          <w:bCs/>
          <w:color w:val="000000"/>
          <w:sz w:val="24"/>
        </w:rPr>
      </w:pPr>
    </w:p>
    <w:p>
      <w:pPr>
        <w:wordWrap w:val="0"/>
        <w:spacing w:line="580" w:lineRule="exact"/>
        <w:ind w:firstLine="480" w:firstLineChars="200"/>
        <w:jc w:val="right"/>
        <w:rPr>
          <w:rFonts w:ascii="宋体" w:hAnsi="宋体"/>
          <w:bCs/>
          <w:color w:val="000000"/>
          <w:sz w:val="24"/>
        </w:rPr>
      </w:pPr>
      <w:r>
        <w:rPr>
          <w:rFonts w:hint="eastAsia" w:ascii="宋体" w:hAnsi="宋体"/>
          <w:bCs/>
          <w:color w:val="000000"/>
          <w:sz w:val="24"/>
        </w:rPr>
        <w:t xml:space="preserve">单位名称（盖章）： </w:t>
      </w:r>
    </w:p>
    <w:p>
      <w:pPr>
        <w:spacing w:line="580" w:lineRule="exact"/>
        <w:ind w:firstLine="480" w:firstLineChars="200"/>
        <w:jc w:val="right"/>
        <w:rPr>
          <w:rFonts w:ascii="宋体" w:hAnsi="宋体"/>
          <w:bCs/>
          <w:color w:val="000000"/>
          <w:sz w:val="24"/>
        </w:rPr>
      </w:pPr>
    </w:p>
    <w:p>
      <w:pPr>
        <w:wordWrap w:val="0"/>
        <w:spacing w:line="580" w:lineRule="exact"/>
        <w:ind w:firstLine="480" w:firstLineChars="200"/>
        <w:jc w:val="right"/>
        <w:rPr>
          <w:rFonts w:ascii="宋体" w:hAnsi="宋体"/>
          <w:bCs/>
          <w:color w:val="000000"/>
          <w:sz w:val="24"/>
        </w:rPr>
      </w:pPr>
      <w:r>
        <w:rPr>
          <w:rFonts w:hint="eastAsia" w:ascii="宋体" w:hAnsi="宋体"/>
          <w:bCs/>
          <w:color w:val="000000"/>
          <w:sz w:val="24"/>
        </w:rPr>
        <w:t xml:space="preserve">日  期： </w:t>
      </w: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Pr>
        <w:widowControl/>
        <w:jc w:val="left"/>
        <w:rPr>
          <w:color w:val="000000"/>
          <w:kern w:val="0"/>
          <w:sz w:val="20"/>
          <w:szCs w:val="20"/>
        </w:rPr>
      </w:pPr>
    </w:p>
    <w:p/>
    <w:p/>
    <w:p>
      <w:pPr>
        <w:widowControl/>
        <w:jc w:val="left"/>
        <w:rPr>
          <w:rFonts w:ascii="黑体" w:eastAsia="黑体"/>
          <w:b/>
          <w:sz w:val="30"/>
          <w:szCs w:val="30"/>
        </w:rPr>
      </w:pPr>
      <w:r>
        <w:rPr>
          <w:rFonts w:ascii="黑体" w:eastAsia="黑体"/>
          <w:b/>
          <w:sz w:val="30"/>
          <w:szCs w:val="30"/>
        </w:rPr>
        <w:br w:type="page"/>
      </w:r>
    </w:p>
    <w:p>
      <w:pPr>
        <w:jc w:val="center"/>
        <w:outlineLvl w:val="0"/>
        <w:rPr>
          <w:rFonts w:ascii="黑体" w:eastAsia="黑体"/>
          <w:b/>
          <w:sz w:val="30"/>
          <w:szCs w:val="30"/>
        </w:rPr>
      </w:pPr>
      <w:r>
        <w:rPr>
          <w:rFonts w:hint="eastAsia" w:ascii="黑体" w:eastAsia="黑体"/>
          <w:b/>
          <w:sz w:val="30"/>
          <w:szCs w:val="30"/>
        </w:rPr>
        <w:t>（四）（供应商）法定代表人授权委托书（格式）：</w:t>
      </w:r>
    </w:p>
    <w:p>
      <w:pPr>
        <w:jc w:val="center"/>
        <w:rPr>
          <w:rFonts w:ascii="黑体" w:eastAsia="黑体"/>
          <w:bCs/>
          <w:sz w:val="28"/>
          <w:szCs w:val="28"/>
        </w:rPr>
      </w:pPr>
      <w:r>
        <w:rPr>
          <w:rFonts w:hint="eastAsia" w:ascii="黑体" w:eastAsia="黑体"/>
          <w:bCs/>
          <w:sz w:val="28"/>
          <w:szCs w:val="28"/>
        </w:rPr>
        <w:t>法定代表人授权委托书</w:t>
      </w:r>
    </w:p>
    <w:p>
      <w:pPr>
        <w:spacing w:line="480" w:lineRule="auto"/>
        <w:ind w:firstLine="3840" w:firstLineChars="1600"/>
        <w:rPr>
          <w:rFonts w:ascii="宋体" w:hAnsi="宋体"/>
          <w:bCs/>
          <w:sz w:val="24"/>
        </w:rPr>
      </w:pPr>
      <w:r>
        <w:rPr>
          <w:rFonts w:hint="eastAsia" w:ascii="宋体" w:hAnsi="宋体"/>
          <w:bCs/>
          <w:sz w:val="24"/>
        </w:rPr>
        <w:t>采购编号：</w:t>
      </w:r>
    </w:p>
    <w:p>
      <w:pPr>
        <w:spacing w:line="480" w:lineRule="auto"/>
        <w:rPr>
          <w:rFonts w:ascii="宋体" w:hAnsi="宋体"/>
          <w:bCs/>
          <w:sz w:val="24"/>
        </w:rPr>
      </w:pPr>
      <w:r>
        <w:rPr>
          <w:rFonts w:hint="eastAsia" w:ascii="宋体" w:hAnsi="宋体"/>
          <w:bCs/>
          <w:sz w:val="24"/>
        </w:rPr>
        <w:t xml:space="preserve">    </w:t>
      </w:r>
      <w:r>
        <w:rPr>
          <w:rFonts w:hint="eastAsia" w:ascii="宋体" w:hAnsi="宋体"/>
          <w:bCs/>
          <w:sz w:val="24"/>
          <w:lang w:val="en-US" w:eastAsia="zh-CN"/>
        </w:rPr>
        <w:t xml:space="preserve">                            </w:t>
      </w:r>
      <w:r>
        <w:rPr>
          <w:rFonts w:hint="eastAsia" w:ascii="宋体" w:hAnsi="宋体"/>
          <w:bCs/>
          <w:sz w:val="24"/>
        </w:rPr>
        <w:t>日期：</w:t>
      </w:r>
    </w:p>
    <w:p>
      <w:pPr>
        <w:spacing w:line="480" w:lineRule="auto"/>
        <w:rPr>
          <w:rFonts w:ascii="宋体" w:hAnsi="宋体"/>
          <w:bCs/>
          <w:sz w:val="24"/>
        </w:rPr>
      </w:pPr>
      <w:r>
        <w:rPr>
          <w:rFonts w:hint="eastAsia" w:ascii="宋体" w:hAnsi="宋体"/>
          <w:bCs/>
          <w:sz w:val="24"/>
          <w:lang w:val="en-US" w:eastAsia="zh-CN"/>
        </w:rPr>
        <w:t>普信国际工程咨询有限</w:t>
      </w:r>
      <w:r>
        <w:rPr>
          <w:rFonts w:hint="eastAsia" w:ascii="宋体" w:hAnsi="宋体"/>
          <w:bCs/>
          <w:sz w:val="24"/>
        </w:rPr>
        <w:t>公司：</w:t>
      </w:r>
    </w:p>
    <w:p>
      <w:pPr>
        <w:spacing w:line="480" w:lineRule="auto"/>
        <w:ind w:firstLine="480" w:firstLineChars="200"/>
        <w:rPr>
          <w:rFonts w:ascii="宋体" w:hAnsi="宋体"/>
          <w:bCs/>
          <w:sz w:val="24"/>
        </w:rPr>
      </w:pPr>
      <w:r>
        <w:rPr>
          <w:rFonts w:hint="eastAsia" w:ascii="宋体" w:hAnsi="宋体"/>
          <w:bCs/>
          <w:sz w:val="24"/>
          <w:u w:val="single"/>
        </w:rPr>
        <w:t xml:space="preserve">  （供应商单位名称） </w:t>
      </w:r>
      <w:r>
        <w:rPr>
          <w:rFonts w:hint="eastAsia" w:ascii="宋体" w:hAnsi="宋体"/>
          <w:bCs/>
          <w:sz w:val="24"/>
        </w:rPr>
        <w:t>系中华人民共和国合法企业，法定地址：</w:t>
      </w:r>
      <w:r>
        <w:rPr>
          <w:rFonts w:hint="eastAsia" w:ascii="宋体" w:hAnsi="宋体"/>
          <w:bCs/>
          <w:sz w:val="24"/>
          <w:u w:val="single"/>
          <w:lang w:val="en-US" w:eastAsia="zh-CN"/>
        </w:rPr>
        <w:t xml:space="preserve">           </w:t>
      </w:r>
      <w:r>
        <w:rPr>
          <w:rFonts w:hint="eastAsia" w:ascii="宋体" w:hAnsi="宋体"/>
          <w:bCs/>
          <w:sz w:val="24"/>
        </w:rPr>
        <w:t>，特授权</w:t>
      </w:r>
      <w:r>
        <w:rPr>
          <w:rFonts w:hint="eastAsia" w:ascii="宋体" w:hAnsi="宋体"/>
          <w:bCs/>
          <w:sz w:val="24"/>
          <w:u w:val="single"/>
        </w:rPr>
        <w:t xml:space="preserve">    （姓名）   </w:t>
      </w:r>
      <w:r>
        <w:rPr>
          <w:rFonts w:hint="eastAsia" w:ascii="宋体" w:hAnsi="宋体"/>
          <w:bCs/>
          <w:sz w:val="24"/>
        </w:rPr>
        <w:t>代表我公司（单位）全权办理针对本项目（</w:t>
      </w:r>
      <w:r>
        <w:rPr>
          <w:rFonts w:hint="eastAsia" w:ascii="宋体" w:hAnsi="宋体"/>
          <w:b/>
          <w:bCs/>
          <w:sz w:val="24"/>
        </w:rPr>
        <w:t>采购编号：</w:t>
      </w:r>
      <w:r>
        <w:rPr>
          <w:rFonts w:hint="eastAsia" w:ascii="宋体" w:hAnsi="宋体"/>
          <w:b/>
          <w:bCs/>
          <w:sz w:val="24"/>
          <w:lang w:val="en-US" w:eastAsia="zh-CN"/>
        </w:rPr>
        <w:t xml:space="preserve">      </w:t>
      </w:r>
      <w:r>
        <w:rPr>
          <w:rFonts w:hint="eastAsia" w:ascii="黑体" w:eastAsia="黑体"/>
          <w:bCs/>
          <w:sz w:val="24"/>
        </w:rPr>
        <w:t>）</w:t>
      </w:r>
      <w:r>
        <w:rPr>
          <w:rFonts w:hint="eastAsia" w:ascii="宋体" w:hAnsi="宋体"/>
          <w:bCs/>
          <w:sz w:val="24"/>
        </w:rPr>
        <w:t>的投标，参与谈判、签约等具体工作，并签署全部有关的文件、协议及合同。</w:t>
      </w:r>
    </w:p>
    <w:p>
      <w:pPr>
        <w:spacing w:line="480" w:lineRule="auto"/>
        <w:ind w:firstLine="525"/>
        <w:rPr>
          <w:rFonts w:ascii="宋体" w:hAnsi="宋体"/>
          <w:bCs/>
          <w:sz w:val="24"/>
        </w:rPr>
      </w:pPr>
      <w:r>
        <w:rPr>
          <w:rFonts w:hint="eastAsia" w:ascii="宋体" w:hAnsi="宋体"/>
          <w:bCs/>
          <w:sz w:val="24"/>
        </w:rPr>
        <w:t>我公司（单位）对被授权人的签名负全部责任。</w:t>
      </w:r>
    </w:p>
    <w:p>
      <w:pPr>
        <w:spacing w:line="480" w:lineRule="auto"/>
        <w:ind w:firstLine="523" w:firstLineChars="218"/>
        <w:rPr>
          <w:rFonts w:ascii="宋体" w:hAnsi="宋体"/>
          <w:bCs/>
          <w:sz w:val="24"/>
        </w:rPr>
      </w:pPr>
      <w:r>
        <w:rPr>
          <w:rFonts w:hint="eastAsia" w:ascii="宋体" w:hAnsi="宋体"/>
          <w:bCs/>
          <w:sz w:val="24"/>
        </w:rPr>
        <w:t>在撤销授权的书面通知送达你处以前，本授权书一直有效，被授权人签署的所有文件（在授权书有效期内签署的）不因授权的撤销而失效。被授权人无转委托权。</w:t>
      </w:r>
    </w:p>
    <w:p>
      <w:pPr>
        <w:spacing w:line="480" w:lineRule="auto"/>
        <w:ind w:firstLine="525"/>
        <w:rPr>
          <w:rFonts w:ascii="宋体" w:hAnsi="宋体"/>
          <w:bCs/>
          <w:sz w:val="24"/>
        </w:rPr>
      </w:pPr>
      <w:r>
        <w:rPr>
          <w:rFonts w:hint="eastAsia" w:ascii="宋体" w:hAnsi="宋体"/>
          <w:bCs/>
          <w:sz w:val="24"/>
        </w:rPr>
        <w:t>被授权人情况：</w:t>
      </w:r>
    </w:p>
    <w:p>
      <w:pPr>
        <w:spacing w:line="480" w:lineRule="auto"/>
        <w:ind w:firstLine="525"/>
        <w:rPr>
          <w:rFonts w:ascii="宋体" w:hAnsi="宋体"/>
          <w:bCs/>
          <w:sz w:val="24"/>
        </w:rPr>
      </w:pPr>
      <w:r>
        <w:rPr>
          <w:rFonts w:hint="eastAsia" w:ascii="宋体" w:hAnsi="宋体"/>
          <w:bCs/>
          <w:sz w:val="24"/>
        </w:rPr>
        <w:t>姓名：         性别：       年龄：       职务：</w:t>
      </w:r>
    </w:p>
    <w:p>
      <w:pPr>
        <w:spacing w:line="480" w:lineRule="auto"/>
        <w:ind w:firstLine="525"/>
        <w:rPr>
          <w:rFonts w:ascii="宋体" w:hAnsi="宋体"/>
          <w:bCs/>
          <w:sz w:val="24"/>
        </w:rPr>
      </w:pPr>
      <w:r>
        <w:rPr>
          <w:rFonts w:hint="eastAsia" w:ascii="宋体" w:hAnsi="宋体"/>
          <w:bCs/>
          <w:sz w:val="24"/>
        </w:rPr>
        <w:t>身份证号码：                电话：</w:t>
      </w:r>
    </w:p>
    <w:p>
      <w:pPr>
        <w:spacing w:line="480" w:lineRule="auto"/>
        <w:ind w:firstLine="525"/>
        <w:rPr>
          <w:rFonts w:ascii="宋体" w:hAnsi="宋体"/>
          <w:bCs/>
          <w:sz w:val="24"/>
        </w:rPr>
      </w:pPr>
      <w:r>
        <w:rPr>
          <w:rFonts w:hint="eastAsia" w:ascii="宋体" w:hAnsi="宋体"/>
          <w:bCs/>
          <w:sz w:val="24"/>
        </w:rPr>
        <w:t>通讯地址：</w:t>
      </w:r>
    </w:p>
    <w:p>
      <w:pPr>
        <w:spacing w:line="480" w:lineRule="auto"/>
        <w:ind w:firstLine="525"/>
        <w:rPr>
          <w:rFonts w:ascii="宋体" w:hAnsi="宋体"/>
          <w:bCs/>
          <w:sz w:val="24"/>
        </w:rPr>
      </w:pPr>
      <w:r>
        <w:rPr>
          <w:rFonts w:hint="eastAsia" w:ascii="宋体" w:hAnsi="宋体"/>
          <w:bCs/>
          <w:sz w:val="24"/>
        </w:rPr>
        <w:t>被授权人签名：                单位名称（盖章）：</w:t>
      </w:r>
    </w:p>
    <w:p>
      <w:pPr>
        <w:spacing w:line="480" w:lineRule="auto"/>
        <w:ind w:firstLine="420"/>
        <w:rPr>
          <w:rFonts w:ascii="宋体" w:hAnsi="宋体"/>
          <w:bCs/>
          <w:sz w:val="24"/>
        </w:rPr>
      </w:pPr>
      <w:r>
        <w:rPr>
          <w:rFonts w:hint="eastAsia" w:ascii="宋体" w:hAnsi="宋体"/>
          <w:bCs/>
          <w:sz w:val="24"/>
        </w:rPr>
        <w:t xml:space="preserve">                       法定代表人（签字或盖章）：</w:t>
      </w:r>
    </w:p>
    <w:p>
      <w:pPr>
        <w:spacing w:line="480" w:lineRule="auto"/>
        <w:ind w:firstLine="420"/>
        <w:rPr>
          <w:rFonts w:ascii="宋体" w:hAnsi="宋体"/>
          <w:bCs/>
          <w:sz w:val="24"/>
        </w:rPr>
      </w:pPr>
      <w:r>
        <w:rPr>
          <w:rFonts w:ascii="宋体" w:hAnsi="宋体"/>
          <w:bCs/>
          <w:sz w:val="24"/>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0</wp:posOffset>
                </wp:positionV>
                <wp:extent cx="2867025" cy="1584960"/>
                <wp:effectExtent l="4445" t="4445" r="5080" b="10795"/>
                <wp:wrapNone/>
                <wp:docPr id="4" name="矩形 4"/>
                <wp:cNvGraphicFramePr/>
                <a:graphic xmlns:a="http://schemas.openxmlformats.org/drawingml/2006/main">
                  <a:graphicData uri="http://schemas.microsoft.com/office/word/2010/wordprocessingShape">
                    <wps:wsp>
                      <wps:cNvSpPr/>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txbxContent>
                      </wps:txbx>
                      <wps:bodyPr upright="1"/>
                    </wps:wsp>
                  </a:graphicData>
                </a:graphic>
              </wp:anchor>
            </w:drawing>
          </mc:Choice>
          <mc:Fallback>
            <w:pict>
              <v:rect id="_x0000_s1026" o:spid="_x0000_s1026" o:spt="1" style="position:absolute;left:0pt;margin-left:243pt;margin-top:0pt;height:124.8pt;width:225.75pt;z-index:251662336;mso-width-relative:page;mso-height-relative:page;" fillcolor="#FFFFFF" filled="t" stroked="t" coordsize="21600,21600" o:gfxdata="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5NjHZAAAACAEAAA8AAAAAAAAAAQAgAAAAIgAAAGRy&#10;cy9kb3ducmV2LnhtbFBLAQIUABQAAAAIAIdO4kA0LrNsBAIAACoEAAAOAAAAAAAAAAEAIAAAACgB&#10;AABkcnMvZTJvRG9jLnhtbFBLBQYAAAAABgAGAFkBAACeBQ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授权代表身份证复印件</w:t>
                      </w:r>
                    </w:p>
                  </w:txbxContent>
                </v:textbox>
              </v:rect>
            </w:pict>
          </mc:Fallback>
        </mc:AlternateContent>
      </w:r>
      <w:r>
        <w:rPr>
          <w:rFonts w:ascii="宋体" w:hAnsi="宋体"/>
          <w:bCs/>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2867025" cy="1584960"/>
                <wp:effectExtent l="4445" t="4445" r="5080" b="10795"/>
                <wp:wrapNone/>
                <wp:docPr id="6" name="矩形 6"/>
                <wp:cNvGraphicFramePr/>
                <a:graphic xmlns:a="http://schemas.openxmlformats.org/drawingml/2006/main">
                  <a:graphicData uri="http://schemas.microsoft.com/office/word/2010/wordprocessingShape">
                    <wps:wsp>
                      <wps:cNvSpPr/>
                      <wps:spPr>
                        <a:xfrm>
                          <a:off x="0" y="0"/>
                          <a:ext cx="2867025"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txbxContent>
                      </wps:txbx>
                      <wps:bodyPr upright="1"/>
                    </wps:wsp>
                  </a:graphicData>
                </a:graphic>
              </wp:anchor>
            </w:drawing>
          </mc:Choice>
          <mc:Fallback>
            <w:pict>
              <v:rect id="_x0000_s1026" o:spid="_x0000_s1026" o:spt="1" style="position:absolute;left:0pt;margin-left:9pt;margin-top:0pt;height:124.8pt;width:225.75pt;z-index:251660288;mso-width-relative:page;mso-height-relative:page;" fillcolor="#FFFFFF" filled="t" stroked="t" coordsize="21600,21600" o:gfxdata="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VkIbNYAAAAHAQAADwAAAAAAAAABACAAAAAiAAAAZHJzL2Rv&#10;d25yZXYueG1sUEsBAhQAFAAAAAgAh07iQAfUwUEDAgAAKgQAAA4AAAAAAAAAAQAgAAAAJQEAAGRy&#10;cy9lMm9Eb2MueG1sUEsFBgAAAAAGAAYAWQEAAJo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法定代表人身份证复印件</w:t>
                      </w:r>
                    </w:p>
                  </w:txbxContent>
                </v:textbox>
              </v:rect>
            </w:pict>
          </mc:Fallback>
        </mc:AlternateContent>
      </w:r>
    </w:p>
    <w:p>
      <w:pPr>
        <w:spacing w:line="480" w:lineRule="auto"/>
        <w:ind w:firstLine="420"/>
        <w:rPr>
          <w:rFonts w:ascii="宋体" w:hAnsi="宋体"/>
          <w:bCs/>
          <w:sz w:val="24"/>
        </w:rPr>
      </w:pPr>
    </w:p>
    <w:p>
      <w:pPr>
        <w:spacing w:line="360" w:lineRule="auto"/>
        <w:rPr>
          <w:rFonts w:ascii="宋体" w:hAnsi="宋体" w:cs="Times New Roman"/>
          <w:sz w:val="24"/>
        </w:rPr>
      </w:pPr>
      <w:r>
        <w:rPr>
          <w:rFonts w:ascii="黑体" w:eastAsia="黑体"/>
          <w:b/>
          <w:sz w:val="30"/>
          <w:szCs w:val="30"/>
        </w:rPr>
        <w:br w:type="page"/>
      </w:r>
    </w:p>
    <w:p>
      <w:pPr>
        <w:jc w:val="center"/>
        <w:outlineLvl w:val="0"/>
        <w:rPr>
          <w:rFonts w:ascii="黑体" w:eastAsia="黑体"/>
          <w:b/>
          <w:sz w:val="30"/>
          <w:szCs w:val="30"/>
        </w:rPr>
      </w:pPr>
      <w:r>
        <w:rPr>
          <w:rFonts w:hint="eastAsia" w:ascii="黑体" w:eastAsia="黑体"/>
          <w:b/>
          <w:sz w:val="30"/>
          <w:szCs w:val="30"/>
        </w:rPr>
        <w:t>（</w:t>
      </w:r>
      <w:r>
        <w:rPr>
          <w:rFonts w:hint="eastAsia" w:ascii="黑体" w:eastAsia="黑体"/>
          <w:b/>
          <w:sz w:val="30"/>
          <w:szCs w:val="30"/>
          <w:lang w:val="en-US" w:eastAsia="zh-CN"/>
        </w:rPr>
        <w:t>五</w:t>
      </w:r>
      <w:r>
        <w:rPr>
          <w:rFonts w:hint="eastAsia" w:ascii="黑体" w:eastAsia="黑体"/>
          <w:b/>
          <w:sz w:val="30"/>
          <w:szCs w:val="30"/>
        </w:rPr>
        <w:t>）承诺书（格式）：</w:t>
      </w:r>
    </w:p>
    <w:p>
      <w:pPr>
        <w:keepNext/>
        <w:jc w:val="center"/>
        <w:outlineLvl w:val="2"/>
        <w:rPr>
          <w:rFonts w:ascii="宋体" w:hAnsi="宋体"/>
          <w:b/>
          <w:sz w:val="32"/>
          <w:szCs w:val="32"/>
        </w:rPr>
      </w:pPr>
      <w:r>
        <w:rPr>
          <w:rFonts w:hint="eastAsia" w:ascii="宋体" w:hAnsi="宋体"/>
          <w:b/>
          <w:sz w:val="32"/>
          <w:szCs w:val="32"/>
        </w:rPr>
        <w:t>承诺书一(格式)</w:t>
      </w:r>
    </w:p>
    <w:p>
      <w:pPr>
        <w:spacing w:line="360" w:lineRule="auto"/>
        <w:rPr>
          <w:rFonts w:ascii="宋体" w:hAnsi="宋体"/>
          <w:sz w:val="24"/>
          <w:szCs w:val="20"/>
        </w:rPr>
      </w:pPr>
      <w:r>
        <w:rPr>
          <w:rFonts w:hint="eastAsia" w:ascii="宋体" w:hAnsi="宋体"/>
          <w:sz w:val="24"/>
          <w:szCs w:val="20"/>
        </w:rPr>
        <w:t>致：</w:t>
      </w:r>
      <w:r>
        <w:rPr>
          <w:rFonts w:hint="eastAsia" w:ascii="宋体" w:hAnsi="宋体"/>
          <w:sz w:val="24"/>
          <w:szCs w:val="20"/>
          <w:u w:val="single"/>
        </w:rPr>
        <w:t xml:space="preserve">    （采购人名称）           </w:t>
      </w:r>
    </w:p>
    <w:p>
      <w:pPr>
        <w:spacing w:before="240" w:line="360" w:lineRule="auto"/>
        <w:ind w:firstLine="480"/>
        <w:rPr>
          <w:rFonts w:ascii="宋体" w:hAnsi="宋体"/>
          <w:sz w:val="24"/>
          <w:szCs w:val="20"/>
        </w:rPr>
      </w:pPr>
      <w:r>
        <w:rPr>
          <w:rFonts w:hint="eastAsia" w:ascii="宋体" w:hAnsi="宋体"/>
          <w:sz w:val="24"/>
          <w:szCs w:val="20"/>
        </w:rPr>
        <w:t>我公司自愿参加贵单位（公司）项目的报价，并接受对我公司的资格审查，我公司承诺：我公司未处于被责令停业、投标资格被取消或者财产被接管、冻结和破产状态，企业没有因骗取中标或者严重违约以及发生重大工程质量事故等问题，被有关部门暂停投标资格并在暂停期内的。根据贵单位（公司）提出的磋商文件要求，本公司递交的响应文件中的内容没有隐瞒、虚假、伪造等弄虚作假行为。若发现该行为，贵公司可以拒绝我公司报价，如已中标，我公司</w:t>
      </w:r>
      <w:r>
        <w:rPr>
          <w:rFonts w:hint="eastAsia" w:ascii="宋体" w:hAnsi="宋体"/>
          <w:sz w:val="24"/>
          <w:szCs w:val="20"/>
          <w:lang w:val="en-US" w:eastAsia="zh-CN"/>
        </w:rPr>
        <w:t>自愿放弃</w:t>
      </w:r>
      <w:r>
        <w:rPr>
          <w:rFonts w:hint="eastAsia" w:ascii="宋体" w:hAnsi="宋体"/>
          <w:sz w:val="24"/>
          <w:szCs w:val="20"/>
        </w:rPr>
        <w:t>中标资格，并接受政府采购主管部门对我公司弄虚作假、违反公平和诚实信用原则做出的任何处理。</w:t>
      </w:r>
    </w:p>
    <w:p>
      <w:pPr>
        <w:spacing w:before="240" w:line="360" w:lineRule="auto"/>
        <w:ind w:firstLine="480"/>
        <w:rPr>
          <w:rFonts w:ascii="宋体" w:hAnsi="宋体"/>
          <w:sz w:val="24"/>
          <w:szCs w:val="20"/>
        </w:rPr>
      </w:pPr>
    </w:p>
    <w:p>
      <w:pPr>
        <w:spacing w:before="240" w:line="360" w:lineRule="auto"/>
        <w:ind w:firstLine="480"/>
        <w:rPr>
          <w:rFonts w:ascii="宋体" w:hAnsi="宋体"/>
          <w:sz w:val="24"/>
          <w:szCs w:val="20"/>
        </w:rPr>
      </w:pPr>
    </w:p>
    <w:p>
      <w:pPr>
        <w:spacing w:before="240" w:line="360" w:lineRule="auto"/>
        <w:ind w:firstLine="480"/>
        <w:rPr>
          <w:rFonts w:ascii="宋体" w:hAnsi="宋体"/>
          <w:sz w:val="24"/>
          <w:szCs w:val="20"/>
        </w:rPr>
      </w:pPr>
    </w:p>
    <w:p>
      <w:pPr>
        <w:spacing w:before="240" w:line="360" w:lineRule="auto"/>
        <w:ind w:right="480" w:firstLine="2760" w:firstLineChars="1150"/>
        <w:jc w:val="right"/>
        <w:rPr>
          <w:rFonts w:ascii="宋体" w:hAnsi="宋体"/>
          <w:sz w:val="24"/>
          <w:szCs w:val="20"/>
        </w:rPr>
      </w:pPr>
      <w:r>
        <w:rPr>
          <w:rFonts w:hint="eastAsia" w:ascii="宋体" w:hAnsi="宋体"/>
          <w:sz w:val="24"/>
          <w:szCs w:val="20"/>
        </w:rPr>
        <w:t>报价供应商：（公章）</w:t>
      </w:r>
    </w:p>
    <w:p>
      <w:pPr>
        <w:wordWrap w:val="0"/>
        <w:spacing w:before="240" w:line="360" w:lineRule="auto"/>
        <w:ind w:firstLine="480"/>
        <w:jc w:val="right"/>
        <w:rPr>
          <w:sz w:val="24"/>
          <w:szCs w:val="20"/>
        </w:rPr>
      </w:pPr>
      <w:r>
        <w:rPr>
          <w:rFonts w:ascii="宋体" w:hAnsi="宋体"/>
          <w:sz w:val="24"/>
          <w:szCs w:val="20"/>
        </w:rPr>
        <w:t>法定代表人</w:t>
      </w:r>
      <w:r>
        <w:rPr>
          <w:rFonts w:hint="eastAsia" w:ascii="宋体" w:hAnsi="宋体"/>
          <w:sz w:val="24"/>
          <w:szCs w:val="20"/>
        </w:rPr>
        <w:t>或其授权代理人</w:t>
      </w:r>
      <w:r>
        <w:rPr>
          <w:rFonts w:ascii="宋体" w:hAnsi="宋体"/>
          <w:sz w:val="24"/>
          <w:szCs w:val="20"/>
        </w:rPr>
        <w:t>：   （签字</w:t>
      </w:r>
      <w:r>
        <w:rPr>
          <w:rFonts w:hint="eastAsia" w:ascii="宋体" w:hAnsi="宋体"/>
          <w:sz w:val="24"/>
          <w:szCs w:val="20"/>
        </w:rPr>
        <w:t>和盖章</w:t>
      </w:r>
      <w:r>
        <w:rPr>
          <w:rFonts w:ascii="宋体" w:hAnsi="宋体"/>
          <w:sz w:val="24"/>
          <w:szCs w:val="20"/>
        </w:rPr>
        <w:t>）</w:t>
      </w:r>
    </w:p>
    <w:p>
      <w:pPr>
        <w:spacing w:before="240" w:line="360" w:lineRule="auto"/>
        <w:ind w:right="480" w:firstLine="480"/>
        <w:jc w:val="center"/>
        <w:rPr>
          <w:rFonts w:ascii="宋体" w:hAnsi="宋体"/>
          <w:sz w:val="24"/>
          <w:szCs w:val="20"/>
        </w:rPr>
      </w:pPr>
      <w:r>
        <w:rPr>
          <w:rFonts w:hint="eastAsia" w:ascii="宋体" w:hAnsi="宋体"/>
          <w:sz w:val="24"/>
          <w:szCs w:val="20"/>
        </w:rPr>
        <w:t xml:space="preserve">                                            年    月    日</w:t>
      </w:r>
      <w:r>
        <w:rPr>
          <w:rFonts w:ascii="宋体" w:hAnsi="宋体"/>
          <w:sz w:val="24"/>
          <w:szCs w:val="20"/>
        </w:rPr>
        <w:t xml:space="preserve">   </w:t>
      </w:r>
    </w:p>
    <w:p>
      <w:pPr>
        <w:keepNext/>
        <w:jc w:val="center"/>
        <w:outlineLvl w:val="2"/>
        <w:rPr>
          <w:rFonts w:ascii="宋体" w:hAnsi="宋体"/>
          <w:sz w:val="24"/>
          <w:szCs w:val="20"/>
          <w:u w:val="single"/>
        </w:rPr>
      </w:pPr>
      <w:r>
        <w:rPr>
          <w:rFonts w:ascii="宋体" w:hAnsi="宋体"/>
          <w:sz w:val="24"/>
        </w:rPr>
        <w:br w:type="page"/>
      </w:r>
      <w:r>
        <w:rPr>
          <w:rFonts w:hint="eastAsia" w:ascii="宋体" w:hAnsi="宋体"/>
          <w:b/>
          <w:sz w:val="32"/>
          <w:szCs w:val="32"/>
        </w:rPr>
        <w:t>承诺书二（无在建工程格式）</w:t>
      </w:r>
    </w:p>
    <w:p>
      <w:pPr>
        <w:spacing w:before="240" w:line="360" w:lineRule="auto"/>
        <w:rPr>
          <w:rFonts w:ascii="宋体" w:hAnsi="宋体"/>
          <w:sz w:val="24"/>
          <w:szCs w:val="20"/>
        </w:rPr>
      </w:pPr>
      <w:r>
        <w:rPr>
          <w:rFonts w:ascii="宋体" w:hAnsi="宋体"/>
          <w:sz w:val="24"/>
          <w:szCs w:val="20"/>
          <w:u w:val="single"/>
        </w:rPr>
        <w:t> </w:t>
      </w:r>
      <w:r>
        <w:rPr>
          <w:rFonts w:hint="eastAsia" w:ascii="宋体" w:hAnsi="宋体"/>
          <w:sz w:val="24"/>
          <w:szCs w:val="20"/>
          <w:u w:val="single"/>
        </w:rPr>
        <w:t xml:space="preserve">   （采购人名称）      </w:t>
      </w:r>
      <w:r>
        <w:rPr>
          <w:rFonts w:hint="eastAsia" w:ascii="宋体" w:hAnsi="宋体"/>
          <w:sz w:val="24"/>
          <w:szCs w:val="20"/>
        </w:rPr>
        <w:t>：</w:t>
      </w:r>
    </w:p>
    <w:p>
      <w:pPr>
        <w:spacing w:before="240" w:line="360" w:lineRule="auto"/>
        <w:ind w:firstLine="480"/>
        <w:rPr>
          <w:rFonts w:ascii="宋体" w:hAnsi="宋体"/>
          <w:sz w:val="24"/>
          <w:szCs w:val="20"/>
        </w:rPr>
      </w:pPr>
      <w:r>
        <w:rPr>
          <w:rFonts w:hint="eastAsia" w:ascii="宋体" w:hAnsi="宋体"/>
          <w:sz w:val="24"/>
          <w:szCs w:val="20"/>
        </w:rPr>
        <w:t>我公司保证参与（拟采购项目名称）投标的拟任项目经理无任何在建工程项目，提交的项目经理的职称证书/注册建造师注册证书原件是真实的，以上承诺如有不实，我方</w:t>
      </w:r>
      <w:r>
        <w:rPr>
          <w:rFonts w:hint="eastAsia" w:ascii="宋体" w:hAnsi="宋体"/>
          <w:sz w:val="24"/>
          <w:szCs w:val="20"/>
          <w:lang w:val="en-US" w:eastAsia="zh-CN"/>
        </w:rPr>
        <w:t>自愿放弃</w:t>
      </w:r>
      <w:r>
        <w:rPr>
          <w:rFonts w:hint="eastAsia" w:ascii="宋体" w:hAnsi="宋体"/>
          <w:sz w:val="24"/>
          <w:szCs w:val="20"/>
        </w:rPr>
        <w:t>投标资格，如中标本公司</w:t>
      </w:r>
      <w:r>
        <w:rPr>
          <w:rFonts w:hint="eastAsia" w:ascii="宋体" w:hAnsi="宋体"/>
          <w:sz w:val="24"/>
          <w:szCs w:val="20"/>
          <w:lang w:val="en-US" w:eastAsia="zh-CN"/>
        </w:rPr>
        <w:t>自愿放弃</w:t>
      </w:r>
      <w:r>
        <w:rPr>
          <w:rFonts w:hint="eastAsia" w:ascii="宋体" w:hAnsi="宋体"/>
          <w:sz w:val="24"/>
          <w:szCs w:val="20"/>
        </w:rPr>
        <w:t>中标资格，</w:t>
      </w:r>
      <w:r>
        <w:rPr>
          <w:rFonts w:hint="eastAsia" w:ascii="宋体" w:hAnsi="宋体"/>
          <w:sz w:val="24"/>
          <w:szCs w:val="20"/>
          <w:lang w:val="en-US" w:eastAsia="zh-CN"/>
        </w:rPr>
        <w:t>并</w:t>
      </w:r>
      <w:r>
        <w:rPr>
          <w:rFonts w:hint="eastAsia" w:ascii="宋体" w:hAnsi="宋体"/>
          <w:sz w:val="24"/>
          <w:szCs w:val="20"/>
        </w:rPr>
        <w:t>承担一切由此造成的法律后果。</w:t>
      </w:r>
    </w:p>
    <w:p>
      <w:pPr>
        <w:spacing w:before="240" w:line="360" w:lineRule="auto"/>
        <w:ind w:firstLine="480"/>
        <w:rPr>
          <w:rFonts w:ascii="宋体" w:hAnsi="宋体"/>
          <w:sz w:val="24"/>
          <w:szCs w:val="20"/>
        </w:rPr>
      </w:pPr>
      <w:r>
        <w:rPr>
          <w:rFonts w:ascii="宋体" w:hAnsi="宋体"/>
          <w:sz w:val="24"/>
          <w:szCs w:val="20"/>
        </w:rPr>
        <w:t>  </w:t>
      </w:r>
    </w:p>
    <w:p>
      <w:pPr>
        <w:spacing w:before="240" w:line="360" w:lineRule="auto"/>
        <w:ind w:right="960"/>
        <w:jc w:val="right"/>
        <w:rPr>
          <w:rFonts w:ascii="宋体" w:hAnsi="宋体"/>
          <w:sz w:val="24"/>
          <w:szCs w:val="20"/>
        </w:rPr>
      </w:pPr>
      <w:r>
        <w:rPr>
          <w:rFonts w:hint="eastAsia" w:ascii="宋体" w:hAnsi="宋体"/>
          <w:sz w:val="24"/>
          <w:szCs w:val="20"/>
        </w:rPr>
        <w:t>报价供应商：（公章）</w:t>
      </w:r>
    </w:p>
    <w:p>
      <w:pPr>
        <w:wordWrap w:val="0"/>
        <w:spacing w:before="240" w:line="360" w:lineRule="auto"/>
        <w:ind w:firstLine="480"/>
        <w:jc w:val="center"/>
        <w:rPr>
          <w:sz w:val="24"/>
          <w:szCs w:val="20"/>
        </w:rPr>
      </w:pPr>
      <w:r>
        <w:rPr>
          <w:rFonts w:hint="eastAsia" w:ascii="宋体" w:hAnsi="宋体"/>
          <w:sz w:val="24"/>
          <w:szCs w:val="20"/>
          <w:lang w:val="en-US" w:eastAsia="zh-CN"/>
        </w:rPr>
        <w:t xml:space="preserve">       </w:t>
      </w:r>
      <w:r>
        <w:rPr>
          <w:rFonts w:ascii="宋体" w:hAnsi="宋体"/>
          <w:sz w:val="24"/>
          <w:szCs w:val="20"/>
        </w:rPr>
        <w:t>法定代表人</w:t>
      </w:r>
      <w:r>
        <w:rPr>
          <w:rFonts w:hint="eastAsia" w:ascii="宋体" w:hAnsi="宋体"/>
          <w:sz w:val="24"/>
          <w:szCs w:val="20"/>
        </w:rPr>
        <w:t>或其授权代理人</w:t>
      </w:r>
      <w:r>
        <w:rPr>
          <w:rFonts w:ascii="宋体" w:hAnsi="宋体"/>
          <w:sz w:val="24"/>
          <w:szCs w:val="20"/>
        </w:rPr>
        <w:t>：   （签字</w:t>
      </w:r>
      <w:r>
        <w:rPr>
          <w:rFonts w:hint="eastAsia" w:ascii="宋体" w:hAnsi="宋体"/>
          <w:sz w:val="24"/>
          <w:szCs w:val="20"/>
        </w:rPr>
        <w:t>和盖章</w:t>
      </w:r>
      <w:r>
        <w:rPr>
          <w:rFonts w:ascii="宋体" w:hAnsi="宋体"/>
          <w:sz w:val="24"/>
          <w:szCs w:val="20"/>
        </w:rPr>
        <w:t>）</w:t>
      </w:r>
    </w:p>
    <w:p>
      <w:pPr>
        <w:spacing w:before="240" w:line="360" w:lineRule="auto"/>
        <w:ind w:right="480" w:firstLine="480"/>
        <w:jc w:val="center"/>
        <w:rPr>
          <w:rFonts w:ascii="宋体" w:hAnsi="宋体"/>
          <w:sz w:val="24"/>
          <w:szCs w:val="20"/>
        </w:rPr>
      </w:pPr>
      <w:r>
        <w:rPr>
          <w:rFonts w:hint="eastAsia" w:ascii="宋体" w:hAnsi="宋体"/>
          <w:sz w:val="24"/>
          <w:szCs w:val="20"/>
        </w:rPr>
        <w:t xml:space="preserve">                                             年    月    日</w:t>
      </w:r>
      <w:r>
        <w:rPr>
          <w:rFonts w:ascii="宋体" w:hAnsi="宋体"/>
          <w:sz w:val="24"/>
          <w:szCs w:val="20"/>
        </w:rPr>
        <w:t xml:space="preserve">   </w:t>
      </w:r>
    </w:p>
    <w:p>
      <w:pPr>
        <w:keepNext/>
        <w:jc w:val="center"/>
        <w:outlineLvl w:val="2"/>
        <w:rPr>
          <w:sz w:val="15"/>
          <w:szCs w:val="20"/>
        </w:rPr>
      </w:pPr>
      <w:r>
        <w:rPr>
          <w:sz w:val="24"/>
        </w:rPr>
        <w:br w:type="page"/>
      </w:r>
      <w:r>
        <w:rPr>
          <w:rFonts w:hint="eastAsia" w:ascii="宋体" w:hAnsi="宋体"/>
          <w:b/>
          <w:sz w:val="32"/>
          <w:szCs w:val="32"/>
        </w:rPr>
        <w:t>承诺书三(格式)</w:t>
      </w:r>
    </w:p>
    <w:p/>
    <w:p>
      <w:pPr>
        <w:spacing w:before="240" w:line="360" w:lineRule="auto"/>
        <w:rPr>
          <w:rFonts w:ascii="宋体" w:hAnsi="宋体"/>
          <w:sz w:val="24"/>
          <w:szCs w:val="20"/>
        </w:rPr>
      </w:pPr>
      <w:r>
        <w:rPr>
          <w:rFonts w:ascii="宋体" w:hAnsi="宋体"/>
          <w:sz w:val="24"/>
          <w:szCs w:val="20"/>
          <w:u w:val="single"/>
        </w:rPr>
        <w:t> </w:t>
      </w:r>
      <w:r>
        <w:rPr>
          <w:rFonts w:hint="eastAsia" w:ascii="宋体" w:hAnsi="宋体"/>
          <w:sz w:val="24"/>
          <w:szCs w:val="20"/>
          <w:u w:val="single"/>
        </w:rPr>
        <w:t xml:space="preserve">   （采购人名称）      </w:t>
      </w:r>
      <w:r>
        <w:rPr>
          <w:rFonts w:hint="eastAsia" w:ascii="宋体" w:hAnsi="宋体"/>
          <w:sz w:val="24"/>
          <w:szCs w:val="20"/>
        </w:rPr>
        <w:t>：</w:t>
      </w:r>
    </w:p>
    <w:p>
      <w:pPr>
        <w:spacing w:before="240" w:line="360" w:lineRule="auto"/>
        <w:ind w:firstLine="480"/>
        <w:rPr>
          <w:rFonts w:ascii="宋体" w:hAnsi="宋体"/>
          <w:sz w:val="24"/>
          <w:szCs w:val="20"/>
        </w:rPr>
      </w:pPr>
      <w:r>
        <w:rPr>
          <w:rFonts w:hint="eastAsia" w:ascii="宋体" w:hAnsi="宋体"/>
          <w:sz w:val="24"/>
          <w:szCs w:val="20"/>
        </w:rPr>
        <w:t>我公司承诺，在</w:t>
      </w:r>
      <w:r>
        <w:rPr>
          <w:rFonts w:hint="eastAsia" w:ascii="宋体" w:hAnsi="宋体"/>
          <w:b/>
          <w:bCs/>
          <w:sz w:val="24"/>
          <w:szCs w:val="20"/>
        </w:rPr>
        <w:t>施工过程中产生的垃圾当天产生当天清运</w:t>
      </w:r>
      <w:r>
        <w:rPr>
          <w:rFonts w:hint="eastAsia" w:ascii="宋体" w:hAnsi="宋体"/>
          <w:sz w:val="24"/>
          <w:szCs w:val="20"/>
        </w:rPr>
        <w:t>，如发现一次扣款200元，情节严重的，采购人可单方面中止合同，并且我方愿意支付合同价10%的违约金。</w:t>
      </w:r>
    </w:p>
    <w:p>
      <w:pPr>
        <w:spacing w:before="240" w:line="360" w:lineRule="auto"/>
        <w:ind w:firstLine="480"/>
        <w:rPr>
          <w:rFonts w:ascii="宋体" w:hAnsi="宋体"/>
          <w:sz w:val="24"/>
          <w:szCs w:val="20"/>
        </w:rPr>
      </w:pPr>
      <w:r>
        <w:rPr>
          <w:rFonts w:ascii="宋体" w:hAnsi="宋体"/>
          <w:sz w:val="24"/>
          <w:szCs w:val="20"/>
        </w:rPr>
        <w:t>  </w:t>
      </w:r>
    </w:p>
    <w:p>
      <w:pPr>
        <w:spacing w:before="240" w:line="360" w:lineRule="auto"/>
        <w:ind w:right="480"/>
        <w:jc w:val="right"/>
        <w:rPr>
          <w:rFonts w:ascii="宋体" w:hAnsi="宋体"/>
          <w:sz w:val="24"/>
          <w:szCs w:val="20"/>
        </w:rPr>
      </w:pPr>
      <w:r>
        <w:rPr>
          <w:rFonts w:hint="eastAsia" w:ascii="宋体" w:hAnsi="宋体"/>
          <w:sz w:val="24"/>
          <w:szCs w:val="20"/>
        </w:rPr>
        <w:t>报价供应商：（公章）</w:t>
      </w:r>
    </w:p>
    <w:p>
      <w:pPr>
        <w:wordWrap w:val="0"/>
        <w:spacing w:before="240" w:line="360" w:lineRule="auto"/>
        <w:ind w:firstLine="480"/>
        <w:jc w:val="right"/>
        <w:rPr>
          <w:sz w:val="24"/>
          <w:szCs w:val="20"/>
        </w:rPr>
      </w:pPr>
      <w:r>
        <w:rPr>
          <w:rFonts w:ascii="宋体" w:hAnsi="宋体"/>
          <w:sz w:val="24"/>
          <w:szCs w:val="20"/>
        </w:rPr>
        <w:t>法定代表人</w:t>
      </w:r>
      <w:r>
        <w:rPr>
          <w:rFonts w:hint="eastAsia" w:ascii="宋体" w:hAnsi="宋体"/>
          <w:sz w:val="24"/>
          <w:szCs w:val="20"/>
        </w:rPr>
        <w:t>或其授权代理人</w:t>
      </w:r>
      <w:r>
        <w:rPr>
          <w:rFonts w:ascii="宋体" w:hAnsi="宋体"/>
          <w:sz w:val="24"/>
          <w:szCs w:val="20"/>
        </w:rPr>
        <w:t>：   （签字</w:t>
      </w:r>
      <w:r>
        <w:rPr>
          <w:rFonts w:hint="eastAsia" w:ascii="宋体" w:hAnsi="宋体"/>
          <w:sz w:val="24"/>
          <w:szCs w:val="20"/>
        </w:rPr>
        <w:t>和盖章</w:t>
      </w:r>
      <w:r>
        <w:rPr>
          <w:rFonts w:ascii="宋体" w:hAnsi="宋体"/>
          <w:sz w:val="24"/>
          <w:szCs w:val="20"/>
        </w:rPr>
        <w:t>）</w:t>
      </w:r>
    </w:p>
    <w:p>
      <w:pPr>
        <w:spacing w:before="240" w:line="360" w:lineRule="auto"/>
        <w:ind w:right="480" w:firstLine="480"/>
        <w:jc w:val="center"/>
        <w:rPr>
          <w:rFonts w:ascii="宋体" w:hAnsi="宋体"/>
          <w:sz w:val="24"/>
          <w:szCs w:val="20"/>
        </w:rPr>
      </w:pPr>
      <w:r>
        <w:rPr>
          <w:rFonts w:hint="eastAsia" w:ascii="宋体" w:hAnsi="宋体"/>
          <w:sz w:val="24"/>
          <w:szCs w:val="20"/>
        </w:rPr>
        <w:t xml:space="preserve">                                             年    月    日</w:t>
      </w:r>
      <w:r>
        <w:rPr>
          <w:rFonts w:ascii="宋体" w:hAnsi="宋体"/>
          <w:sz w:val="24"/>
          <w:szCs w:val="20"/>
        </w:rPr>
        <w:t xml:space="preserve">   </w:t>
      </w:r>
    </w:p>
    <w:p>
      <w:pPr>
        <w:keepNext/>
        <w:jc w:val="center"/>
        <w:outlineLvl w:val="2"/>
        <w:rPr>
          <w:rFonts w:ascii="宋体" w:hAnsi="宋体"/>
          <w:b/>
          <w:sz w:val="15"/>
          <w:szCs w:val="20"/>
        </w:rPr>
      </w:pPr>
      <w:r>
        <w:rPr>
          <w:rFonts w:ascii="宋体" w:hAnsi="宋体"/>
          <w:sz w:val="24"/>
        </w:rPr>
        <w:br w:type="page"/>
      </w:r>
      <w:r>
        <w:rPr>
          <w:rFonts w:hint="eastAsia" w:ascii="宋体" w:hAnsi="宋体"/>
          <w:b/>
          <w:sz w:val="32"/>
          <w:szCs w:val="32"/>
        </w:rPr>
        <w:t>承诺书四 不拖欠农民工工资承诺书(格式)</w:t>
      </w:r>
    </w:p>
    <w:p>
      <w:pPr>
        <w:rPr>
          <w:szCs w:val="20"/>
        </w:rPr>
      </w:pPr>
    </w:p>
    <w:p>
      <w:pPr>
        <w:adjustRightInd w:val="0"/>
        <w:snapToGrid w:val="0"/>
        <w:spacing w:line="360" w:lineRule="auto"/>
        <w:rPr>
          <w:rFonts w:ascii="宋体" w:hAnsi="宋体"/>
          <w:sz w:val="24"/>
          <w:szCs w:val="20"/>
        </w:rPr>
      </w:pPr>
      <w:r>
        <w:rPr>
          <w:rFonts w:ascii="宋体" w:hAnsi="宋体"/>
          <w:sz w:val="24"/>
          <w:szCs w:val="20"/>
        </w:rPr>
        <w:t>致：</w:t>
      </w:r>
      <w:r>
        <w:rPr>
          <w:rFonts w:hint="eastAsia" w:ascii="宋体" w:hAnsi="宋体"/>
          <w:sz w:val="24"/>
          <w:szCs w:val="20"/>
          <w:u w:val="single"/>
        </w:rPr>
        <w:t xml:space="preserve">   （采购人名称）    </w:t>
      </w:r>
    </w:p>
    <w:p>
      <w:pPr>
        <w:adjustRightInd w:val="0"/>
        <w:snapToGrid w:val="0"/>
        <w:spacing w:line="360" w:lineRule="auto"/>
        <w:ind w:firstLine="513" w:firstLineChars="214"/>
        <w:rPr>
          <w:rFonts w:ascii="宋体" w:hAnsi="宋体"/>
          <w:sz w:val="24"/>
          <w:szCs w:val="20"/>
        </w:rPr>
      </w:pPr>
      <w:r>
        <w:rPr>
          <w:rFonts w:ascii="宋体" w:hAnsi="宋体"/>
          <w:sz w:val="24"/>
          <w:szCs w:val="20"/>
        </w:rPr>
        <w:t>为保护农民工的合法权益，不拖欠农民工工资，本</w:t>
      </w:r>
      <w:r>
        <w:rPr>
          <w:rFonts w:hint="eastAsia" w:ascii="宋体" w:hAnsi="宋体"/>
          <w:sz w:val="24"/>
          <w:szCs w:val="20"/>
        </w:rPr>
        <w:t>签名</w:t>
      </w:r>
      <w:r>
        <w:rPr>
          <w:rFonts w:ascii="宋体" w:hAnsi="宋体"/>
          <w:sz w:val="24"/>
          <w:szCs w:val="20"/>
        </w:rPr>
        <w:t>人郑重承诺：</w:t>
      </w:r>
    </w:p>
    <w:p>
      <w:pPr>
        <w:adjustRightInd w:val="0"/>
        <w:snapToGrid w:val="0"/>
        <w:spacing w:line="360" w:lineRule="auto"/>
        <w:ind w:firstLine="513" w:firstLineChars="214"/>
        <w:rPr>
          <w:rFonts w:ascii="宋体" w:hAnsi="宋体"/>
          <w:sz w:val="24"/>
          <w:szCs w:val="20"/>
        </w:rPr>
      </w:pPr>
      <w:r>
        <w:rPr>
          <w:rFonts w:ascii="宋体" w:hAnsi="宋体"/>
          <w:sz w:val="24"/>
          <w:szCs w:val="20"/>
        </w:rPr>
        <w:t>本企业如果中标承建</w:t>
      </w:r>
      <w:r>
        <w:rPr>
          <w:rFonts w:hint="eastAsia" w:ascii="宋体" w:hAnsi="宋体"/>
          <w:sz w:val="24"/>
          <w:szCs w:val="20"/>
          <w:u w:val="single"/>
        </w:rPr>
        <w:t xml:space="preserve">                       工程</w:t>
      </w:r>
      <w:r>
        <w:rPr>
          <w:rFonts w:ascii="宋体" w:hAnsi="宋体"/>
          <w:sz w:val="24"/>
          <w:szCs w:val="20"/>
        </w:rPr>
        <w:t>项目，需要使用农民工时，将保证做到：</w:t>
      </w:r>
    </w:p>
    <w:p>
      <w:pPr>
        <w:adjustRightInd w:val="0"/>
        <w:snapToGrid w:val="0"/>
        <w:spacing w:line="360" w:lineRule="auto"/>
        <w:ind w:firstLine="513" w:firstLineChars="214"/>
        <w:rPr>
          <w:rFonts w:ascii="宋体" w:hAnsi="宋体"/>
          <w:sz w:val="24"/>
          <w:szCs w:val="20"/>
        </w:rPr>
      </w:pPr>
      <w:r>
        <w:rPr>
          <w:rFonts w:ascii="宋体" w:hAnsi="宋体"/>
          <w:sz w:val="24"/>
          <w:szCs w:val="20"/>
        </w:rPr>
        <w:t>1、按照《劳动法》规定雇佣和使用农民工，工资将直接发放给农民工本人，严禁发放给“包工头”。</w:t>
      </w:r>
    </w:p>
    <w:p>
      <w:pPr>
        <w:adjustRightInd w:val="0"/>
        <w:snapToGrid w:val="0"/>
        <w:spacing w:line="360" w:lineRule="auto"/>
        <w:ind w:firstLine="513" w:firstLineChars="214"/>
        <w:rPr>
          <w:rFonts w:ascii="宋体" w:hAnsi="宋体"/>
          <w:sz w:val="24"/>
          <w:szCs w:val="20"/>
        </w:rPr>
      </w:pPr>
      <w:r>
        <w:rPr>
          <w:rFonts w:ascii="宋体" w:hAnsi="宋体"/>
          <w:sz w:val="24"/>
          <w:szCs w:val="20"/>
        </w:rPr>
        <w:t>2、我公司分包单位雇佣农民工的，将要求分包单位按照第1条规定签订劳动合同，并负责督促其按照合同规定及时结付农民工工资。如因我公司未按合同约定与分包单位结清工程款，致使后者拖欠农民工工资的，将由我公司先行垫付欠款。本公司对分包单位清偿欠农民工工资负总责。</w:t>
      </w:r>
    </w:p>
    <w:p>
      <w:pPr>
        <w:adjustRightInd w:val="0"/>
        <w:snapToGrid w:val="0"/>
        <w:spacing w:line="360" w:lineRule="auto"/>
        <w:ind w:firstLine="513" w:firstLineChars="214"/>
        <w:rPr>
          <w:rFonts w:ascii="宋体" w:hAnsi="宋体"/>
          <w:sz w:val="24"/>
          <w:szCs w:val="20"/>
        </w:rPr>
      </w:pPr>
      <w:r>
        <w:rPr>
          <w:rFonts w:ascii="宋体" w:hAnsi="宋体"/>
          <w:sz w:val="24"/>
          <w:szCs w:val="20"/>
        </w:rPr>
        <w:t>3、如果发生违反规定拖欠或克扣农民工工资行为，造成农民工上访，本公司愿意接受业主暂停我公司1年期间参加业主招标项目投标资格的处罚，同时愿意接受交通行政主管部门依照有关规定作出的其它处罚决定。</w:t>
      </w:r>
    </w:p>
    <w:p>
      <w:pPr>
        <w:adjustRightInd w:val="0"/>
        <w:snapToGrid w:val="0"/>
        <w:spacing w:line="360" w:lineRule="auto"/>
        <w:ind w:firstLine="513" w:firstLineChars="214"/>
        <w:rPr>
          <w:rFonts w:ascii="宋体" w:hAnsi="宋体"/>
          <w:sz w:val="24"/>
          <w:szCs w:val="20"/>
        </w:rPr>
      </w:pPr>
      <w:r>
        <w:rPr>
          <w:rFonts w:ascii="宋体" w:hAnsi="宋体"/>
          <w:sz w:val="24"/>
          <w:szCs w:val="20"/>
        </w:rPr>
        <w:t>4、本公司同意：</w:t>
      </w:r>
      <w:r>
        <w:rPr>
          <w:rFonts w:hint="eastAsia" w:ascii="宋体" w:hAnsi="宋体"/>
          <w:sz w:val="24"/>
          <w:szCs w:val="20"/>
        </w:rPr>
        <w:t>在合同执行期间由业主</w:t>
      </w:r>
      <w:r>
        <w:rPr>
          <w:rFonts w:ascii="宋体" w:hAnsi="宋体"/>
          <w:sz w:val="24"/>
          <w:szCs w:val="20"/>
        </w:rPr>
        <w:t>按</w:t>
      </w:r>
      <w:r>
        <w:rPr>
          <w:rFonts w:hint="eastAsia" w:ascii="宋体" w:hAnsi="宋体"/>
          <w:sz w:val="24"/>
          <w:szCs w:val="20"/>
        </w:rPr>
        <w:t>规定每月扣留工程计量款的1%作为农民工工资保障金：工程结束后，业主代表视承包人对农民工工资支付情况，据实结算返还剩余的保障金。</w:t>
      </w:r>
    </w:p>
    <w:p>
      <w:pPr>
        <w:adjustRightInd w:val="0"/>
        <w:snapToGrid w:val="0"/>
        <w:spacing w:line="360" w:lineRule="auto"/>
        <w:ind w:firstLine="513" w:firstLineChars="214"/>
        <w:rPr>
          <w:rFonts w:ascii="宋体" w:hAnsi="宋体"/>
          <w:sz w:val="24"/>
          <w:szCs w:val="20"/>
        </w:rPr>
      </w:pPr>
    </w:p>
    <w:p>
      <w:pPr>
        <w:spacing w:before="240" w:line="360" w:lineRule="auto"/>
        <w:ind w:right="480"/>
        <w:jc w:val="right"/>
        <w:rPr>
          <w:rFonts w:ascii="宋体" w:hAnsi="宋体"/>
          <w:sz w:val="24"/>
          <w:szCs w:val="20"/>
        </w:rPr>
      </w:pPr>
      <w:r>
        <w:rPr>
          <w:rFonts w:hint="eastAsia" w:ascii="宋体" w:hAnsi="宋体"/>
          <w:sz w:val="24"/>
          <w:szCs w:val="20"/>
        </w:rPr>
        <w:t>报价供应商：（公章）</w:t>
      </w:r>
    </w:p>
    <w:p>
      <w:pPr>
        <w:wordWrap w:val="0"/>
        <w:spacing w:before="240" w:line="360" w:lineRule="auto"/>
        <w:ind w:firstLine="480"/>
        <w:jc w:val="right"/>
        <w:rPr>
          <w:sz w:val="24"/>
          <w:szCs w:val="20"/>
        </w:rPr>
      </w:pPr>
      <w:r>
        <w:rPr>
          <w:rFonts w:ascii="宋体" w:hAnsi="宋体"/>
          <w:sz w:val="24"/>
          <w:szCs w:val="20"/>
        </w:rPr>
        <w:t>法定代表人</w:t>
      </w:r>
      <w:r>
        <w:rPr>
          <w:rFonts w:hint="eastAsia" w:ascii="宋体" w:hAnsi="宋体"/>
          <w:sz w:val="24"/>
          <w:szCs w:val="20"/>
        </w:rPr>
        <w:t>或其授权代理人</w:t>
      </w:r>
      <w:r>
        <w:rPr>
          <w:rFonts w:ascii="宋体" w:hAnsi="宋体"/>
          <w:sz w:val="24"/>
          <w:szCs w:val="20"/>
        </w:rPr>
        <w:t>：   （签字</w:t>
      </w:r>
      <w:r>
        <w:rPr>
          <w:rFonts w:hint="eastAsia" w:ascii="宋体" w:hAnsi="宋体"/>
          <w:sz w:val="24"/>
          <w:szCs w:val="20"/>
        </w:rPr>
        <w:t>和盖章</w:t>
      </w:r>
      <w:r>
        <w:rPr>
          <w:rFonts w:ascii="宋体" w:hAnsi="宋体"/>
          <w:sz w:val="24"/>
          <w:szCs w:val="20"/>
        </w:rPr>
        <w:t>）</w:t>
      </w:r>
    </w:p>
    <w:p>
      <w:pPr>
        <w:spacing w:before="240" w:line="360" w:lineRule="auto"/>
        <w:ind w:right="480" w:firstLine="480"/>
        <w:jc w:val="center"/>
        <w:rPr>
          <w:rFonts w:ascii="宋体" w:hAnsi="宋体"/>
          <w:sz w:val="24"/>
          <w:szCs w:val="20"/>
        </w:rPr>
      </w:pPr>
      <w:r>
        <w:rPr>
          <w:rFonts w:hint="eastAsia" w:ascii="宋体" w:hAnsi="宋体"/>
          <w:sz w:val="24"/>
          <w:szCs w:val="20"/>
        </w:rPr>
        <w:t xml:space="preserve">                                             年    月    日</w:t>
      </w:r>
      <w:r>
        <w:rPr>
          <w:rFonts w:ascii="宋体" w:hAnsi="宋体"/>
          <w:sz w:val="24"/>
          <w:szCs w:val="20"/>
        </w:rPr>
        <w:t xml:space="preserve">   </w:t>
      </w:r>
    </w:p>
    <w:p>
      <w:pPr>
        <w:keepNext/>
        <w:jc w:val="center"/>
        <w:outlineLvl w:val="2"/>
        <w:rPr>
          <w:rFonts w:ascii="宋体" w:hAnsi="宋体"/>
          <w:b/>
          <w:bCs/>
          <w:sz w:val="15"/>
          <w:szCs w:val="20"/>
        </w:rPr>
      </w:pPr>
      <w:r>
        <w:rPr>
          <w:rFonts w:ascii="宋体" w:hAnsi="宋体"/>
          <w:sz w:val="24"/>
        </w:rPr>
        <w:br w:type="page"/>
      </w:r>
      <w:r>
        <w:rPr>
          <w:rFonts w:hint="eastAsia" w:ascii="宋体" w:hAnsi="宋体"/>
          <w:b/>
          <w:sz w:val="32"/>
          <w:szCs w:val="32"/>
        </w:rPr>
        <w:t>承诺书五（廉洁承诺书格式）</w:t>
      </w:r>
    </w:p>
    <w:p>
      <w:pPr>
        <w:spacing w:line="520" w:lineRule="exact"/>
        <w:ind w:firstLine="480" w:firstLineChars="200"/>
        <w:rPr>
          <w:rFonts w:ascii="宋体" w:hAnsi="宋体"/>
          <w:sz w:val="24"/>
          <w:szCs w:val="20"/>
        </w:rPr>
      </w:pPr>
      <w:r>
        <w:rPr>
          <w:rFonts w:hint="eastAsia" w:ascii="宋体" w:hAnsi="宋体"/>
          <w:sz w:val="24"/>
          <w:szCs w:val="20"/>
        </w:rPr>
        <w:t>为了积极配合贵局为平台的招标工作，有效遏制不公平竞争和违规违纪问题的发生，确保招标工作的公平、公正、公开，我们保证认真贯彻《招投标法》等相关规定以及相关廉洁要求，特向贵局承诺如下事项：</w:t>
      </w:r>
    </w:p>
    <w:p>
      <w:pPr>
        <w:spacing w:line="520" w:lineRule="exact"/>
        <w:ind w:firstLine="480" w:firstLineChars="200"/>
        <w:rPr>
          <w:rFonts w:ascii="宋体" w:hAnsi="宋体"/>
          <w:sz w:val="24"/>
          <w:szCs w:val="20"/>
        </w:rPr>
      </w:pPr>
      <w:r>
        <w:rPr>
          <w:rFonts w:hint="eastAsia" w:ascii="宋体" w:hAnsi="宋体"/>
          <w:sz w:val="24"/>
          <w:szCs w:val="20"/>
        </w:rPr>
        <w:t>1、自觉遵守国家法律法规及有关廉政建设制度。</w:t>
      </w:r>
    </w:p>
    <w:p>
      <w:pPr>
        <w:spacing w:line="520" w:lineRule="exact"/>
        <w:ind w:firstLine="480" w:firstLineChars="200"/>
        <w:rPr>
          <w:rFonts w:ascii="宋体" w:hAnsi="宋体"/>
          <w:sz w:val="24"/>
          <w:szCs w:val="20"/>
        </w:rPr>
      </w:pPr>
      <w:r>
        <w:rPr>
          <w:rFonts w:hint="eastAsia" w:ascii="宋体" w:hAnsi="宋体"/>
          <w:sz w:val="24"/>
          <w:szCs w:val="20"/>
        </w:rPr>
        <w:t>2、主动了解贵局招投标纪律，积极配合贵局执行招投标廉政建设的有关规定。</w:t>
      </w:r>
    </w:p>
    <w:p>
      <w:pPr>
        <w:spacing w:line="520" w:lineRule="exact"/>
        <w:ind w:firstLine="480" w:firstLineChars="200"/>
        <w:rPr>
          <w:rFonts w:ascii="宋体" w:hAnsi="宋体"/>
          <w:sz w:val="24"/>
          <w:szCs w:val="20"/>
        </w:rPr>
      </w:pPr>
      <w:r>
        <w:rPr>
          <w:rFonts w:hint="eastAsia" w:ascii="宋体" w:hAnsi="宋体"/>
          <w:sz w:val="24"/>
          <w:szCs w:val="20"/>
        </w:rPr>
        <w:t>3、不使用不正当手段妨碍、排挤其他投标单位或串通投标。</w:t>
      </w:r>
    </w:p>
    <w:p>
      <w:pPr>
        <w:spacing w:line="520" w:lineRule="exact"/>
        <w:ind w:firstLine="480" w:firstLineChars="200"/>
        <w:rPr>
          <w:rFonts w:ascii="宋体" w:hAnsi="宋体"/>
          <w:sz w:val="24"/>
          <w:szCs w:val="20"/>
        </w:rPr>
      </w:pPr>
      <w:r>
        <w:rPr>
          <w:rFonts w:hint="eastAsia" w:ascii="宋体" w:hAnsi="宋体"/>
          <w:sz w:val="24"/>
          <w:szCs w:val="20"/>
        </w:rPr>
        <w:t>4、按照磋商文件规定的方式进行投标，不隐瞒本单位投标资质的真实情况，投标资质符合规定。</w:t>
      </w:r>
    </w:p>
    <w:p>
      <w:pPr>
        <w:spacing w:line="520" w:lineRule="exact"/>
        <w:ind w:firstLine="480" w:firstLineChars="200"/>
        <w:rPr>
          <w:rFonts w:ascii="宋体" w:hAnsi="宋体"/>
          <w:sz w:val="24"/>
          <w:szCs w:val="20"/>
        </w:rPr>
      </w:pPr>
      <w:r>
        <w:rPr>
          <w:rFonts w:hint="eastAsia" w:ascii="宋体" w:hAnsi="宋体"/>
          <w:sz w:val="24"/>
          <w:szCs w:val="20"/>
        </w:rPr>
        <w:t>5、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spacing w:line="520" w:lineRule="exact"/>
        <w:ind w:firstLine="480" w:firstLineChars="200"/>
        <w:rPr>
          <w:rFonts w:ascii="宋体" w:hAnsi="宋体"/>
          <w:sz w:val="24"/>
          <w:szCs w:val="20"/>
        </w:rPr>
      </w:pPr>
      <w:r>
        <w:rPr>
          <w:rFonts w:hint="eastAsia" w:ascii="宋体" w:hAnsi="宋体"/>
          <w:sz w:val="24"/>
          <w:szCs w:val="20"/>
        </w:rPr>
        <w:t>6、不向设计招标的单位及个人购置或提供通讯工具、交通工具和高档办公用品等。</w:t>
      </w:r>
    </w:p>
    <w:p>
      <w:pPr>
        <w:spacing w:line="520" w:lineRule="exact"/>
        <w:ind w:firstLine="480" w:firstLineChars="200"/>
        <w:rPr>
          <w:rFonts w:ascii="宋体" w:hAnsi="宋体"/>
          <w:sz w:val="24"/>
          <w:szCs w:val="20"/>
        </w:rPr>
      </w:pPr>
      <w:r>
        <w:rPr>
          <w:rFonts w:hint="eastAsia" w:ascii="宋体" w:hAnsi="宋体"/>
          <w:sz w:val="24"/>
          <w:szCs w:val="20"/>
        </w:rPr>
        <w:t>7、不向涉及招标的单位及个人的配偶、子女、亲属分包此次招标项目。</w:t>
      </w:r>
    </w:p>
    <w:p>
      <w:pPr>
        <w:spacing w:line="520" w:lineRule="exact"/>
        <w:ind w:firstLine="480" w:firstLineChars="200"/>
        <w:rPr>
          <w:rFonts w:ascii="宋体" w:hAnsi="宋体"/>
          <w:sz w:val="24"/>
          <w:szCs w:val="20"/>
        </w:rPr>
      </w:pPr>
      <w:r>
        <w:rPr>
          <w:rFonts w:hint="eastAsia" w:ascii="宋体" w:hAnsi="宋体"/>
          <w:sz w:val="24"/>
          <w:szCs w:val="20"/>
        </w:rPr>
        <w:t>8、不向涉及招标的单位及个人支付好处费、介绍费。</w:t>
      </w:r>
    </w:p>
    <w:p>
      <w:pPr>
        <w:spacing w:line="520" w:lineRule="exact"/>
        <w:ind w:firstLine="480" w:firstLineChars="200"/>
        <w:rPr>
          <w:rFonts w:ascii="宋体" w:hAnsi="宋体"/>
          <w:sz w:val="24"/>
          <w:szCs w:val="20"/>
        </w:rPr>
      </w:pPr>
      <w:r>
        <w:rPr>
          <w:rFonts w:hint="eastAsia" w:ascii="宋体" w:hAnsi="宋体"/>
          <w:sz w:val="24"/>
          <w:szCs w:val="20"/>
        </w:rPr>
        <w:t>9、一旦发现相关人员在招标过程中有索要财物等不廉洁行为，坚决予以抵制，并及时向贵局纪检监察室举报。</w:t>
      </w:r>
    </w:p>
    <w:p>
      <w:pPr>
        <w:spacing w:line="520" w:lineRule="exact"/>
        <w:ind w:firstLine="480" w:firstLineChars="200"/>
        <w:rPr>
          <w:rFonts w:ascii="宋体" w:hAnsi="宋体"/>
          <w:sz w:val="24"/>
          <w:szCs w:val="20"/>
        </w:rPr>
      </w:pPr>
      <w:r>
        <w:rPr>
          <w:rFonts w:hint="eastAsia" w:ascii="宋体" w:hAnsi="宋体"/>
          <w:sz w:val="24"/>
          <w:szCs w:val="20"/>
        </w:rPr>
        <w:t>我们若违反上述承诺，</w:t>
      </w:r>
      <w:r>
        <w:rPr>
          <w:rFonts w:hint="eastAsia" w:ascii="宋体" w:hAnsi="宋体"/>
          <w:sz w:val="24"/>
          <w:szCs w:val="20"/>
          <w:lang w:val="en-US" w:eastAsia="zh-CN"/>
        </w:rPr>
        <w:t>我方自愿取消</w:t>
      </w:r>
      <w:r>
        <w:rPr>
          <w:rFonts w:hint="eastAsia" w:ascii="宋体" w:hAnsi="宋体"/>
          <w:sz w:val="24"/>
          <w:szCs w:val="20"/>
        </w:rPr>
        <w:t>投标资格</w:t>
      </w:r>
      <w:r>
        <w:rPr>
          <w:rFonts w:hint="eastAsia" w:ascii="宋体" w:hAnsi="宋体"/>
          <w:sz w:val="24"/>
          <w:szCs w:val="20"/>
          <w:lang w:val="en-US" w:eastAsia="zh-CN"/>
        </w:rPr>
        <w:t>并接受</w:t>
      </w:r>
      <w:r>
        <w:rPr>
          <w:rFonts w:hint="eastAsia" w:ascii="宋体" w:hAnsi="宋体"/>
          <w:sz w:val="24"/>
          <w:szCs w:val="20"/>
        </w:rPr>
        <w:t>其他任何形式的处理。</w:t>
      </w:r>
    </w:p>
    <w:p>
      <w:pPr>
        <w:spacing w:before="240" w:line="360" w:lineRule="auto"/>
        <w:ind w:right="480" w:firstLine="2760" w:firstLineChars="1150"/>
        <w:jc w:val="right"/>
        <w:rPr>
          <w:rFonts w:ascii="宋体" w:hAnsi="宋体"/>
          <w:sz w:val="24"/>
          <w:szCs w:val="20"/>
        </w:rPr>
      </w:pPr>
      <w:r>
        <w:rPr>
          <w:rFonts w:hint="eastAsia" w:ascii="宋体" w:hAnsi="宋体"/>
          <w:sz w:val="24"/>
          <w:szCs w:val="20"/>
        </w:rPr>
        <w:t>报价供应商：（公章）</w:t>
      </w:r>
    </w:p>
    <w:p>
      <w:pPr>
        <w:wordWrap w:val="0"/>
        <w:spacing w:before="240" w:line="360" w:lineRule="auto"/>
        <w:ind w:firstLine="480"/>
        <w:jc w:val="right"/>
        <w:rPr>
          <w:sz w:val="24"/>
          <w:szCs w:val="20"/>
        </w:rPr>
      </w:pPr>
      <w:r>
        <w:rPr>
          <w:rFonts w:ascii="宋体" w:hAnsi="宋体"/>
          <w:sz w:val="24"/>
          <w:szCs w:val="20"/>
        </w:rPr>
        <w:t>法定代表人</w:t>
      </w:r>
      <w:r>
        <w:rPr>
          <w:rFonts w:hint="eastAsia" w:ascii="宋体" w:hAnsi="宋体"/>
          <w:sz w:val="24"/>
          <w:szCs w:val="20"/>
        </w:rPr>
        <w:t>或其授权代理人</w:t>
      </w:r>
      <w:r>
        <w:rPr>
          <w:rFonts w:ascii="宋体" w:hAnsi="宋体"/>
          <w:sz w:val="24"/>
          <w:szCs w:val="20"/>
        </w:rPr>
        <w:t>：   （签字</w:t>
      </w:r>
      <w:r>
        <w:rPr>
          <w:rFonts w:hint="eastAsia" w:ascii="宋体" w:hAnsi="宋体"/>
          <w:sz w:val="24"/>
          <w:szCs w:val="20"/>
        </w:rPr>
        <w:t>和盖章</w:t>
      </w:r>
      <w:r>
        <w:rPr>
          <w:rFonts w:ascii="宋体" w:hAnsi="宋体"/>
          <w:sz w:val="24"/>
          <w:szCs w:val="20"/>
        </w:rPr>
        <w:t>）</w:t>
      </w:r>
    </w:p>
    <w:p/>
    <w:p>
      <w:pPr>
        <w:rPr>
          <w:rFonts w:ascii="黑体" w:eastAsia="黑体"/>
          <w:bCs/>
          <w:sz w:val="28"/>
          <w:szCs w:val="28"/>
        </w:rPr>
      </w:pPr>
      <w:r>
        <w:rPr>
          <w:rFonts w:hint="eastAsia" w:ascii="宋体" w:hAnsi="宋体"/>
          <w:sz w:val="24"/>
          <w:szCs w:val="20"/>
        </w:rPr>
        <w:t xml:space="preserve">                                             年    月    日</w:t>
      </w:r>
      <w:r>
        <w:rPr>
          <w:rFonts w:ascii="宋体" w:hAnsi="宋体"/>
          <w:sz w:val="24"/>
          <w:szCs w:val="20"/>
        </w:rPr>
        <w:t> </w:t>
      </w:r>
    </w:p>
    <w:p/>
    <w:p/>
    <w:p>
      <w:pPr>
        <w:keepNext/>
        <w:jc w:val="center"/>
        <w:outlineLvl w:val="2"/>
        <w:rPr>
          <w:rFonts w:ascii="宋体" w:hAnsi="宋体" w:cs="宋体"/>
          <w:b/>
          <w:sz w:val="28"/>
          <w:szCs w:val="22"/>
        </w:rPr>
      </w:pPr>
      <w:r>
        <w:rPr>
          <w:rFonts w:hint="eastAsia" w:ascii="宋体" w:hAnsi="宋体" w:cs="宋体"/>
          <w:b/>
          <w:sz w:val="28"/>
          <w:szCs w:val="22"/>
        </w:rPr>
        <w:t>承诺书六</w:t>
      </w:r>
    </w:p>
    <w:p>
      <w:pPr>
        <w:rPr>
          <w:rFonts w:ascii="宋体" w:hAnsi="宋体"/>
          <w:sz w:val="24"/>
        </w:rPr>
      </w:pPr>
    </w:p>
    <w:p>
      <w:pPr>
        <w:rPr>
          <w:rFonts w:ascii="宋体" w:hAnsi="宋体"/>
          <w:sz w:val="24"/>
          <w:u w:val="single"/>
        </w:rPr>
      </w:pPr>
      <w:r>
        <w:rPr>
          <w:rFonts w:hint="eastAsia" w:ascii="宋体" w:hAnsi="宋体"/>
          <w:sz w:val="24"/>
        </w:rPr>
        <w:t>（采购人名称）：</w:t>
      </w:r>
    </w:p>
    <w:p>
      <w:pPr>
        <w:rPr>
          <w:rFonts w:ascii="宋体" w:hAnsi="宋体"/>
          <w:sz w:val="24"/>
          <w:u w:val="single"/>
        </w:rPr>
      </w:pPr>
    </w:p>
    <w:p>
      <w:pPr>
        <w:adjustRightInd w:val="0"/>
        <w:snapToGrid w:val="0"/>
        <w:spacing w:line="560" w:lineRule="exact"/>
        <w:ind w:firstLine="480" w:firstLineChars="200"/>
        <w:rPr>
          <w:rFonts w:ascii="宋体" w:hAnsi="宋体"/>
          <w:sz w:val="24"/>
        </w:rPr>
      </w:pPr>
      <w:r>
        <w:rPr>
          <w:rFonts w:hint="eastAsia" w:ascii="宋体" w:hAnsi="宋体"/>
          <w:sz w:val="24"/>
        </w:rPr>
        <w:t>我公司理解并支持公司，关于______________（项目名称）标段（以下简称“本工程”）加强监管的初衷和做法。郑重承诺：在本工程中标后，严格执行采购人关于质量、安全、文明施工、进度工期、工程款支付、结算审计等规章制度。不更换投标项目经理且项目组成员悉数到场参与项目管理。不违法转包、分包。如若在本工程建设过程中，有违反上述的情况或被行政主管部门通报的，则立即清退出场。工程完工后，如若因质量、工期、文明施工方面的问题被主管部门督办或举报、投诉，则接受罚款、暂缓支付工程款等处罚，并承担一切因上述引发的后果。</w:t>
      </w:r>
    </w:p>
    <w:p>
      <w:pPr>
        <w:ind w:firstLine="420"/>
        <w:rPr>
          <w:rFonts w:ascii="宋体" w:hAnsi="宋体"/>
          <w:sz w:val="24"/>
        </w:rPr>
      </w:pPr>
    </w:p>
    <w:p>
      <w:pPr>
        <w:ind w:firstLine="420"/>
        <w:rPr>
          <w:rFonts w:ascii="宋体" w:hAnsi="宋体"/>
          <w:sz w:val="24"/>
        </w:rPr>
      </w:pPr>
      <w:r>
        <w:rPr>
          <w:rFonts w:hint="eastAsia" w:ascii="宋体" w:hAnsi="宋体"/>
          <w:sz w:val="24"/>
        </w:rPr>
        <w:t>特此承诺</w:t>
      </w:r>
      <w:r>
        <w:rPr>
          <w:rFonts w:hint="eastAsia" w:hAnsi="宋体"/>
          <w:sz w:val="24"/>
        </w:rPr>
        <w:t>。</w:t>
      </w:r>
    </w:p>
    <w:p>
      <w:pPr>
        <w:ind w:firstLine="420"/>
        <w:rPr>
          <w:rFonts w:ascii="宋体" w:hAnsi="宋体"/>
          <w:sz w:val="24"/>
        </w:rPr>
      </w:pPr>
    </w:p>
    <w:p>
      <w:pPr>
        <w:rPr>
          <w:rFonts w:ascii="宋体" w:hAnsi="宋体"/>
          <w:sz w:val="24"/>
        </w:rPr>
      </w:pPr>
    </w:p>
    <w:p>
      <w:pPr>
        <w:wordWrap w:val="0"/>
        <w:spacing w:line="360" w:lineRule="auto"/>
        <w:ind w:firstLine="420"/>
        <w:jc w:val="right"/>
        <w:rPr>
          <w:rFonts w:ascii="宋体" w:hAnsi="宋体"/>
          <w:sz w:val="24"/>
        </w:rPr>
      </w:pPr>
      <w:r>
        <w:rPr>
          <w:rFonts w:hint="eastAsia" w:ascii="宋体" w:hAnsi="宋体"/>
          <w:sz w:val="24"/>
        </w:rPr>
        <w:t>申请人：（盖单位章）</w:t>
      </w:r>
    </w:p>
    <w:p>
      <w:pPr>
        <w:wordWrap w:val="0"/>
        <w:spacing w:line="360" w:lineRule="auto"/>
        <w:ind w:firstLine="420"/>
        <w:jc w:val="right"/>
        <w:rPr>
          <w:rFonts w:ascii="宋体" w:hAnsi="宋体"/>
          <w:sz w:val="24"/>
        </w:rPr>
      </w:pPr>
      <w:r>
        <w:rPr>
          <w:rFonts w:hint="eastAsia" w:ascii="宋体" w:hAnsi="宋体"/>
          <w:sz w:val="24"/>
        </w:rPr>
        <w:t>法定代表人或其委托代理人：（签字）</w:t>
      </w:r>
    </w:p>
    <w:p>
      <w:pPr>
        <w:pStyle w:val="9"/>
        <w:spacing w:line="360" w:lineRule="auto"/>
        <w:ind w:left="0" w:right="34"/>
        <w:jc w:val="right"/>
        <w:rPr>
          <w:rFonts w:ascii="宋体" w:hAnsi="宋体"/>
          <w:szCs w:val="24"/>
        </w:rPr>
      </w:pPr>
      <w:r>
        <w:rPr>
          <w:rFonts w:hint="eastAsia" w:ascii="宋体" w:hAnsi="宋体"/>
          <w:szCs w:val="24"/>
        </w:rPr>
        <w:t>年      月</w:t>
      </w:r>
    </w:p>
    <w:p/>
    <w:p>
      <w:pPr>
        <w:jc w:val="center"/>
        <w:outlineLvl w:val="0"/>
        <w:rPr>
          <w:rFonts w:ascii="宋体" w:hAnsi="宋体" w:cs="宋体"/>
          <w:b/>
          <w:sz w:val="30"/>
          <w:szCs w:val="30"/>
        </w:rPr>
      </w:pPr>
      <w:r>
        <w:rPr>
          <w:rFonts w:hint="eastAsia" w:ascii="宋体" w:hAnsi="宋体" w:cs="宋体"/>
          <w:bCs/>
          <w:sz w:val="24"/>
        </w:rPr>
        <w:br w:type="page"/>
      </w:r>
      <w:r>
        <w:rPr>
          <w:rFonts w:hint="eastAsia" w:ascii="宋体" w:hAnsi="宋体" w:cs="宋体"/>
          <w:b/>
          <w:sz w:val="30"/>
          <w:szCs w:val="30"/>
        </w:rPr>
        <w:t>（</w:t>
      </w:r>
      <w:r>
        <w:rPr>
          <w:rFonts w:hint="eastAsia" w:ascii="宋体" w:hAnsi="宋体" w:cs="宋体"/>
          <w:b/>
          <w:sz w:val="30"/>
          <w:szCs w:val="30"/>
          <w:lang w:val="en-US" w:eastAsia="zh-CN"/>
        </w:rPr>
        <w:t>六</w:t>
      </w:r>
      <w:r>
        <w:rPr>
          <w:rFonts w:hint="eastAsia" w:ascii="宋体" w:hAnsi="宋体" w:cs="宋体"/>
          <w:b/>
          <w:sz w:val="30"/>
          <w:szCs w:val="30"/>
        </w:rPr>
        <w:t>）报价一览表（格式）</w:t>
      </w:r>
    </w:p>
    <w:p>
      <w:pPr>
        <w:adjustRightInd w:val="0"/>
        <w:snapToGrid w:val="0"/>
        <w:spacing w:line="300" w:lineRule="auto"/>
        <w:jc w:val="center"/>
        <w:rPr>
          <w:rFonts w:ascii="宋体" w:hAnsi="宋体" w:cs="宋体"/>
          <w:b/>
          <w:bCs/>
          <w:sz w:val="36"/>
          <w:szCs w:val="36"/>
        </w:rPr>
      </w:pPr>
    </w:p>
    <w:p>
      <w:pPr>
        <w:adjustRightInd w:val="0"/>
        <w:snapToGrid w:val="0"/>
        <w:spacing w:line="300" w:lineRule="auto"/>
        <w:rPr>
          <w:rFonts w:ascii="宋体" w:hAnsi="宋体" w:cs="宋体"/>
        </w:rPr>
      </w:pPr>
      <w:r>
        <w:rPr>
          <w:rFonts w:hint="eastAsia" w:ascii="宋体" w:hAnsi="宋体" w:cs="宋体"/>
          <w:sz w:val="24"/>
        </w:rPr>
        <w:t>报价供应商全称（加盖公章）：                   采购编号：</w:t>
      </w:r>
    </w:p>
    <w:tbl>
      <w:tblPr>
        <w:tblStyle w:val="13"/>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2338" w:type="dxa"/>
            <w:vAlign w:val="center"/>
          </w:tcPr>
          <w:p>
            <w:pPr>
              <w:pStyle w:val="2"/>
              <w:snapToGrid w:val="0"/>
              <w:spacing w:line="300" w:lineRule="auto"/>
              <w:jc w:val="center"/>
              <w:rPr>
                <w:rFonts w:ascii="宋体" w:hAnsi="宋体" w:eastAsia="宋体" w:cs="宋体"/>
                <w:sz w:val="24"/>
              </w:rPr>
            </w:pPr>
            <w:r>
              <w:rPr>
                <w:rFonts w:hint="eastAsia" w:ascii="宋体" w:hAnsi="宋体" w:eastAsia="宋体" w:cs="宋体"/>
                <w:sz w:val="24"/>
              </w:rPr>
              <w:t>项目总报价</w:t>
            </w:r>
          </w:p>
          <w:p>
            <w:pPr>
              <w:pStyle w:val="2"/>
              <w:snapToGrid w:val="0"/>
              <w:spacing w:line="300" w:lineRule="auto"/>
              <w:jc w:val="center"/>
              <w:rPr>
                <w:rFonts w:ascii="宋体" w:hAnsi="宋体" w:eastAsia="宋体" w:cs="宋体"/>
                <w:sz w:val="24"/>
              </w:rPr>
            </w:pPr>
            <w:r>
              <w:rPr>
                <w:rFonts w:hint="eastAsia" w:ascii="宋体" w:hAnsi="宋体" w:eastAsia="宋体" w:cs="宋体"/>
                <w:sz w:val="24"/>
              </w:rPr>
              <w:t>（人民币）</w:t>
            </w:r>
          </w:p>
        </w:tc>
        <w:tc>
          <w:tcPr>
            <w:tcW w:w="6613" w:type="dxa"/>
            <w:vAlign w:val="center"/>
          </w:tcPr>
          <w:p>
            <w:pPr>
              <w:pStyle w:val="2"/>
              <w:snapToGrid w:val="0"/>
              <w:spacing w:line="300" w:lineRule="auto"/>
              <w:rPr>
                <w:rFonts w:ascii="宋体" w:hAnsi="宋体" w:eastAsia="宋体" w:cs="宋体"/>
                <w:sz w:val="24"/>
              </w:rPr>
            </w:pPr>
            <w:r>
              <w:rPr>
                <w:rFonts w:hint="eastAsia" w:ascii="宋体" w:hAnsi="宋体" w:eastAsia="宋体" w:cs="宋体"/>
                <w:sz w:val="24"/>
              </w:rPr>
              <w:t>大写：</w:t>
            </w:r>
          </w:p>
          <w:p>
            <w:pPr>
              <w:pStyle w:val="2"/>
              <w:snapToGrid w:val="0"/>
              <w:spacing w:line="300" w:lineRule="auto"/>
              <w:rPr>
                <w:rFonts w:ascii="宋体" w:hAnsi="宋体" w:eastAsia="宋体" w:cs="宋体"/>
                <w:sz w:val="24"/>
              </w:rPr>
            </w:pPr>
            <w:r>
              <w:rPr>
                <w:rFonts w:hint="eastAsia" w:ascii="宋体" w:hAnsi="宋体" w:eastAsia="宋体" w:cs="宋体"/>
                <w:sz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338" w:type="dxa"/>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工期</w:t>
            </w:r>
          </w:p>
        </w:tc>
        <w:tc>
          <w:tcPr>
            <w:tcW w:w="6613" w:type="dxa"/>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338" w:type="dxa"/>
            <w:vAlign w:val="center"/>
          </w:tcPr>
          <w:p>
            <w:pPr>
              <w:adjustRightInd w:val="0"/>
              <w:snapToGrid w:val="0"/>
              <w:spacing w:line="300" w:lineRule="auto"/>
              <w:jc w:val="center"/>
              <w:rPr>
                <w:rFonts w:hint="eastAsia" w:ascii="宋体" w:hAnsi="宋体" w:cs="宋体"/>
                <w:sz w:val="24"/>
                <w:szCs w:val="28"/>
              </w:rPr>
            </w:pPr>
            <w:r>
              <w:rPr>
                <w:rFonts w:hint="eastAsia" w:ascii="宋体" w:hAnsi="宋体" w:cs="宋体"/>
                <w:color w:val="auto"/>
                <w:sz w:val="24"/>
                <w:szCs w:val="28"/>
                <w:highlight w:val="none"/>
                <w:lang w:val="en-US" w:eastAsia="zh-CN"/>
              </w:rPr>
              <w:t>误期违约金</w:t>
            </w:r>
          </w:p>
        </w:tc>
        <w:tc>
          <w:tcPr>
            <w:tcW w:w="6613" w:type="dxa"/>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338" w:type="dxa"/>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质量标准</w:t>
            </w:r>
          </w:p>
        </w:tc>
        <w:tc>
          <w:tcPr>
            <w:tcW w:w="6613" w:type="dxa"/>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338" w:type="dxa"/>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质量违约金</w:t>
            </w:r>
          </w:p>
        </w:tc>
        <w:tc>
          <w:tcPr>
            <w:tcW w:w="6613" w:type="dxa"/>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338" w:type="dxa"/>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项目负责人</w:t>
            </w:r>
          </w:p>
        </w:tc>
        <w:tc>
          <w:tcPr>
            <w:tcW w:w="6613" w:type="dxa"/>
            <w:vAlign w:val="center"/>
          </w:tcPr>
          <w:p>
            <w:pPr>
              <w:adjustRightInd w:val="0"/>
              <w:snapToGrid w:val="0"/>
              <w:spacing w:line="300" w:lineRule="auto"/>
              <w:rPr>
                <w:rFonts w:ascii="宋体" w:hAnsi="宋体" w:cs="宋体"/>
                <w:sz w:val="24"/>
                <w:szCs w:val="28"/>
              </w:rPr>
            </w:pPr>
          </w:p>
        </w:tc>
      </w:tr>
    </w:tbl>
    <w:p>
      <w:pPr>
        <w:adjustRightInd w:val="0"/>
        <w:snapToGrid w:val="0"/>
        <w:spacing w:line="300" w:lineRule="auto"/>
        <w:rPr>
          <w:rFonts w:ascii="宋体" w:hAnsi="宋体" w:cs="宋体"/>
          <w:sz w:val="24"/>
          <w:szCs w:val="28"/>
        </w:rPr>
      </w:pPr>
    </w:p>
    <w:p>
      <w:pPr>
        <w:overflowPunct w:val="0"/>
        <w:spacing w:line="360" w:lineRule="auto"/>
        <w:rPr>
          <w:rFonts w:ascii="宋体" w:hAnsi="宋体" w:cs="宋体"/>
          <w:sz w:val="24"/>
        </w:rPr>
      </w:pPr>
      <w:r>
        <w:rPr>
          <w:rFonts w:hint="eastAsia" w:ascii="宋体" w:hAnsi="宋体" w:cs="宋体"/>
          <w:sz w:val="24"/>
        </w:rPr>
        <w:t>法定代表人或授权代表签字</w:t>
      </w:r>
      <w:r>
        <w:rPr>
          <w:rFonts w:hint="eastAsia" w:ascii="宋体" w:hAnsi="宋体" w:cs="宋体"/>
          <w:sz w:val="24"/>
          <w:lang w:val="en-US" w:eastAsia="zh-CN"/>
        </w:rPr>
        <w:t>或盖章</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日期：   年   月   日</w:t>
      </w:r>
    </w:p>
    <w:p>
      <w:pPr>
        <w:overflowPunct w:val="0"/>
        <w:spacing w:line="360" w:lineRule="auto"/>
        <w:rPr>
          <w:rFonts w:ascii="宋体" w:hAnsi="宋体" w:cs="宋体"/>
          <w:sz w:val="24"/>
        </w:rPr>
      </w:pPr>
      <w:r>
        <w:rPr>
          <w:rFonts w:hint="eastAsia" w:ascii="宋体" w:hAnsi="宋体" w:cs="宋体"/>
          <w:sz w:val="24"/>
        </w:rPr>
        <w:t>填写说明：</w:t>
      </w:r>
    </w:p>
    <w:p>
      <w:pPr>
        <w:spacing w:line="500" w:lineRule="exact"/>
        <w:ind w:firstLine="482" w:firstLineChars="200"/>
        <w:rPr>
          <w:rFonts w:ascii="宋体" w:hAnsi="宋体" w:cs="宋体"/>
          <w:b/>
          <w:sz w:val="24"/>
        </w:rPr>
      </w:pPr>
      <w:r>
        <w:rPr>
          <w:rFonts w:hint="eastAsia" w:ascii="宋体" w:hAnsi="宋体" w:cs="宋体"/>
          <w:b/>
          <w:sz w:val="24"/>
        </w:rPr>
        <w:t>报价一览表中的内容应与响应函内容一致，否则评标时一律按报价一览表中内容为准，报价一览表中必须盖章或签字。</w:t>
      </w:r>
    </w:p>
    <w:p>
      <w:pPr>
        <w:widowControl/>
        <w:topLinePunct/>
        <w:spacing w:before="4" w:line="360" w:lineRule="auto"/>
        <w:ind w:left="5280" w:hanging="5280" w:hangingChars="2200"/>
        <w:rPr>
          <w:rFonts w:ascii="宋体" w:hAnsi="宋体" w:cs="宋体"/>
          <w:sz w:val="24"/>
        </w:rPr>
      </w:pPr>
    </w:p>
    <w:p>
      <w:pPr>
        <w:widowControl/>
        <w:topLinePunct/>
        <w:spacing w:before="4" w:line="360" w:lineRule="auto"/>
        <w:ind w:left="5280" w:hanging="5280" w:hangingChars="2200"/>
        <w:rPr>
          <w:rFonts w:ascii="宋体" w:hAnsi="宋体" w:cs="宋体"/>
          <w:sz w:val="24"/>
        </w:rPr>
      </w:pPr>
    </w:p>
    <w:p>
      <w:pPr>
        <w:tabs>
          <w:tab w:val="left" w:pos="200"/>
        </w:tabs>
        <w:topLinePunct/>
        <w:snapToGrid w:val="0"/>
        <w:spacing w:line="360" w:lineRule="auto"/>
        <w:ind w:firstLine="240" w:firstLineChars="100"/>
        <w:rPr>
          <w:rFonts w:ascii="宋体" w:hAnsi="宋体" w:cs="宋体"/>
          <w:sz w:val="24"/>
        </w:rPr>
      </w:pPr>
    </w:p>
    <w:p>
      <w:pPr>
        <w:tabs>
          <w:tab w:val="left" w:pos="200"/>
        </w:tabs>
        <w:topLinePunct/>
        <w:snapToGrid w:val="0"/>
        <w:spacing w:line="360" w:lineRule="auto"/>
        <w:ind w:firstLine="240" w:firstLineChars="100"/>
        <w:rPr>
          <w:rFonts w:ascii="宋体" w:hAnsi="宋体" w:cs="宋体"/>
          <w:sz w:val="24"/>
        </w:rPr>
      </w:pPr>
    </w:p>
    <w:p>
      <w:pPr>
        <w:tabs>
          <w:tab w:val="left" w:pos="200"/>
        </w:tabs>
        <w:topLinePunct/>
        <w:snapToGrid w:val="0"/>
        <w:spacing w:line="360" w:lineRule="auto"/>
        <w:ind w:firstLine="240" w:firstLineChars="100"/>
        <w:rPr>
          <w:rFonts w:ascii="宋体" w:hAnsi="宋体" w:cs="宋体"/>
          <w:sz w:val="24"/>
        </w:rPr>
      </w:pPr>
    </w:p>
    <w:p>
      <w:pPr>
        <w:tabs>
          <w:tab w:val="left" w:pos="200"/>
        </w:tabs>
        <w:topLinePunct/>
        <w:snapToGrid w:val="0"/>
        <w:spacing w:line="360" w:lineRule="auto"/>
        <w:ind w:firstLine="240" w:firstLineChars="100"/>
        <w:rPr>
          <w:rFonts w:ascii="宋体" w:hAnsi="宋体" w:cs="宋体"/>
          <w:sz w:val="24"/>
        </w:rPr>
      </w:pPr>
    </w:p>
    <w:p/>
    <w:p/>
    <w:p>
      <w:pPr>
        <w:widowControl/>
        <w:jc w:val="left"/>
        <w:rPr>
          <w:rFonts w:ascii="宋体" w:hAnsi="宋体" w:cs="宋体"/>
          <w:b/>
          <w:sz w:val="30"/>
          <w:szCs w:val="30"/>
        </w:rPr>
      </w:pPr>
      <w:r>
        <w:rPr>
          <w:rFonts w:ascii="宋体" w:hAnsi="宋体" w:cs="宋体"/>
          <w:b/>
          <w:sz w:val="30"/>
          <w:szCs w:val="30"/>
        </w:rPr>
        <w:br w:type="page"/>
      </w:r>
    </w:p>
    <w:p>
      <w:pPr>
        <w:jc w:val="center"/>
        <w:outlineLvl w:val="0"/>
        <w:rPr>
          <w:rFonts w:ascii="宋体" w:hAnsi="宋体" w:cs="宋体"/>
          <w:b/>
          <w:sz w:val="30"/>
          <w:szCs w:val="30"/>
        </w:rPr>
      </w:pPr>
      <w:r>
        <w:rPr>
          <w:rFonts w:hint="eastAsia" w:ascii="宋体" w:hAnsi="宋体" w:cs="宋体"/>
          <w:b/>
          <w:sz w:val="30"/>
          <w:szCs w:val="30"/>
        </w:rPr>
        <w:t>（</w:t>
      </w:r>
      <w:r>
        <w:rPr>
          <w:rFonts w:hint="eastAsia" w:ascii="宋体" w:hAnsi="宋体" w:cs="宋体"/>
          <w:b/>
          <w:sz w:val="30"/>
          <w:szCs w:val="30"/>
          <w:lang w:val="en-US" w:eastAsia="zh-CN"/>
        </w:rPr>
        <w:t>七</w:t>
      </w:r>
      <w:r>
        <w:rPr>
          <w:rFonts w:hint="eastAsia" w:ascii="宋体" w:hAnsi="宋体" w:cs="宋体"/>
          <w:b/>
          <w:sz w:val="30"/>
          <w:szCs w:val="30"/>
        </w:rPr>
        <w:t>）实施项目管理机构配备情况：</w:t>
      </w:r>
    </w:p>
    <w:p/>
    <w:p>
      <w:pPr>
        <w:keepNext/>
        <w:jc w:val="center"/>
        <w:outlineLvl w:val="2"/>
        <w:rPr>
          <w:rFonts w:hAnsi="宋体" w:eastAsia="楷体_GB2312"/>
          <w:bCs/>
          <w:sz w:val="24"/>
        </w:rPr>
      </w:pPr>
      <w:r>
        <w:rPr>
          <w:rFonts w:hint="eastAsia" w:hAnsi="宋体" w:eastAsia="楷体_GB2312"/>
          <w:bCs/>
          <w:sz w:val="24"/>
        </w:rPr>
        <w:t>（1）项目管理机构配备情况表</w:t>
      </w:r>
    </w:p>
    <w:p>
      <w:pPr>
        <w:spacing w:after="120" w:line="360" w:lineRule="auto"/>
        <w:ind w:firstLine="480" w:firstLineChars="200"/>
        <w:rPr>
          <w:rFonts w:ascii="宋体" w:hAnsi="宋体"/>
          <w:sz w:val="24"/>
          <w:szCs w:val="20"/>
        </w:rPr>
      </w:pPr>
      <w:r>
        <w:rPr>
          <w:rFonts w:hint="eastAsia" w:ascii="宋体" w:hAnsi="宋体"/>
          <w:sz w:val="24"/>
          <w:szCs w:val="20"/>
        </w:rPr>
        <w:t>项目</w:t>
      </w:r>
      <w:r>
        <w:rPr>
          <w:rFonts w:hint="eastAsia" w:ascii="宋体" w:hAnsi="宋体"/>
          <w:sz w:val="24"/>
          <w:szCs w:val="20"/>
        </w:rPr>
        <w:tab/>
      </w:r>
      <w:r>
        <w:rPr>
          <w:rFonts w:hint="eastAsia" w:ascii="宋体" w:hAnsi="宋体"/>
          <w:sz w:val="24"/>
          <w:szCs w:val="20"/>
        </w:rPr>
        <w:tab/>
      </w:r>
      <w:r>
        <w:rPr>
          <w:rFonts w:hint="eastAsia" w:ascii="宋体" w:hAnsi="宋体"/>
          <w:sz w:val="24"/>
          <w:szCs w:val="20"/>
        </w:rPr>
        <w:tab/>
      </w:r>
      <w:r>
        <w:rPr>
          <w:rFonts w:hint="eastAsia" w:ascii="宋体" w:hAnsi="宋体"/>
          <w:sz w:val="24"/>
          <w:szCs w:val="20"/>
        </w:rPr>
        <w:tab/>
      </w:r>
      <w:r>
        <w:rPr>
          <w:rFonts w:hint="eastAsia" w:ascii="宋体" w:hAnsi="宋体"/>
          <w:szCs w:val="20"/>
        </w:rPr>
        <w:t>表1</w:t>
      </w:r>
    </w:p>
    <w:tbl>
      <w:tblPr>
        <w:tblStyle w:val="13"/>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6"/>
        <w:gridCol w:w="686"/>
        <w:gridCol w:w="1207"/>
        <w:gridCol w:w="808"/>
        <w:gridCol w:w="738"/>
        <w:gridCol w:w="773"/>
        <w:gridCol w:w="735"/>
        <w:gridCol w:w="820"/>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686"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5081" w:type="dxa"/>
            <w:gridSpan w:val="6"/>
            <w:vAlign w:val="center"/>
          </w:tcPr>
          <w:p>
            <w:pPr>
              <w:spacing w:line="360" w:lineRule="auto"/>
              <w:jc w:val="center"/>
              <w:rPr>
                <w:rFonts w:ascii="宋体" w:hAnsi="宋体"/>
                <w:szCs w:val="21"/>
              </w:rPr>
            </w:pPr>
            <w:r>
              <w:rPr>
                <w:rFonts w:hint="eastAsia" w:ascii="宋体" w:hAnsi="宋体"/>
                <w:szCs w:val="21"/>
              </w:rPr>
              <w:t>执业或职业资格证明</w:t>
            </w:r>
          </w:p>
        </w:tc>
        <w:tc>
          <w:tcPr>
            <w:tcW w:w="2310" w:type="dxa"/>
            <w:gridSpan w:val="2"/>
            <w:vAlign w:val="center"/>
          </w:tcPr>
          <w:p>
            <w:pPr>
              <w:spacing w:line="360" w:lineRule="auto"/>
              <w:jc w:val="center"/>
              <w:rPr>
                <w:rFonts w:ascii="宋体" w:hAnsi="宋体"/>
                <w:szCs w:val="21"/>
              </w:rPr>
            </w:pPr>
            <w:r>
              <w:rPr>
                <w:rFonts w:hint="eastAsia" w:ascii="宋体" w:hAnsi="宋体"/>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90"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686" w:type="dxa"/>
            <w:vMerge w:val="continue"/>
          </w:tcPr>
          <w:p>
            <w:pPr>
              <w:spacing w:line="360" w:lineRule="auto"/>
              <w:rPr>
                <w:rFonts w:ascii="宋体" w:hAnsi="宋体"/>
                <w:szCs w:val="21"/>
              </w:rPr>
            </w:pPr>
          </w:p>
        </w:tc>
        <w:tc>
          <w:tcPr>
            <w:tcW w:w="1207" w:type="dxa"/>
            <w:vAlign w:val="center"/>
          </w:tcPr>
          <w:p>
            <w:pPr>
              <w:spacing w:line="360" w:lineRule="auto"/>
              <w:jc w:val="center"/>
              <w:rPr>
                <w:rFonts w:ascii="宋体" w:hAnsi="宋体"/>
                <w:szCs w:val="21"/>
              </w:rPr>
            </w:pPr>
            <w:r>
              <w:rPr>
                <w:rFonts w:hint="eastAsia" w:ascii="宋体" w:hAnsi="宋体"/>
                <w:szCs w:val="21"/>
              </w:rPr>
              <w:t>证书名称</w:t>
            </w:r>
          </w:p>
        </w:tc>
        <w:tc>
          <w:tcPr>
            <w:tcW w:w="808" w:type="dxa"/>
            <w:vAlign w:val="center"/>
          </w:tcPr>
          <w:p>
            <w:pPr>
              <w:spacing w:line="360" w:lineRule="auto"/>
              <w:jc w:val="center"/>
              <w:rPr>
                <w:rFonts w:ascii="宋体" w:hAnsi="宋体"/>
                <w:szCs w:val="21"/>
              </w:rPr>
            </w:pPr>
            <w:r>
              <w:rPr>
                <w:rFonts w:hint="eastAsia" w:ascii="宋体" w:hAnsi="宋体"/>
                <w:szCs w:val="21"/>
              </w:rPr>
              <w:t>级别</w:t>
            </w:r>
          </w:p>
        </w:tc>
        <w:tc>
          <w:tcPr>
            <w:tcW w:w="738" w:type="dxa"/>
            <w:vAlign w:val="center"/>
          </w:tcPr>
          <w:p>
            <w:pPr>
              <w:spacing w:line="360" w:lineRule="auto"/>
              <w:jc w:val="center"/>
              <w:rPr>
                <w:rFonts w:ascii="宋体" w:hAnsi="宋体"/>
                <w:szCs w:val="21"/>
              </w:rPr>
            </w:pPr>
            <w:r>
              <w:rPr>
                <w:rFonts w:hint="eastAsia" w:ascii="宋体" w:hAnsi="宋体"/>
                <w:szCs w:val="21"/>
              </w:rPr>
              <w:t>证号</w:t>
            </w:r>
          </w:p>
        </w:tc>
        <w:tc>
          <w:tcPr>
            <w:tcW w:w="773" w:type="dxa"/>
            <w:vAlign w:val="center"/>
          </w:tcPr>
          <w:p>
            <w:pPr>
              <w:spacing w:line="360" w:lineRule="auto"/>
              <w:jc w:val="center"/>
              <w:rPr>
                <w:rFonts w:ascii="宋体" w:hAnsi="宋体"/>
                <w:szCs w:val="21"/>
              </w:rPr>
            </w:pPr>
            <w:r>
              <w:rPr>
                <w:rFonts w:hint="eastAsia" w:ascii="宋体" w:hAnsi="宋体"/>
                <w:szCs w:val="21"/>
              </w:rPr>
              <w:t>专业</w:t>
            </w:r>
          </w:p>
        </w:tc>
        <w:tc>
          <w:tcPr>
            <w:tcW w:w="735" w:type="dxa"/>
            <w:vAlign w:val="center"/>
          </w:tcPr>
          <w:p>
            <w:pPr>
              <w:spacing w:line="360" w:lineRule="auto"/>
              <w:jc w:val="center"/>
              <w:rPr>
                <w:rFonts w:ascii="宋体" w:hAnsi="宋体"/>
                <w:szCs w:val="21"/>
              </w:rPr>
            </w:pPr>
            <w:r>
              <w:rPr>
                <w:rFonts w:hint="eastAsia" w:ascii="宋体" w:hAnsi="宋体"/>
                <w:szCs w:val="21"/>
              </w:rPr>
              <w:t>身份证号</w:t>
            </w:r>
          </w:p>
        </w:tc>
        <w:tc>
          <w:tcPr>
            <w:tcW w:w="820" w:type="dxa"/>
            <w:vAlign w:val="center"/>
          </w:tcPr>
          <w:p>
            <w:pPr>
              <w:spacing w:line="360" w:lineRule="auto"/>
              <w:jc w:val="center"/>
              <w:rPr>
                <w:rFonts w:ascii="宋体" w:hAnsi="宋体"/>
                <w:szCs w:val="21"/>
              </w:rPr>
            </w:pPr>
            <w:r>
              <w:rPr>
                <w:rFonts w:hint="eastAsia" w:ascii="宋体" w:hAnsi="宋体"/>
                <w:szCs w:val="21"/>
              </w:rPr>
              <w:t>原服务单位</w:t>
            </w:r>
          </w:p>
        </w:tc>
        <w:tc>
          <w:tcPr>
            <w:tcW w:w="1065" w:type="dxa"/>
            <w:vAlign w:val="center"/>
          </w:tcPr>
          <w:p>
            <w:pPr>
              <w:spacing w:line="360" w:lineRule="auto"/>
              <w:jc w:val="center"/>
              <w:rPr>
                <w:rFonts w:ascii="宋体" w:hAnsi="宋体"/>
                <w:szCs w:val="21"/>
              </w:rPr>
            </w:pPr>
            <w:r>
              <w:rPr>
                <w:rFonts w:hint="eastAsia" w:ascii="宋体" w:hAnsi="宋体"/>
                <w:szCs w:val="21"/>
              </w:rPr>
              <w:t>项目数</w:t>
            </w:r>
          </w:p>
        </w:tc>
        <w:tc>
          <w:tcPr>
            <w:tcW w:w="1245" w:type="dxa"/>
            <w:vAlign w:val="center"/>
          </w:tcPr>
          <w:p>
            <w:pPr>
              <w:spacing w:line="360" w:lineRule="auto"/>
              <w:jc w:val="center"/>
              <w:rPr>
                <w:rFonts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90"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686" w:type="dxa"/>
          </w:tcPr>
          <w:p>
            <w:pPr>
              <w:spacing w:line="360" w:lineRule="auto"/>
              <w:rPr>
                <w:rFonts w:ascii="宋体" w:hAnsi="宋体"/>
                <w:szCs w:val="21"/>
              </w:rPr>
            </w:pPr>
          </w:p>
        </w:tc>
        <w:tc>
          <w:tcPr>
            <w:tcW w:w="1207" w:type="dxa"/>
          </w:tcPr>
          <w:p>
            <w:pPr>
              <w:spacing w:line="360" w:lineRule="auto"/>
              <w:rPr>
                <w:rFonts w:ascii="宋体" w:hAnsi="宋体"/>
                <w:szCs w:val="21"/>
              </w:rPr>
            </w:pPr>
          </w:p>
        </w:tc>
        <w:tc>
          <w:tcPr>
            <w:tcW w:w="808" w:type="dxa"/>
          </w:tcPr>
          <w:p>
            <w:pPr>
              <w:spacing w:line="360" w:lineRule="auto"/>
              <w:rPr>
                <w:rFonts w:ascii="宋体" w:hAnsi="宋体"/>
                <w:szCs w:val="21"/>
              </w:rPr>
            </w:pPr>
          </w:p>
        </w:tc>
        <w:tc>
          <w:tcPr>
            <w:tcW w:w="738" w:type="dxa"/>
          </w:tcPr>
          <w:p>
            <w:pPr>
              <w:spacing w:line="360" w:lineRule="auto"/>
              <w:rPr>
                <w:rFonts w:ascii="宋体" w:hAnsi="宋体"/>
                <w:szCs w:val="21"/>
              </w:rPr>
            </w:pPr>
          </w:p>
        </w:tc>
        <w:tc>
          <w:tcPr>
            <w:tcW w:w="773" w:type="dxa"/>
          </w:tcPr>
          <w:p>
            <w:pPr>
              <w:spacing w:line="360" w:lineRule="auto"/>
              <w:rPr>
                <w:rFonts w:ascii="宋体" w:hAnsi="宋体"/>
                <w:szCs w:val="21"/>
              </w:rPr>
            </w:pPr>
          </w:p>
        </w:tc>
        <w:tc>
          <w:tcPr>
            <w:tcW w:w="735" w:type="dxa"/>
          </w:tcPr>
          <w:p>
            <w:pPr>
              <w:spacing w:line="360" w:lineRule="auto"/>
              <w:rPr>
                <w:rFonts w:ascii="宋体" w:hAnsi="宋体"/>
                <w:szCs w:val="21"/>
              </w:rPr>
            </w:pPr>
          </w:p>
        </w:tc>
        <w:tc>
          <w:tcPr>
            <w:tcW w:w="820" w:type="dxa"/>
          </w:tcPr>
          <w:p>
            <w:pPr>
              <w:spacing w:line="360" w:lineRule="auto"/>
              <w:rPr>
                <w:rFonts w:ascii="宋体" w:hAnsi="宋体"/>
                <w:szCs w:val="21"/>
              </w:rPr>
            </w:pPr>
          </w:p>
        </w:tc>
        <w:tc>
          <w:tcPr>
            <w:tcW w:w="1065" w:type="dxa"/>
          </w:tcPr>
          <w:p>
            <w:pPr>
              <w:spacing w:line="360" w:lineRule="auto"/>
              <w:rPr>
                <w:rFonts w:ascii="宋体" w:hAnsi="宋体"/>
                <w:szCs w:val="21"/>
              </w:rPr>
            </w:pPr>
          </w:p>
        </w:tc>
        <w:tc>
          <w:tcPr>
            <w:tcW w:w="1245"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9453" w:type="dxa"/>
            <w:gridSpan w:val="11"/>
          </w:tcPr>
          <w:p>
            <w:pPr>
              <w:spacing w:line="360" w:lineRule="auto"/>
              <w:ind w:firstLine="360"/>
              <w:rPr>
                <w:rFonts w:ascii="宋体" w:hAnsi="宋体"/>
                <w:szCs w:val="21"/>
              </w:rPr>
            </w:pPr>
            <w:r>
              <w:rPr>
                <w:rFonts w:hint="eastAsia" w:ascii="宋体" w:hAnsi="宋体"/>
                <w:szCs w:val="21"/>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pPr>
        <w:rPr>
          <w:szCs w:val="20"/>
        </w:rPr>
      </w:pPr>
    </w:p>
    <w:p>
      <w:pPr>
        <w:rPr>
          <w:szCs w:val="20"/>
        </w:rPr>
      </w:pPr>
    </w:p>
    <w:p>
      <w:pPr>
        <w:keepNext/>
        <w:jc w:val="center"/>
        <w:outlineLvl w:val="2"/>
        <w:rPr>
          <w:rFonts w:hAnsi="宋体" w:eastAsia="楷体_GB2312"/>
          <w:bCs/>
          <w:sz w:val="24"/>
        </w:rPr>
      </w:pPr>
      <w:r>
        <w:rPr>
          <w:rFonts w:hint="eastAsia" w:hAnsi="宋体" w:eastAsia="楷体_GB2312"/>
          <w:bCs/>
          <w:sz w:val="24"/>
        </w:rPr>
        <w:t>（2）项目负责人简历表</w:t>
      </w:r>
    </w:p>
    <w:p>
      <w:pPr>
        <w:keepNext/>
        <w:ind w:left="959" w:leftChars="114" w:hanging="720" w:hangingChars="300"/>
        <w:rPr>
          <w:rFonts w:ascii="宋体" w:hAnsi="宋体" w:eastAsia="楷体_GB2312"/>
          <w:szCs w:val="20"/>
        </w:rPr>
      </w:pPr>
      <w:r>
        <w:rPr>
          <w:rFonts w:hint="eastAsia" w:eastAsia="楷体_GB2312"/>
          <w:sz w:val="24"/>
          <w:szCs w:val="20"/>
        </w:rPr>
        <w:t>项目</w:t>
      </w:r>
      <w:r>
        <w:rPr>
          <w:rFonts w:hint="eastAsia" w:ascii="宋体" w:hAnsi="宋体" w:eastAsia="楷体_GB2312"/>
          <w:szCs w:val="20"/>
        </w:rPr>
        <w:t xml:space="preserve">表2  </w:t>
      </w:r>
    </w:p>
    <w:tbl>
      <w:tblPr>
        <w:tblStyle w:val="13"/>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435"/>
        <w:gridCol w:w="645"/>
        <w:gridCol w:w="40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spacing w:line="360" w:lineRule="auto"/>
              <w:jc w:val="center"/>
              <w:rPr>
                <w:rFonts w:ascii="宋体" w:hAnsi="宋体"/>
                <w:sz w:val="24"/>
                <w:szCs w:val="20"/>
              </w:rPr>
            </w:pPr>
            <w:r>
              <w:rPr>
                <w:rFonts w:hint="eastAsia" w:ascii="宋体" w:hAnsi="宋体"/>
                <w:sz w:val="24"/>
                <w:szCs w:val="20"/>
              </w:rPr>
              <w:t>姓名</w:t>
            </w:r>
          </w:p>
        </w:tc>
        <w:tc>
          <w:tcPr>
            <w:tcW w:w="2610" w:type="dxa"/>
            <w:gridSpan w:val="4"/>
            <w:vAlign w:val="center"/>
          </w:tcPr>
          <w:p>
            <w:pPr>
              <w:spacing w:line="360" w:lineRule="auto"/>
              <w:jc w:val="center"/>
              <w:rPr>
                <w:rFonts w:ascii="宋体" w:hAnsi="宋体"/>
                <w:sz w:val="24"/>
                <w:szCs w:val="20"/>
              </w:rPr>
            </w:pPr>
          </w:p>
        </w:tc>
        <w:tc>
          <w:tcPr>
            <w:tcW w:w="840" w:type="dxa"/>
            <w:vAlign w:val="center"/>
          </w:tcPr>
          <w:p>
            <w:pPr>
              <w:spacing w:line="360" w:lineRule="auto"/>
              <w:jc w:val="center"/>
              <w:rPr>
                <w:rFonts w:ascii="宋体" w:hAnsi="宋体"/>
                <w:sz w:val="24"/>
                <w:szCs w:val="20"/>
              </w:rPr>
            </w:pPr>
            <w:r>
              <w:rPr>
                <w:rFonts w:hint="eastAsia" w:ascii="宋体" w:hAnsi="宋体"/>
                <w:sz w:val="24"/>
                <w:szCs w:val="20"/>
              </w:rPr>
              <w:t>性别</w:t>
            </w:r>
          </w:p>
        </w:tc>
        <w:tc>
          <w:tcPr>
            <w:tcW w:w="1680" w:type="dxa"/>
            <w:gridSpan w:val="3"/>
            <w:vAlign w:val="center"/>
          </w:tcPr>
          <w:p>
            <w:pPr>
              <w:spacing w:line="360" w:lineRule="auto"/>
              <w:jc w:val="center"/>
              <w:rPr>
                <w:rFonts w:ascii="宋体" w:hAnsi="宋体"/>
                <w:sz w:val="24"/>
                <w:szCs w:val="20"/>
              </w:rPr>
            </w:pPr>
          </w:p>
        </w:tc>
        <w:tc>
          <w:tcPr>
            <w:tcW w:w="1080" w:type="dxa"/>
            <w:gridSpan w:val="2"/>
            <w:vAlign w:val="center"/>
          </w:tcPr>
          <w:p>
            <w:pPr>
              <w:spacing w:line="360" w:lineRule="auto"/>
              <w:jc w:val="center"/>
              <w:rPr>
                <w:rFonts w:ascii="宋体" w:hAnsi="宋体"/>
                <w:sz w:val="24"/>
                <w:szCs w:val="20"/>
              </w:rPr>
            </w:pPr>
            <w:r>
              <w:rPr>
                <w:rFonts w:hint="eastAsia" w:ascii="宋体" w:hAnsi="宋体"/>
                <w:sz w:val="24"/>
                <w:szCs w:val="20"/>
              </w:rPr>
              <w:t>年龄</w:t>
            </w:r>
          </w:p>
        </w:tc>
        <w:tc>
          <w:tcPr>
            <w:tcW w:w="2222" w:type="dxa"/>
            <w:gridSpan w:val="2"/>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spacing w:line="360" w:lineRule="auto"/>
              <w:jc w:val="center"/>
              <w:rPr>
                <w:rFonts w:ascii="宋体" w:hAnsi="宋体"/>
                <w:sz w:val="24"/>
                <w:szCs w:val="20"/>
              </w:rPr>
            </w:pPr>
            <w:r>
              <w:rPr>
                <w:rFonts w:hint="eastAsia" w:ascii="宋体" w:hAnsi="宋体"/>
                <w:sz w:val="24"/>
                <w:szCs w:val="20"/>
              </w:rPr>
              <w:t>职务</w:t>
            </w:r>
          </w:p>
        </w:tc>
        <w:tc>
          <w:tcPr>
            <w:tcW w:w="2610" w:type="dxa"/>
            <w:gridSpan w:val="4"/>
            <w:vAlign w:val="center"/>
          </w:tcPr>
          <w:p>
            <w:pPr>
              <w:spacing w:line="360" w:lineRule="auto"/>
              <w:jc w:val="center"/>
              <w:rPr>
                <w:rFonts w:ascii="宋体" w:hAnsi="宋体"/>
                <w:sz w:val="24"/>
                <w:szCs w:val="20"/>
              </w:rPr>
            </w:pPr>
          </w:p>
        </w:tc>
        <w:tc>
          <w:tcPr>
            <w:tcW w:w="840" w:type="dxa"/>
            <w:vAlign w:val="center"/>
          </w:tcPr>
          <w:p>
            <w:pPr>
              <w:spacing w:line="360" w:lineRule="auto"/>
              <w:jc w:val="center"/>
              <w:rPr>
                <w:rFonts w:ascii="宋体" w:hAnsi="宋体"/>
                <w:sz w:val="24"/>
                <w:szCs w:val="20"/>
              </w:rPr>
            </w:pPr>
            <w:r>
              <w:rPr>
                <w:rFonts w:hint="eastAsia" w:ascii="宋体" w:hAnsi="宋体"/>
                <w:sz w:val="24"/>
                <w:szCs w:val="20"/>
              </w:rPr>
              <w:t>职称</w:t>
            </w:r>
          </w:p>
        </w:tc>
        <w:tc>
          <w:tcPr>
            <w:tcW w:w="1680" w:type="dxa"/>
            <w:gridSpan w:val="3"/>
            <w:vAlign w:val="center"/>
          </w:tcPr>
          <w:p>
            <w:pPr>
              <w:spacing w:line="360" w:lineRule="auto"/>
              <w:jc w:val="center"/>
              <w:rPr>
                <w:rFonts w:ascii="宋体" w:hAnsi="宋体"/>
                <w:sz w:val="24"/>
                <w:szCs w:val="20"/>
              </w:rPr>
            </w:pPr>
          </w:p>
        </w:tc>
        <w:tc>
          <w:tcPr>
            <w:tcW w:w="1080" w:type="dxa"/>
            <w:gridSpan w:val="2"/>
            <w:vAlign w:val="center"/>
          </w:tcPr>
          <w:p>
            <w:pPr>
              <w:spacing w:line="360" w:lineRule="auto"/>
              <w:jc w:val="center"/>
              <w:rPr>
                <w:rFonts w:ascii="宋体" w:hAnsi="宋体"/>
                <w:sz w:val="24"/>
                <w:szCs w:val="20"/>
              </w:rPr>
            </w:pPr>
            <w:r>
              <w:rPr>
                <w:rFonts w:hint="eastAsia" w:ascii="宋体" w:hAnsi="宋体"/>
                <w:sz w:val="24"/>
                <w:szCs w:val="20"/>
              </w:rPr>
              <w:t>学历</w:t>
            </w:r>
          </w:p>
        </w:tc>
        <w:tc>
          <w:tcPr>
            <w:tcW w:w="2222" w:type="dxa"/>
            <w:gridSpan w:val="2"/>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spacing w:line="360" w:lineRule="auto"/>
              <w:jc w:val="center"/>
              <w:rPr>
                <w:rFonts w:ascii="宋体" w:hAnsi="宋体"/>
                <w:sz w:val="24"/>
                <w:szCs w:val="20"/>
              </w:rPr>
            </w:pPr>
            <w:r>
              <w:rPr>
                <w:rFonts w:hint="eastAsia" w:ascii="宋体" w:hAnsi="宋体"/>
                <w:sz w:val="24"/>
                <w:szCs w:val="20"/>
              </w:rPr>
              <w:t>参加工作时间</w:t>
            </w:r>
          </w:p>
        </w:tc>
        <w:tc>
          <w:tcPr>
            <w:tcW w:w="1890" w:type="dxa"/>
            <w:gridSpan w:val="4"/>
            <w:vAlign w:val="center"/>
          </w:tcPr>
          <w:p>
            <w:pPr>
              <w:spacing w:line="360" w:lineRule="auto"/>
              <w:jc w:val="center"/>
              <w:rPr>
                <w:rFonts w:ascii="宋体" w:hAnsi="宋体"/>
                <w:sz w:val="24"/>
                <w:szCs w:val="20"/>
              </w:rPr>
            </w:pPr>
          </w:p>
        </w:tc>
        <w:tc>
          <w:tcPr>
            <w:tcW w:w="2625" w:type="dxa"/>
            <w:gridSpan w:val="5"/>
            <w:vAlign w:val="center"/>
          </w:tcPr>
          <w:p>
            <w:pPr>
              <w:spacing w:line="360" w:lineRule="auto"/>
              <w:jc w:val="center"/>
              <w:rPr>
                <w:rFonts w:ascii="宋体" w:hAnsi="宋体"/>
                <w:sz w:val="24"/>
                <w:szCs w:val="20"/>
              </w:rPr>
            </w:pPr>
            <w:r>
              <w:rPr>
                <w:rFonts w:hint="eastAsia" w:ascii="宋体" w:hAnsi="宋体"/>
                <w:sz w:val="24"/>
                <w:szCs w:val="20"/>
              </w:rPr>
              <w:t>担任项目负责人年限</w:t>
            </w:r>
          </w:p>
        </w:tc>
        <w:tc>
          <w:tcPr>
            <w:tcW w:w="1817" w:type="dxa"/>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167" w:type="dxa"/>
            <w:gridSpan w:val="13"/>
            <w:vAlign w:val="center"/>
          </w:tcPr>
          <w:p>
            <w:pPr>
              <w:spacing w:line="360" w:lineRule="auto"/>
              <w:jc w:val="center"/>
              <w:rPr>
                <w:rFonts w:ascii="宋体" w:hAnsi="宋体"/>
                <w:sz w:val="24"/>
                <w:szCs w:val="20"/>
              </w:rPr>
            </w:pPr>
            <w:r>
              <w:rPr>
                <w:rFonts w:hint="eastAsia" w:ascii="宋体" w:hAnsi="宋体"/>
                <w:sz w:val="24"/>
                <w:szCs w:val="20"/>
              </w:rPr>
              <w:t>在建和已完项目项目情况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szCs w:val="20"/>
              </w:rPr>
            </w:pPr>
            <w:r>
              <w:rPr>
                <w:rFonts w:hint="eastAsia" w:ascii="宋体" w:hAnsi="宋体"/>
                <w:sz w:val="24"/>
                <w:szCs w:val="20"/>
              </w:rPr>
              <w:t>建设单位</w:t>
            </w:r>
          </w:p>
        </w:tc>
        <w:tc>
          <w:tcPr>
            <w:tcW w:w="1680" w:type="dxa"/>
            <w:gridSpan w:val="2"/>
            <w:vAlign w:val="center"/>
          </w:tcPr>
          <w:p>
            <w:pPr>
              <w:spacing w:line="360" w:lineRule="auto"/>
              <w:jc w:val="center"/>
              <w:rPr>
                <w:rFonts w:ascii="宋体" w:hAnsi="宋体"/>
                <w:sz w:val="24"/>
                <w:szCs w:val="20"/>
              </w:rPr>
            </w:pPr>
            <w:r>
              <w:rPr>
                <w:rFonts w:hint="eastAsia" w:ascii="宋体" w:hAnsi="宋体"/>
                <w:sz w:val="24"/>
                <w:szCs w:val="20"/>
              </w:rPr>
              <w:t>项目名称</w:t>
            </w:r>
          </w:p>
        </w:tc>
        <w:tc>
          <w:tcPr>
            <w:tcW w:w="1580" w:type="dxa"/>
            <w:gridSpan w:val="4"/>
            <w:vAlign w:val="center"/>
          </w:tcPr>
          <w:p>
            <w:pPr>
              <w:spacing w:line="360" w:lineRule="auto"/>
              <w:jc w:val="center"/>
              <w:rPr>
                <w:rFonts w:ascii="宋体" w:hAnsi="宋体"/>
                <w:sz w:val="24"/>
                <w:szCs w:val="20"/>
              </w:rPr>
            </w:pPr>
            <w:r>
              <w:rPr>
                <w:rFonts w:hint="eastAsia" w:ascii="宋体" w:hAnsi="宋体"/>
                <w:sz w:val="24"/>
                <w:szCs w:val="20"/>
              </w:rPr>
              <w:t>建设规模</w:t>
            </w:r>
          </w:p>
        </w:tc>
        <w:tc>
          <w:tcPr>
            <w:tcW w:w="1560" w:type="dxa"/>
            <w:gridSpan w:val="2"/>
            <w:vAlign w:val="center"/>
          </w:tcPr>
          <w:p>
            <w:pPr>
              <w:spacing w:line="360" w:lineRule="auto"/>
              <w:jc w:val="center"/>
              <w:rPr>
                <w:rFonts w:ascii="宋体" w:hAnsi="宋体"/>
                <w:sz w:val="24"/>
                <w:szCs w:val="20"/>
              </w:rPr>
            </w:pPr>
            <w:r>
              <w:rPr>
                <w:rFonts w:hint="eastAsia" w:ascii="宋体" w:hAnsi="宋体"/>
                <w:sz w:val="24"/>
                <w:szCs w:val="20"/>
              </w:rPr>
              <w:t>开、竣工</w:t>
            </w:r>
          </w:p>
          <w:p>
            <w:pPr>
              <w:spacing w:line="360" w:lineRule="auto"/>
              <w:jc w:val="center"/>
              <w:rPr>
                <w:rFonts w:ascii="宋体" w:hAnsi="宋体"/>
                <w:sz w:val="24"/>
                <w:szCs w:val="20"/>
              </w:rPr>
            </w:pPr>
            <w:r>
              <w:rPr>
                <w:rFonts w:hint="eastAsia" w:ascii="宋体" w:hAnsi="宋体"/>
                <w:sz w:val="24"/>
                <w:szCs w:val="20"/>
              </w:rPr>
              <w:t>日期</w:t>
            </w:r>
          </w:p>
        </w:tc>
        <w:tc>
          <w:tcPr>
            <w:tcW w:w="1050" w:type="dxa"/>
            <w:gridSpan w:val="2"/>
            <w:vAlign w:val="center"/>
          </w:tcPr>
          <w:p>
            <w:pPr>
              <w:spacing w:line="360" w:lineRule="auto"/>
              <w:jc w:val="center"/>
              <w:rPr>
                <w:rFonts w:ascii="宋体" w:hAnsi="宋体"/>
                <w:sz w:val="24"/>
                <w:szCs w:val="20"/>
              </w:rPr>
            </w:pPr>
            <w:r>
              <w:rPr>
                <w:rFonts w:hint="eastAsia" w:ascii="宋体" w:hAnsi="宋体"/>
                <w:sz w:val="24"/>
                <w:szCs w:val="20"/>
              </w:rPr>
              <w:t>在建或已 完</w:t>
            </w:r>
          </w:p>
        </w:tc>
        <w:tc>
          <w:tcPr>
            <w:tcW w:w="1817" w:type="dxa"/>
            <w:vAlign w:val="center"/>
          </w:tcPr>
          <w:p>
            <w:pPr>
              <w:spacing w:line="360" w:lineRule="auto"/>
              <w:jc w:val="center"/>
              <w:rPr>
                <w:rFonts w:ascii="宋体" w:hAnsi="宋体"/>
                <w:sz w:val="24"/>
                <w:szCs w:val="20"/>
              </w:rPr>
            </w:pPr>
            <w:r>
              <w:rPr>
                <w:rFonts w:hint="eastAsia" w:ascii="宋体" w:hAnsi="宋体"/>
                <w:sz w:val="24"/>
                <w:szCs w:val="20"/>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spacing w:line="360" w:lineRule="auto"/>
              <w:jc w:val="center"/>
              <w:rPr>
                <w:rFonts w:ascii="宋体" w:hAnsi="宋体"/>
                <w:sz w:val="24"/>
                <w:szCs w:val="20"/>
              </w:rPr>
            </w:pPr>
          </w:p>
        </w:tc>
        <w:tc>
          <w:tcPr>
            <w:tcW w:w="1680" w:type="dxa"/>
            <w:gridSpan w:val="2"/>
            <w:vAlign w:val="center"/>
          </w:tcPr>
          <w:p>
            <w:pPr>
              <w:spacing w:line="360" w:lineRule="auto"/>
              <w:jc w:val="center"/>
              <w:rPr>
                <w:rFonts w:ascii="宋体" w:hAnsi="宋体"/>
                <w:sz w:val="24"/>
                <w:szCs w:val="20"/>
              </w:rPr>
            </w:pPr>
          </w:p>
        </w:tc>
        <w:tc>
          <w:tcPr>
            <w:tcW w:w="1580" w:type="dxa"/>
            <w:gridSpan w:val="4"/>
            <w:vAlign w:val="center"/>
          </w:tcPr>
          <w:p>
            <w:pPr>
              <w:spacing w:line="360" w:lineRule="auto"/>
              <w:jc w:val="center"/>
              <w:rPr>
                <w:rFonts w:ascii="宋体" w:hAnsi="宋体"/>
                <w:sz w:val="24"/>
                <w:szCs w:val="20"/>
              </w:rPr>
            </w:pPr>
          </w:p>
        </w:tc>
        <w:tc>
          <w:tcPr>
            <w:tcW w:w="1560" w:type="dxa"/>
            <w:gridSpan w:val="2"/>
            <w:vAlign w:val="center"/>
          </w:tcPr>
          <w:p>
            <w:pPr>
              <w:spacing w:line="360" w:lineRule="auto"/>
              <w:jc w:val="center"/>
              <w:rPr>
                <w:rFonts w:ascii="宋体" w:hAnsi="宋体"/>
                <w:sz w:val="24"/>
                <w:szCs w:val="20"/>
              </w:rPr>
            </w:pPr>
          </w:p>
        </w:tc>
        <w:tc>
          <w:tcPr>
            <w:tcW w:w="1050" w:type="dxa"/>
            <w:gridSpan w:val="2"/>
            <w:vAlign w:val="center"/>
          </w:tcPr>
          <w:p>
            <w:pPr>
              <w:spacing w:line="360" w:lineRule="auto"/>
              <w:jc w:val="center"/>
              <w:rPr>
                <w:rFonts w:ascii="宋体" w:hAnsi="宋体"/>
                <w:sz w:val="24"/>
                <w:szCs w:val="20"/>
              </w:rPr>
            </w:pPr>
          </w:p>
        </w:tc>
        <w:tc>
          <w:tcPr>
            <w:tcW w:w="1817" w:type="dxa"/>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spacing w:line="360" w:lineRule="auto"/>
              <w:jc w:val="center"/>
              <w:rPr>
                <w:rFonts w:ascii="宋体" w:hAnsi="宋体"/>
                <w:sz w:val="24"/>
                <w:szCs w:val="20"/>
              </w:rPr>
            </w:pPr>
          </w:p>
        </w:tc>
        <w:tc>
          <w:tcPr>
            <w:tcW w:w="1680" w:type="dxa"/>
            <w:gridSpan w:val="2"/>
            <w:vAlign w:val="center"/>
          </w:tcPr>
          <w:p>
            <w:pPr>
              <w:spacing w:line="360" w:lineRule="auto"/>
              <w:jc w:val="center"/>
              <w:rPr>
                <w:rFonts w:ascii="宋体" w:hAnsi="宋体"/>
                <w:sz w:val="24"/>
                <w:szCs w:val="20"/>
              </w:rPr>
            </w:pPr>
          </w:p>
        </w:tc>
        <w:tc>
          <w:tcPr>
            <w:tcW w:w="1580" w:type="dxa"/>
            <w:gridSpan w:val="4"/>
            <w:vAlign w:val="center"/>
          </w:tcPr>
          <w:p>
            <w:pPr>
              <w:spacing w:line="360" w:lineRule="auto"/>
              <w:jc w:val="center"/>
              <w:rPr>
                <w:rFonts w:ascii="宋体" w:hAnsi="宋体"/>
                <w:sz w:val="24"/>
                <w:szCs w:val="20"/>
              </w:rPr>
            </w:pPr>
          </w:p>
        </w:tc>
        <w:tc>
          <w:tcPr>
            <w:tcW w:w="1560" w:type="dxa"/>
            <w:gridSpan w:val="2"/>
            <w:vAlign w:val="center"/>
          </w:tcPr>
          <w:p>
            <w:pPr>
              <w:spacing w:line="360" w:lineRule="auto"/>
              <w:jc w:val="center"/>
              <w:rPr>
                <w:rFonts w:ascii="宋体" w:hAnsi="宋体"/>
                <w:sz w:val="24"/>
                <w:szCs w:val="20"/>
              </w:rPr>
            </w:pPr>
          </w:p>
        </w:tc>
        <w:tc>
          <w:tcPr>
            <w:tcW w:w="1050" w:type="dxa"/>
            <w:gridSpan w:val="2"/>
            <w:vAlign w:val="center"/>
          </w:tcPr>
          <w:p>
            <w:pPr>
              <w:spacing w:line="360" w:lineRule="auto"/>
              <w:jc w:val="center"/>
              <w:rPr>
                <w:rFonts w:ascii="宋体" w:hAnsi="宋体"/>
                <w:sz w:val="24"/>
                <w:szCs w:val="20"/>
              </w:rPr>
            </w:pPr>
          </w:p>
        </w:tc>
        <w:tc>
          <w:tcPr>
            <w:tcW w:w="1817" w:type="dxa"/>
            <w:vAlign w:val="center"/>
          </w:tcPr>
          <w:p>
            <w:pPr>
              <w:spacing w:line="360" w:lineRule="auto"/>
              <w:jc w:val="center"/>
              <w:rPr>
                <w:rFonts w:ascii="宋体" w:hAnsi="宋体"/>
                <w:sz w:val="24"/>
                <w:szCs w:val="20"/>
              </w:rPr>
            </w:pPr>
          </w:p>
        </w:tc>
      </w:tr>
    </w:tbl>
    <w:p/>
    <w:p>
      <w:pPr>
        <w:pStyle w:val="2"/>
      </w:pPr>
    </w:p>
    <w:p>
      <w:pPr>
        <w:keepNext/>
        <w:jc w:val="center"/>
        <w:outlineLvl w:val="2"/>
        <w:rPr>
          <w:rFonts w:hAnsi="宋体" w:eastAsia="楷体_GB2312"/>
          <w:bCs/>
          <w:sz w:val="24"/>
        </w:rPr>
      </w:pPr>
      <w:r>
        <w:rPr>
          <w:rFonts w:hint="eastAsia" w:hAnsi="宋体" w:eastAsia="楷体_GB2312"/>
          <w:bCs/>
          <w:sz w:val="24"/>
        </w:rPr>
        <w:t>（3）项目技术负责人简历表</w:t>
      </w:r>
    </w:p>
    <w:p>
      <w:pPr>
        <w:wordWrap w:val="0"/>
        <w:spacing w:line="360" w:lineRule="auto"/>
        <w:rPr>
          <w:szCs w:val="20"/>
        </w:rPr>
      </w:pPr>
      <w:r>
        <w:rPr>
          <w:rFonts w:hint="eastAsia"/>
          <w:sz w:val="24"/>
          <w:szCs w:val="20"/>
        </w:rPr>
        <w:t xml:space="preserve">项目    </w:t>
      </w:r>
      <w:r>
        <w:rPr>
          <w:rFonts w:hint="eastAsia" w:ascii="宋体" w:hAnsi="宋体"/>
          <w:szCs w:val="20"/>
        </w:rPr>
        <w:t>表3</w:t>
      </w:r>
    </w:p>
    <w:tbl>
      <w:tblPr>
        <w:tblStyle w:val="13"/>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1050"/>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spacing w:line="360" w:lineRule="auto"/>
              <w:jc w:val="center"/>
              <w:rPr>
                <w:rFonts w:ascii="宋体" w:hAnsi="宋体"/>
                <w:sz w:val="24"/>
                <w:szCs w:val="20"/>
              </w:rPr>
            </w:pPr>
            <w:r>
              <w:rPr>
                <w:rFonts w:hint="eastAsia" w:ascii="宋体" w:hAnsi="宋体"/>
                <w:sz w:val="24"/>
                <w:szCs w:val="20"/>
              </w:rPr>
              <w:t>姓名</w:t>
            </w:r>
          </w:p>
        </w:tc>
        <w:tc>
          <w:tcPr>
            <w:tcW w:w="2610" w:type="dxa"/>
            <w:gridSpan w:val="4"/>
            <w:vAlign w:val="center"/>
          </w:tcPr>
          <w:p>
            <w:pPr>
              <w:spacing w:line="360" w:lineRule="auto"/>
              <w:jc w:val="center"/>
              <w:rPr>
                <w:rFonts w:ascii="宋体" w:hAnsi="宋体"/>
                <w:sz w:val="24"/>
                <w:szCs w:val="20"/>
              </w:rPr>
            </w:pPr>
          </w:p>
        </w:tc>
        <w:tc>
          <w:tcPr>
            <w:tcW w:w="840" w:type="dxa"/>
            <w:vAlign w:val="center"/>
          </w:tcPr>
          <w:p>
            <w:pPr>
              <w:spacing w:line="360" w:lineRule="auto"/>
              <w:jc w:val="center"/>
              <w:rPr>
                <w:rFonts w:ascii="宋体" w:hAnsi="宋体"/>
                <w:sz w:val="24"/>
                <w:szCs w:val="20"/>
              </w:rPr>
            </w:pPr>
            <w:r>
              <w:rPr>
                <w:rFonts w:hint="eastAsia" w:ascii="宋体" w:hAnsi="宋体"/>
                <w:sz w:val="24"/>
                <w:szCs w:val="20"/>
              </w:rPr>
              <w:t>性别</w:t>
            </w:r>
          </w:p>
        </w:tc>
        <w:tc>
          <w:tcPr>
            <w:tcW w:w="2040" w:type="dxa"/>
            <w:gridSpan w:val="3"/>
            <w:vAlign w:val="center"/>
          </w:tcPr>
          <w:p>
            <w:pPr>
              <w:spacing w:line="360" w:lineRule="auto"/>
              <w:jc w:val="center"/>
              <w:rPr>
                <w:rFonts w:ascii="宋体" w:hAnsi="宋体"/>
                <w:sz w:val="24"/>
                <w:szCs w:val="20"/>
              </w:rPr>
            </w:pPr>
          </w:p>
        </w:tc>
        <w:tc>
          <w:tcPr>
            <w:tcW w:w="1125" w:type="dxa"/>
            <w:gridSpan w:val="2"/>
            <w:vAlign w:val="center"/>
          </w:tcPr>
          <w:p>
            <w:pPr>
              <w:spacing w:line="360" w:lineRule="auto"/>
              <w:jc w:val="center"/>
              <w:rPr>
                <w:rFonts w:ascii="宋体" w:hAnsi="宋体"/>
                <w:sz w:val="24"/>
                <w:szCs w:val="20"/>
              </w:rPr>
            </w:pPr>
            <w:r>
              <w:rPr>
                <w:rFonts w:hint="eastAsia" w:ascii="宋体" w:hAnsi="宋体"/>
                <w:sz w:val="24"/>
                <w:szCs w:val="20"/>
              </w:rPr>
              <w:t>年龄</w:t>
            </w:r>
          </w:p>
        </w:tc>
        <w:tc>
          <w:tcPr>
            <w:tcW w:w="2205" w:type="dxa"/>
            <w:gridSpan w:val="2"/>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spacing w:line="360" w:lineRule="auto"/>
              <w:jc w:val="center"/>
              <w:rPr>
                <w:rFonts w:ascii="宋体" w:hAnsi="宋体"/>
                <w:sz w:val="24"/>
                <w:szCs w:val="20"/>
              </w:rPr>
            </w:pPr>
            <w:r>
              <w:rPr>
                <w:rFonts w:hint="eastAsia" w:ascii="宋体" w:hAnsi="宋体"/>
                <w:sz w:val="24"/>
                <w:szCs w:val="20"/>
              </w:rPr>
              <w:t>职务</w:t>
            </w:r>
          </w:p>
        </w:tc>
        <w:tc>
          <w:tcPr>
            <w:tcW w:w="2610" w:type="dxa"/>
            <w:gridSpan w:val="4"/>
            <w:vAlign w:val="center"/>
          </w:tcPr>
          <w:p>
            <w:pPr>
              <w:spacing w:line="360" w:lineRule="auto"/>
              <w:jc w:val="center"/>
              <w:rPr>
                <w:rFonts w:ascii="宋体" w:hAnsi="宋体"/>
                <w:sz w:val="24"/>
                <w:szCs w:val="20"/>
              </w:rPr>
            </w:pPr>
          </w:p>
        </w:tc>
        <w:tc>
          <w:tcPr>
            <w:tcW w:w="840" w:type="dxa"/>
            <w:vAlign w:val="center"/>
          </w:tcPr>
          <w:p>
            <w:pPr>
              <w:spacing w:line="360" w:lineRule="auto"/>
              <w:jc w:val="center"/>
              <w:rPr>
                <w:rFonts w:ascii="宋体" w:hAnsi="宋体"/>
                <w:sz w:val="24"/>
                <w:szCs w:val="20"/>
              </w:rPr>
            </w:pPr>
            <w:r>
              <w:rPr>
                <w:rFonts w:hint="eastAsia" w:ascii="宋体" w:hAnsi="宋体"/>
                <w:sz w:val="24"/>
                <w:szCs w:val="20"/>
              </w:rPr>
              <w:t>职称</w:t>
            </w:r>
          </w:p>
        </w:tc>
        <w:tc>
          <w:tcPr>
            <w:tcW w:w="2040" w:type="dxa"/>
            <w:gridSpan w:val="3"/>
            <w:vAlign w:val="center"/>
          </w:tcPr>
          <w:p>
            <w:pPr>
              <w:spacing w:line="360" w:lineRule="auto"/>
              <w:jc w:val="center"/>
              <w:rPr>
                <w:rFonts w:ascii="宋体" w:hAnsi="宋体"/>
                <w:sz w:val="24"/>
                <w:szCs w:val="20"/>
              </w:rPr>
            </w:pPr>
          </w:p>
        </w:tc>
        <w:tc>
          <w:tcPr>
            <w:tcW w:w="1125" w:type="dxa"/>
            <w:gridSpan w:val="2"/>
            <w:vAlign w:val="center"/>
          </w:tcPr>
          <w:p>
            <w:pPr>
              <w:spacing w:line="360" w:lineRule="auto"/>
              <w:jc w:val="center"/>
              <w:rPr>
                <w:rFonts w:ascii="宋体" w:hAnsi="宋体"/>
                <w:sz w:val="24"/>
                <w:szCs w:val="20"/>
              </w:rPr>
            </w:pPr>
            <w:r>
              <w:rPr>
                <w:rFonts w:hint="eastAsia" w:ascii="宋体" w:hAnsi="宋体"/>
                <w:sz w:val="24"/>
                <w:szCs w:val="20"/>
              </w:rPr>
              <w:t>学历</w:t>
            </w:r>
          </w:p>
        </w:tc>
        <w:tc>
          <w:tcPr>
            <w:tcW w:w="2205" w:type="dxa"/>
            <w:gridSpan w:val="2"/>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15" w:type="dxa"/>
            <w:gridSpan w:val="3"/>
            <w:vAlign w:val="center"/>
          </w:tcPr>
          <w:p>
            <w:pPr>
              <w:spacing w:line="360" w:lineRule="auto"/>
              <w:jc w:val="center"/>
              <w:rPr>
                <w:rFonts w:ascii="宋体" w:hAnsi="宋体"/>
                <w:sz w:val="24"/>
                <w:szCs w:val="20"/>
              </w:rPr>
            </w:pPr>
            <w:r>
              <w:rPr>
                <w:rFonts w:hint="eastAsia" w:ascii="宋体" w:hAnsi="宋体"/>
                <w:sz w:val="24"/>
                <w:szCs w:val="20"/>
              </w:rPr>
              <w:t>参加工作时间</w:t>
            </w:r>
          </w:p>
        </w:tc>
        <w:tc>
          <w:tcPr>
            <w:tcW w:w="2310" w:type="dxa"/>
            <w:gridSpan w:val="4"/>
            <w:vAlign w:val="center"/>
          </w:tcPr>
          <w:p>
            <w:pPr>
              <w:spacing w:line="360" w:lineRule="auto"/>
              <w:jc w:val="center"/>
              <w:rPr>
                <w:rFonts w:ascii="宋体" w:hAnsi="宋体"/>
                <w:sz w:val="24"/>
                <w:szCs w:val="20"/>
              </w:rPr>
            </w:pPr>
          </w:p>
        </w:tc>
        <w:tc>
          <w:tcPr>
            <w:tcW w:w="2625" w:type="dxa"/>
            <w:gridSpan w:val="4"/>
            <w:vAlign w:val="center"/>
          </w:tcPr>
          <w:p>
            <w:pPr>
              <w:spacing w:line="360" w:lineRule="auto"/>
              <w:jc w:val="center"/>
              <w:rPr>
                <w:rFonts w:ascii="宋体" w:hAnsi="宋体"/>
                <w:sz w:val="24"/>
                <w:szCs w:val="20"/>
              </w:rPr>
            </w:pPr>
            <w:r>
              <w:rPr>
                <w:rFonts w:hint="eastAsia" w:ascii="宋体" w:hAnsi="宋体"/>
                <w:sz w:val="24"/>
                <w:szCs w:val="20"/>
              </w:rPr>
              <w:t>担任技术负责人年限</w:t>
            </w:r>
          </w:p>
        </w:tc>
        <w:tc>
          <w:tcPr>
            <w:tcW w:w="2205" w:type="dxa"/>
            <w:gridSpan w:val="2"/>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555" w:type="dxa"/>
            <w:gridSpan w:val="13"/>
            <w:vAlign w:val="center"/>
          </w:tcPr>
          <w:p>
            <w:pPr>
              <w:spacing w:line="360" w:lineRule="auto"/>
              <w:jc w:val="center"/>
              <w:rPr>
                <w:rFonts w:ascii="宋体" w:hAnsi="宋体"/>
                <w:sz w:val="24"/>
                <w:szCs w:val="20"/>
              </w:rPr>
            </w:pPr>
            <w:r>
              <w:rPr>
                <w:rFonts w:hint="eastAsia" w:ascii="宋体" w:hAnsi="宋体"/>
                <w:sz w:val="24"/>
                <w:szCs w:val="20"/>
              </w:rPr>
              <w:t>在建和已完项目情况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szCs w:val="20"/>
              </w:rPr>
            </w:pPr>
            <w:r>
              <w:rPr>
                <w:rFonts w:hint="eastAsia" w:ascii="宋体" w:hAnsi="宋体"/>
                <w:sz w:val="24"/>
                <w:szCs w:val="20"/>
              </w:rPr>
              <w:t>建设单位</w:t>
            </w:r>
          </w:p>
        </w:tc>
        <w:tc>
          <w:tcPr>
            <w:tcW w:w="1680" w:type="dxa"/>
            <w:gridSpan w:val="2"/>
            <w:vAlign w:val="center"/>
          </w:tcPr>
          <w:p>
            <w:pPr>
              <w:spacing w:line="360" w:lineRule="auto"/>
              <w:jc w:val="center"/>
              <w:rPr>
                <w:rFonts w:ascii="宋体" w:hAnsi="宋体"/>
                <w:sz w:val="24"/>
                <w:szCs w:val="20"/>
              </w:rPr>
            </w:pPr>
            <w:r>
              <w:rPr>
                <w:rFonts w:hint="eastAsia" w:ascii="宋体" w:hAnsi="宋体"/>
                <w:sz w:val="24"/>
                <w:szCs w:val="20"/>
              </w:rPr>
              <w:t>项目名称</w:t>
            </w:r>
          </w:p>
        </w:tc>
        <w:tc>
          <w:tcPr>
            <w:tcW w:w="1580" w:type="dxa"/>
            <w:gridSpan w:val="4"/>
            <w:vAlign w:val="center"/>
          </w:tcPr>
          <w:p>
            <w:pPr>
              <w:spacing w:line="360" w:lineRule="auto"/>
              <w:jc w:val="center"/>
              <w:rPr>
                <w:rFonts w:ascii="宋体" w:hAnsi="宋体"/>
                <w:sz w:val="24"/>
                <w:szCs w:val="20"/>
              </w:rPr>
            </w:pPr>
            <w:r>
              <w:rPr>
                <w:rFonts w:hint="eastAsia" w:ascii="宋体" w:hAnsi="宋体"/>
                <w:sz w:val="24"/>
                <w:szCs w:val="20"/>
              </w:rPr>
              <w:t>建设规模</w:t>
            </w:r>
          </w:p>
        </w:tc>
        <w:tc>
          <w:tcPr>
            <w:tcW w:w="1560" w:type="dxa"/>
            <w:gridSpan w:val="2"/>
            <w:vAlign w:val="center"/>
          </w:tcPr>
          <w:p>
            <w:pPr>
              <w:spacing w:line="360" w:lineRule="auto"/>
              <w:jc w:val="center"/>
              <w:rPr>
                <w:rFonts w:ascii="宋体" w:hAnsi="宋体"/>
                <w:sz w:val="24"/>
                <w:szCs w:val="20"/>
              </w:rPr>
            </w:pPr>
            <w:r>
              <w:rPr>
                <w:rFonts w:hint="eastAsia" w:ascii="宋体" w:hAnsi="宋体"/>
                <w:sz w:val="24"/>
                <w:szCs w:val="20"/>
              </w:rPr>
              <w:t>开、竣工</w:t>
            </w:r>
          </w:p>
          <w:p>
            <w:pPr>
              <w:spacing w:line="360" w:lineRule="auto"/>
              <w:jc w:val="center"/>
              <w:rPr>
                <w:rFonts w:ascii="宋体" w:hAnsi="宋体"/>
                <w:sz w:val="24"/>
                <w:szCs w:val="20"/>
              </w:rPr>
            </w:pPr>
            <w:r>
              <w:rPr>
                <w:rFonts w:hint="eastAsia" w:ascii="宋体" w:hAnsi="宋体"/>
                <w:sz w:val="24"/>
                <w:szCs w:val="20"/>
              </w:rPr>
              <w:t>日期</w:t>
            </w:r>
          </w:p>
        </w:tc>
        <w:tc>
          <w:tcPr>
            <w:tcW w:w="1365" w:type="dxa"/>
            <w:gridSpan w:val="2"/>
            <w:vAlign w:val="center"/>
          </w:tcPr>
          <w:p>
            <w:pPr>
              <w:spacing w:line="360" w:lineRule="auto"/>
              <w:jc w:val="center"/>
              <w:rPr>
                <w:rFonts w:ascii="宋体" w:hAnsi="宋体"/>
                <w:sz w:val="24"/>
                <w:szCs w:val="20"/>
              </w:rPr>
            </w:pPr>
            <w:r>
              <w:rPr>
                <w:rFonts w:hint="eastAsia" w:ascii="宋体" w:hAnsi="宋体"/>
                <w:sz w:val="24"/>
                <w:szCs w:val="20"/>
              </w:rPr>
              <w:t>在建或</w:t>
            </w:r>
          </w:p>
          <w:p>
            <w:pPr>
              <w:spacing w:line="360" w:lineRule="auto"/>
              <w:jc w:val="center"/>
              <w:rPr>
                <w:rFonts w:ascii="宋体" w:hAnsi="宋体"/>
                <w:sz w:val="24"/>
                <w:szCs w:val="20"/>
              </w:rPr>
            </w:pPr>
            <w:r>
              <w:rPr>
                <w:rFonts w:hint="eastAsia" w:ascii="宋体" w:hAnsi="宋体"/>
                <w:sz w:val="24"/>
                <w:szCs w:val="20"/>
              </w:rPr>
              <w:t>已 完</w:t>
            </w:r>
          </w:p>
        </w:tc>
        <w:tc>
          <w:tcPr>
            <w:tcW w:w="1890" w:type="dxa"/>
            <w:vAlign w:val="center"/>
          </w:tcPr>
          <w:p>
            <w:pPr>
              <w:spacing w:line="360" w:lineRule="auto"/>
              <w:jc w:val="center"/>
              <w:rPr>
                <w:rFonts w:ascii="宋体" w:hAnsi="宋体"/>
                <w:sz w:val="24"/>
                <w:szCs w:val="20"/>
              </w:rPr>
            </w:pPr>
            <w:r>
              <w:rPr>
                <w:rFonts w:hint="eastAsia" w:ascii="宋体" w:hAnsi="宋体"/>
                <w:sz w:val="24"/>
                <w:szCs w:val="20"/>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szCs w:val="20"/>
              </w:rPr>
            </w:pPr>
          </w:p>
        </w:tc>
        <w:tc>
          <w:tcPr>
            <w:tcW w:w="1680" w:type="dxa"/>
            <w:gridSpan w:val="2"/>
            <w:vAlign w:val="center"/>
          </w:tcPr>
          <w:p>
            <w:pPr>
              <w:spacing w:line="360" w:lineRule="auto"/>
              <w:jc w:val="center"/>
              <w:rPr>
                <w:rFonts w:ascii="宋体" w:hAnsi="宋体"/>
                <w:sz w:val="24"/>
                <w:szCs w:val="20"/>
              </w:rPr>
            </w:pPr>
          </w:p>
        </w:tc>
        <w:tc>
          <w:tcPr>
            <w:tcW w:w="1580" w:type="dxa"/>
            <w:gridSpan w:val="4"/>
            <w:vAlign w:val="center"/>
          </w:tcPr>
          <w:p>
            <w:pPr>
              <w:spacing w:line="360" w:lineRule="auto"/>
              <w:jc w:val="center"/>
              <w:rPr>
                <w:rFonts w:ascii="宋体" w:hAnsi="宋体"/>
                <w:sz w:val="24"/>
                <w:szCs w:val="20"/>
              </w:rPr>
            </w:pPr>
          </w:p>
        </w:tc>
        <w:tc>
          <w:tcPr>
            <w:tcW w:w="1560" w:type="dxa"/>
            <w:gridSpan w:val="2"/>
            <w:vAlign w:val="center"/>
          </w:tcPr>
          <w:p>
            <w:pPr>
              <w:spacing w:line="360" w:lineRule="auto"/>
              <w:jc w:val="center"/>
              <w:rPr>
                <w:rFonts w:ascii="宋体" w:hAnsi="宋体"/>
                <w:sz w:val="24"/>
                <w:szCs w:val="20"/>
              </w:rPr>
            </w:pPr>
          </w:p>
        </w:tc>
        <w:tc>
          <w:tcPr>
            <w:tcW w:w="1365" w:type="dxa"/>
            <w:gridSpan w:val="2"/>
            <w:vAlign w:val="center"/>
          </w:tcPr>
          <w:p>
            <w:pPr>
              <w:spacing w:line="360" w:lineRule="auto"/>
              <w:jc w:val="center"/>
              <w:rPr>
                <w:rFonts w:ascii="宋体" w:hAnsi="宋体"/>
                <w:sz w:val="24"/>
                <w:szCs w:val="20"/>
              </w:rPr>
            </w:pPr>
          </w:p>
        </w:tc>
        <w:tc>
          <w:tcPr>
            <w:tcW w:w="1890" w:type="dxa"/>
            <w:vAlign w:val="center"/>
          </w:tcPr>
          <w:p>
            <w:pPr>
              <w:spacing w:line="360" w:lineRule="auto"/>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spacing w:line="360" w:lineRule="auto"/>
              <w:jc w:val="center"/>
              <w:rPr>
                <w:rFonts w:ascii="宋体" w:hAnsi="宋体"/>
                <w:sz w:val="24"/>
                <w:szCs w:val="20"/>
              </w:rPr>
            </w:pPr>
          </w:p>
        </w:tc>
        <w:tc>
          <w:tcPr>
            <w:tcW w:w="1680" w:type="dxa"/>
            <w:gridSpan w:val="2"/>
            <w:vAlign w:val="center"/>
          </w:tcPr>
          <w:p>
            <w:pPr>
              <w:spacing w:line="360" w:lineRule="auto"/>
              <w:jc w:val="center"/>
              <w:rPr>
                <w:rFonts w:ascii="宋体" w:hAnsi="宋体"/>
                <w:sz w:val="24"/>
                <w:szCs w:val="20"/>
              </w:rPr>
            </w:pPr>
          </w:p>
        </w:tc>
        <w:tc>
          <w:tcPr>
            <w:tcW w:w="1580" w:type="dxa"/>
            <w:gridSpan w:val="4"/>
            <w:vAlign w:val="center"/>
          </w:tcPr>
          <w:p>
            <w:pPr>
              <w:spacing w:line="360" w:lineRule="auto"/>
              <w:jc w:val="center"/>
              <w:rPr>
                <w:rFonts w:ascii="宋体" w:hAnsi="宋体"/>
                <w:sz w:val="24"/>
                <w:szCs w:val="20"/>
              </w:rPr>
            </w:pPr>
          </w:p>
        </w:tc>
        <w:tc>
          <w:tcPr>
            <w:tcW w:w="1560" w:type="dxa"/>
            <w:gridSpan w:val="2"/>
            <w:vAlign w:val="center"/>
          </w:tcPr>
          <w:p>
            <w:pPr>
              <w:spacing w:line="360" w:lineRule="auto"/>
              <w:jc w:val="center"/>
              <w:rPr>
                <w:rFonts w:ascii="宋体" w:hAnsi="宋体"/>
                <w:sz w:val="24"/>
                <w:szCs w:val="20"/>
              </w:rPr>
            </w:pPr>
          </w:p>
        </w:tc>
        <w:tc>
          <w:tcPr>
            <w:tcW w:w="1365" w:type="dxa"/>
            <w:gridSpan w:val="2"/>
            <w:vAlign w:val="center"/>
          </w:tcPr>
          <w:p>
            <w:pPr>
              <w:spacing w:line="360" w:lineRule="auto"/>
              <w:jc w:val="center"/>
              <w:rPr>
                <w:rFonts w:ascii="宋体" w:hAnsi="宋体"/>
                <w:sz w:val="24"/>
                <w:szCs w:val="20"/>
              </w:rPr>
            </w:pPr>
          </w:p>
        </w:tc>
        <w:tc>
          <w:tcPr>
            <w:tcW w:w="1890" w:type="dxa"/>
            <w:vAlign w:val="center"/>
          </w:tcPr>
          <w:p>
            <w:pPr>
              <w:spacing w:line="360" w:lineRule="auto"/>
              <w:jc w:val="center"/>
              <w:rPr>
                <w:rFonts w:ascii="宋体" w:hAnsi="宋体"/>
                <w:sz w:val="24"/>
                <w:szCs w:val="20"/>
              </w:rPr>
            </w:pPr>
          </w:p>
        </w:tc>
      </w:tr>
    </w:tbl>
    <w:p>
      <w:pPr>
        <w:keepNext/>
        <w:jc w:val="center"/>
        <w:outlineLvl w:val="2"/>
        <w:rPr>
          <w:rFonts w:hAnsi="宋体" w:eastAsia="楷体_GB2312"/>
          <w:bCs/>
          <w:sz w:val="24"/>
        </w:rPr>
      </w:pPr>
      <w:r>
        <w:rPr>
          <w:rFonts w:hint="eastAsia" w:hAnsi="宋体" w:eastAsia="楷体_GB2312"/>
          <w:bCs/>
          <w:sz w:val="24"/>
        </w:rPr>
        <w:t>（4）项目管理机构配备情况辅助说明资料</w:t>
      </w:r>
    </w:p>
    <w:p>
      <w:pPr>
        <w:spacing w:line="360" w:lineRule="auto"/>
        <w:rPr>
          <w:rFonts w:ascii="宋体" w:hAnsi="宋体"/>
          <w:sz w:val="24"/>
          <w:szCs w:val="20"/>
        </w:rPr>
      </w:pPr>
      <w:r>
        <w:rPr>
          <w:rFonts w:hint="eastAsia" w:ascii="宋体" w:hAnsi="宋体"/>
          <w:sz w:val="24"/>
          <w:szCs w:val="20"/>
        </w:rPr>
        <w:t xml:space="preserve">项目                                                             </w:t>
      </w:r>
      <w:r>
        <w:rPr>
          <w:rFonts w:hint="eastAsia" w:ascii="宋体" w:hAnsi="宋体"/>
          <w:szCs w:val="21"/>
        </w:rPr>
        <w:t xml:space="preserve"> 表4</w:t>
      </w:r>
    </w:p>
    <w:tbl>
      <w:tblPr>
        <w:tblStyle w:val="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9558" w:type="dxa"/>
          </w:tcPr>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jc w:val="center"/>
              <w:rPr>
                <w:rFonts w:ascii="宋体" w:hAnsi="宋体"/>
                <w:b/>
                <w:szCs w:val="20"/>
              </w:rPr>
            </w:pPr>
          </w:p>
          <w:p>
            <w:pPr>
              <w:tabs>
                <w:tab w:val="left" w:pos="0"/>
              </w:tabs>
              <w:spacing w:line="360" w:lineRule="auto"/>
              <w:ind w:right="-212"/>
              <w:rPr>
                <w:rFonts w:ascii="宋体" w:hAnsi="宋体"/>
                <w:szCs w:val="20"/>
              </w:rPr>
            </w:pPr>
          </w:p>
        </w:tc>
      </w:tr>
    </w:tbl>
    <w:p>
      <w:pPr>
        <w:spacing w:before="120" w:line="360" w:lineRule="auto"/>
        <w:ind w:right="34"/>
        <w:rPr>
          <w:rFonts w:ascii="宋体" w:hAnsi="宋体" w:cs="宋体"/>
          <w:szCs w:val="21"/>
        </w:rPr>
      </w:pPr>
      <w:r>
        <w:rPr>
          <w:rFonts w:hint="eastAsia" w:ascii="宋体" w:hAnsi="宋体" w:cs="宋体"/>
          <w:szCs w:val="21"/>
        </w:rPr>
        <w:t>注：1.辅助说明资料主要包括管理机构的机构设置、职责分工、有关复印证明资料以及报价供应商认为有必要提供的资料。辅助说明资料格式不做统一规定，由报价供应商自行设计。</w:t>
      </w:r>
    </w:p>
    <w:p>
      <w:pPr>
        <w:spacing w:line="360" w:lineRule="auto"/>
        <w:ind w:right="34"/>
        <w:rPr>
          <w:rFonts w:ascii="宋体" w:hAnsi="宋体" w:cs="宋体"/>
          <w:szCs w:val="21"/>
        </w:rPr>
      </w:pPr>
      <w:r>
        <w:rPr>
          <w:rFonts w:hint="eastAsia" w:ascii="宋体" w:hAnsi="宋体" w:cs="宋体"/>
          <w:szCs w:val="21"/>
        </w:rPr>
        <w:t>2.项目管理班子配备情况辅助说明资料另附（与本响应文件一起装订）。</w:t>
      </w:r>
    </w:p>
    <w:p>
      <w:pPr>
        <w:spacing w:line="360" w:lineRule="auto"/>
        <w:ind w:right="34"/>
        <w:rPr>
          <w:rFonts w:ascii="宋体" w:hAnsi="宋体" w:cs="宋体"/>
          <w:szCs w:val="21"/>
        </w:rPr>
      </w:pPr>
    </w:p>
    <w:p>
      <w:pPr>
        <w:widowControl/>
        <w:topLinePunct/>
        <w:spacing w:before="4" w:line="360" w:lineRule="auto"/>
        <w:jc w:val="center"/>
        <w:rPr>
          <w:rFonts w:ascii="宋体" w:hAnsi="宋体" w:cs="宋体"/>
          <w:b/>
          <w:sz w:val="24"/>
        </w:rPr>
      </w:pPr>
    </w:p>
    <w:p>
      <w:pPr>
        <w:jc w:val="center"/>
        <w:outlineLvl w:val="0"/>
        <w:rPr>
          <w:rFonts w:ascii="宋体" w:hAnsi="宋体" w:cs="宋体"/>
          <w:b/>
          <w:sz w:val="30"/>
          <w:szCs w:val="30"/>
        </w:rPr>
      </w:pPr>
      <w:r>
        <w:rPr>
          <w:rFonts w:hint="eastAsia" w:ascii="宋体" w:hAnsi="宋体" w:cs="宋体"/>
          <w:b/>
          <w:sz w:val="30"/>
          <w:szCs w:val="30"/>
        </w:rPr>
        <w:t>（</w:t>
      </w:r>
      <w:r>
        <w:rPr>
          <w:rFonts w:hint="eastAsia" w:ascii="宋体" w:hAnsi="宋体" w:cs="宋体"/>
          <w:b/>
          <w:sz w:val="30"/>
          <w:szCs w:val="30"/>
          <w:lang w:val="en-US" w:eastAsia="zh-CN"/>
        </w:rPr>
        <w:t>八</w:t>
      </w:r>
      <w:r>
        <w:rPr>
          <w:rFonts w:hint="eastAsia" w:ascii="宋体" w:hAnsi="宋体" w:cs="宋体"/>
          <w:b/>
          <w:sz w:val="30"/>
          <w:szCs w:val="30"/>
        </w:rPr>
        <w:t>）报价文件格式</w:t>
      </w:r>
    </w:p>
    <w:p>
      <w:pPr>
        <w:keepNext/>
        <w:jc w:val="center"/>
        <w:rPr>
          <w:rFonts w:eastAsia="楷体_GB2312"/>
          <w:b/>
          <w:bCs/>
          <w:sz w:val="32"/>
          <w:szCs w:val="32"/>
        </w:rPr>
      </w:pPr>
      <w:r>
        <w:rPr>
          <w:rFonts w:hint="eastAsia" w:eastAsia="楷体_GB2312"/>
          <w:b/>
          <w:bCs/>
          <w:sz w:val="32"/>
          <w:szCs w:val="32"/>
        </w:rPr>
        <w:t>目录</w:t>
      </w:r>
    </w:p>
    <w:p>
      <w:pPr>
        <w:rPr>
          <w:szCs w:val="20"/>
        </w:rPr>
      </w:pPr>
    </w:p>
    <w:p>
      <w:pPr>
        <w:spacing w:line="360" w:lineRule="auto"/>
        <w:ind w:firstLine="480" w:firstLineChars="200"/>
        <w:rPr>
          <w:sz w:val="24"/>
          <w:szCs w:val="20"/>
        </w:rPr>
      </w:pPr>
      <w:r>
        <w:rPr>
          <w:sz w:val="24"/>
          <w:szCs w:val="20"/>
        </w:rPr>
        <w:t>（</w:t>
      </w:r>
      <w:r>
        <w:rPr>
          <w:rFonts w:hint="eastAsia"/>
          <w:sz w:val="24"/>
          <w:szCs w:val="20"/>
        </w:rPr>
        <w:t>1</w:t>
      </w:r>
      <w:r>
        <w:rPr>
          <w:sz w:val="24"/>
          <w:szCs w:val="20"/>
        </w:rPr>
        <w:t>）</w:t>
      </w:r>
      <w:r>
        <w:rPr>
          <w:rFonts w:hint="eastAsia"/>
          <w:sz w:val="24"/>
          <w:szCs w:val="20"/>
        </w:rPr>
        <w:t>投标总价表1</w:t>
      </w:r>
    </w:p>
    <w:p>
      <w:pPr>
        <w:spacing w:line="360" w:lineRule="auto"/>
        <w:ind w:firstLine="480" w:firstLineChars="200"/>
        <w:rPr>
          <w:sz w:val="24"/>
          <w:szCs w:val="20"/>
        </w:rPr>
      </w:pPr>
      <w:r>
        <w:rPr>
          <w:rFonts w:hint="eastAsia"/>
          <w:sz w:val="24"/>
          <w:szCs w:val="20"/>
        </w:rPr>
        <w:t>（2）单位工程投标报价汇总表表2</w:t>
      </w:r>
    </w:p>
    <w:p>
      <w:pPr>
        <w:spacing w:line="360" w:lineRule="auto"/>
        <w:ind w:firstLine="480" w:firstLineChars="200"/>
        <w:rPr>
          <w:sz w:val="24"/>
          <w:szCs w:val="20"/>
        </w:rPr>
      </w:pPr>
      <w:r>
        <w:rPr>
          <w:rFonts w:hint="eastAsia"/>
          <w:sz w:val="24"/>
          <w:szCs w:val="20"/>
        </w:rPr>
        <w:t>（3）分部分项工程和单价措施项目清单与计价表表3</w:t>
      </w:r>
    </w:p>
    <w:p>
      <w:pPr>
        <w:spacing w:line="360" w:lineRule="auto"/>
        <w:ind w:firstLine="480" w:firstLineChars="200"/>
        <w:rPr>
          <w:sz w:val="24"/>
          <w:szCs w:val="20"/>
        </w:rPr>
      </w:pPr>
      <w:r>
        <w:rPr>
          <w:rFonts w:hint="eastAsia"/>
          <w:sz w:val="24"/>
          <w:szCs w:val="20"/>
        </w:rPr>
        <w:t>（4）综合单价分析表表4</w:t>
      </w:r>
    </w:p>
    <w:p>
      <w:pPr>
        <w:spacing w:line="360" w:lineRule="auto"/>
        <w:ind w:firstLine="480" w:firstLineChars="200"/>
        <w:rPr>
          <w:sz w:val="24"/>
          <w:szCs w:val="20"/>
        </w:rPr>
      </w:pPr>
      <w:r>
        <w:rPr>
          <w:rFonts w:hint="eastAsia"/>
          <w:sz w:val="24"/>
          <w:szCs w:val="20"/>
        </w:rPr>
        <w:t>（5）总价措施项目清单与计价表表5</w:t>
      </w:r>
    </w:p>
    <w:p>
      <w:pPr>
        <w:spacing w:line="360" w:lineRule="auto"/>
        <w:ind w:firstLine="480" w:firstLineChars="200"/>
        <w:rPr>
          <w:sz w:val="24"/>
          <w:szCs w:val="20"/>
        </w:rPr>
      </w:pPr>
      <w:r>
        <w:rPr>
          <w:rFonts w:hint="eastAsia"/>
          <w:sz w:val="24"/>
          <w:szCs w:val="20"/>
        </w:rPr>
        <w:t>（6）其他项目清单与计价汇总表表6</w:t>
      </w:r>
    </w:p>
    <w:p>
      <w:pPr>
        <w:spacing w:line="360" w:lineRule="auto"/>
        <w:ind w:firstLine="480" w:firstLineChars="200"/>
        <w:rPr>
          <w:sz w:val="24"/>
          <w:szCs w:val="20"/>
        </w:rPr>
      </w:pPr>
      <w:r>
        <w:rPr>
          <w:rFonts w:hint="eastAsia"/>
          <w:sz w:val="24"/>
          <w:szCs w:val="20"/>
        </w:rPr>
        <w:t>（7）暂列金额明细表表7</w:t>
      </w:r>
    </w:p>
    <w:p>
      <w:pPr>
        <w:spacing w:line="360" w:lineRule="auto"/>
        <w:ind w:firstLine="480" w:firstLineChars="200"/>
        <w:rPr>
          <w:sz w:val="24"/>
          <w:szCs w:val="20"/>
        </w:rPr>
      </w:pPr>
      <w:r>
        <w:rPr>
          <w:rFonts w:hint="eastAsia"/>
          <w:sz w:val="24"/>
          <w:szCs w:val="20"/>
        </w:rPr>
        <w:t>（8）材料（工程设备）暂估单价及调整表表8</w:t>
      </w:r>
    </w:p>
    <w:p>
      <w:pPr>
        <w:spacing w:line="360" w:lineRule="auto"/>
        <w:ind w:firstLine="480" w:firstLineChars="200"/>
        <w:rPr>
          <w:sz w:val="24"/>
          <w:szCs w:val="20"/>
        </w:rPr>
      </w:pPr>
      <w:r>
        <w:rPr>
          <w:rFonts w:hint="eastAsia"/>
          <w:sz w:val="24"/>
          <w:szCs w:val="20"/>
        </w:rPr>
        <w:t>（9）专业工程暂估价及结算价表表9</w:t>
      </w:r>
    </w:p>
    <w:p>
      <w:pPr>
        <w:spacing w:line="360" w:lineRule="auto"/>
        <w:ind w:firstLine="480" w:firstLineChars="200"/>
        <w:rPr>
          <w:sz w:val="24"/>
          <w:szCs w:val="20"/>
        </w:rPr>
      </w:pPr>
      <w:r>
        <w:rPr>
          <w:rFonts w:hint="eastAsia"/>
          <w:sz w:val="24"/>
          <w:szCs w:val="20"/>
        </w:rPr>
        <w:t>（10）计日工表表10</w:t>
      </w:r>
    </w:p>
    <w:p>
      <w:pPr>
        <w:spacing w:line="360" w:lineRule="auto"/>
        <w:ind w:firstLine="480" w:firstLineChars="200"/>
        <w:rPr>
          <w:sz w:val="24"/>
          <w:szCs w:val="20"/>
        </w:rPr>
      </w:pPr>
      <w:r>
        <w:rPr>
          <w:rFonts w:hint="eastAsia"/>
          <w:sz w:val="24"/>
          <w:szCs w:val="20"/>
        </w:rPr>
        <w:t>（11）总承包服务费计价表表11</w:t>
      </w:r>
    </w:p>
    <w:p>
      <w:pPr>
        <w:spacing w:line="360" w:lineRule="auto"/>
        <w:ind w:firstLine="480" w:firstLineChars="200"/>
        <w:rPr>
          <w:sz w:val="24"/>
          <w:szCs w:val="20"/>
        </w:rPr>
      </w:pPr>
      <w:r>
        <w:rPr>
          <w:rFonts w:hint="eastAsia"/>
          <w:sz w:val="24"/>
          <w:szCs w:val="20"/>
        </w:rPr>
        <w:t>（12）规费、税金项目计价表表12</w:t>
      </w:r>
    </w:p>
    <w:p>
      <w:pPr>
        <w:spacing w:line="360" w:lineRule="auto"/>
        <w:ind w:firstLine="480" w:firstLineChars="200"/>
        <w:rPr>
          <w:sz w:val="24"/>
          <w:szCs w:val="20"/>
        </w:rPr>
      </w:pPr>
      <w:r>
        <w:rPr>
          <w:rFonts w:hint="eastAsia"/>
          <w:sz w:val="24"/>
          <w:szCs w:val="20"/>
        </w:rPr>
        <w:t xml:space="preserve">（13）总价项目进度款支付分解表表13      </w:t>
      </w:r>
    </w:p>
    <w:p>
      <w:pPr>
        <w:spacing w:line="360" w:lineRule="auto"/>
        <w:ind w:firstLine="480" w:firstLineChars="200"/>
        <w:rPr>
          <w:sz w:val="24"/>
          <w:szCs w:val="20"/>
        </w:rPr>
      </w:pPr>
      <w:r>
        <w:rPr>
          <w:rFonts w:hint="eastAsia"/>
          <w:sz w:val="24"/>
          <w:szCs w:val="20"/>
        </w:rPr>
        <w:t>（14）发包人提供材料和工程设备一览表表14</w:t>
      </w:r>
    </w:p>
    <w:p>
      <w:pPr>
        <w:spacing w:line="360" w:lineRule="auto"/>
        <w:ind w:left="5999" w:leftChars="228" w:hanging="5520" w:hangingChars="2300"/>
        <w:rPr>
          <w:sz w:val="24"/>
          <w:szCs w:val="20"/>
        </w:rPr>
      </w:pPr>
      <w:r>
        <w:rPr>
          <w:rFonts w:hint="eastAsia"/>
          <w:sz w:val="24"/>
          <w:szCs w:val="20"/>
        </w:rPr>
        <w:t>（15）承包人提供主要材料和工程设备一览表（适用造价信息差额调整法）表15</w:t>
      </w:r>
    </w:p>
    <w:p>
      <w:pPr>
        <w:spacing w:line="360" w:lineRule="auto"/>
        <w:ind w:left="6049" w:leftChars="227" w:hanging="5572" w:hangingChars="2322"/>
        <w:rPr>
          <w:sz w:val="24"/>
          <w:szCs w:val="20"/>
        </w:rPr>
      </w:pPr>
      <w:r>
        <w:rPr>
          <w:rFonts w:hint="eastAsia"/>
          <w:sz w:val="24"/>
          <w:szCs w:val="20"/>
        </w:rPr>
        <w:t>（16）承包人提供主要材料和工程设备一览表（适用于价格指数差额调整法）表16</w:t>
      </w:r>
    </w:p>
    <w:p>
      <w:pPr>
        <w:spacing w:before="5"/>
        <w:rPr>
          <w:b/>
          <w:bCs/>
          <w:sz w:val="24"/>
          <w:szCs w:val="20"/>
        </w:rPr>
      </w:pPr>
    </w:p>
    <w:p>
      <w:pPr>
        <w:spacing w:before="5"/>
        <w:rPr>
          <w:b/>
          <w:bCs/>
          <w:sz w:val="24"/>
          <w:szCs w:val="20"/>
        </w:rPr>
      </w:pPr>
    </w:p>
    <w:p>
      <w:pPr>
        <w:spacing w:before="5"/>
        <w:rPr>
          <w:b/>
          <w:bCs/>
          <w:sz w:val="24"/>
          <w:szCs w:val="20"/>
        </w:rPr>
      </w:pPr>
      <w:r>
        <w:rPr>
          <w:rFonts w:hint="eastAsia"/>
          <w:b/>
          <w:bCs/>
          <w:sz w:val="24"/>
          <w:szCs w:val="20"/>
        </w:rPr>
        <w:t>注：1-16以导出表格为准。</w:t>
      </w:r>
    </w:p>
    <w:p>
      <w:pPr>
        <w:jc w:val="center"/>
        <w:rPr>
          <w:rFonts w:ascii="黑体" w:eastAsia="黑体" w:cs="宋体"/>
          <w:b/>
          <w:kern w:val="0"/>
          <w:sz w:val="32"/>
          <w:szCs w:val="32"/>
        </w:rPr>
      </w:pPr>
      <w:r>
        <w:rPr>
          <w:b/>
          <w:bCs/>
          <w:sz w:val="24"/>
          <w:szCs w:val="20"/>
        </w:rPr>
        <w:br w:type="page"/>
      </w:r>
      <w:r>
        <w:rPr>
          <w:rFonts w:hint="eastAsia" w:ascii="黑体" w:eastAsia="黑体" w:cs="宋体"/>
          <w:b/>
          <w:kern w:val="0"/>
          <w:sz w:val="32"/>
          <w:szCs w:val="32"/>
        </w:rPr>
        <w:t>一、投 标 总 价</w:t>
      </w:r>
    </w:p>
    <w:p>
      <w:pPr>
        <w:spacing w:line="300" w:lineRule="auto"/>
        <w:jc w:val="right"/>
        <w:rPr>
          <w:rFonts w:ascii="宋体" w:hAnsi="宋体"/>
          <w:sz w:val="28"/>
          <w:szCs w:val="28"/>
        </w:rPr>
      </w:pPr>
      <w:r>
        <w:rPr>
          <w:rFonts w:hint="eastAsia" w:ascii="宋体" w:hAnsi="宋体"/>
          <w:sz w:val="28"/>
          <w:szCs w:val="28"/>
        </w:rPr>
        <w:t>表1</w:t>
      </w: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ind w:firstLine="280" w:firstLineChars="100"/>
        <w:rPr>
          <w:rFonts w:ascii="宋体" w:hAnsi="宋体"/>
          <w:sz w:val="28"/>
          <w:szCs w:val="20"/>
          <w:u w:val="single"/>
        </w:rPr>
      </w:pPr>
      <w:r>
        <w:rPr>
          <w:rFonts w:hint="eastAsia" w:ascii="宋体" w:hAnsi="宋体"/>
          <w:sz w:val="28"/>
          <w:szCs w:val="20"/>
        </w:rPr>
        <w:t>招 标 人：</w:t>
      </w:r>
    </w:p>
    <w:p>
      <w:pPr>
        <w:spacing w:line="300" w:lineRule="exact"/>
        <w:rPr>
          <w:rFonts w:ascii="宋体" w:hAnsi="宋体"/>
          <w:sz w:val="28"/>
          <w:szCs w:val="20"/>
        </w:rPr>
      </w:pPr>
    </w:p>
    <w:p>
      <w:pPr>
        <w:spacing w:line="300" w:lineRule="exact"/>
        <w:rPr>
          <w:rFonts w:ascii="宋体" w:hAnsi="宋体"/>
          <w:sz w:val="28"/>
          <w:szCs w:val="20"/>
          <w:u w:val="single"/>
        </w:rPr>
      </w:pPr>
      <w:r>
        <w:rPr>
          <w:rFonts w:hint="eastAsia" w:ascii="宋体" w:hAnsi="宋体"/>
          <w:sz w:val="28"/>
          <w:szCs w:val="20"/>
        </w:rPr>
        <w:t xml:space="preserve">  工程名称：</w:t>
      </w:r>
    </w:p>
    <w:p>
      <w:pPr>
        <w:spacing w:line="300" w:lineRule="exact"/>
        <w:rPr>
          <w:rFonts w:ascii="宋体" w:hAnsi="宋体"/>
          <w:sz w:val="28"/>
          <w:szCs w:val="20"/>
        </w:rPr>
      </w:pPr>
    </w:p>
    <w:p>
      <w:pPr>
        <w:spacing w:line="300" w:lineRule="exact"/>
        <w:ind w:firstLine="280" w:firstLineChars="100"/>
        <w:rPr>
          <w:rFonts w:ascii="宋体" w:hAnsi="宋体"/>
          <w:sz w:val="28"/>
          <w:szCs w:val="20"/>
          <w:u w:val="single"/>
        </w:rPr>
      </w:pPr>
      <w:r>
        <w:rPr>
          <w:rFonts w:hint="eastAsia" w:ascii="宋体" w:hAnsi="宋体"/>
          <w:sz w:val="28"/>
          <w:szCs w:val="20"/>
        </w:rPr>
        <w:t>投标总价（小写</w:t>
      </w:r>
      <w:r>
        <w:rPr>
          <w:rFonts w:ascii="宋体" w:hAnsi="宋体"/>
          <w:sz w:val="28"/>
          <w:szCs w:val="20"/>
        </w:rPr>
        <w:t>）</w:t>
      </w:r>
      <w:r>
        <w:rPr>
          <w:rFonts w:hint="eastAsia" w:ascii="宋体" w:hAnsi="宋体"/>
          <w:sz w:val="28"/>
          <w:szCs w:val="20"/>
        </w:rPr>
        <w:t>:</w:t>
      </w:r>
    </w:p>
    <w:p>
      <w:pPr>
        <w:spacing w:line="300" w:lineRule="exact"/>
        <w:rPr>
          <w:rFonts w:ascii="宋体" w:hAnsi="宋体"/>
          <w:sz w:val="28"/>
          <w:szCs w:val="20"/>
        </w:rPr>
      </w:pPr>
    </w:p>
    <w:p>
      <w:pPr>
        <w:spacing w:line="300" w:lineRule="exact"/>
        <w:ind w:firstLine="1400" w:firstLineChars="500"/>
        <w:rPr>
          <w:rFonts w:ascii="宋体" w:hAnsi="宋体"/>
          <w:sz w:val="28"/>
          <w:szCs w:val="20"/>
        </w:rPr>
      </w:pPr>
      <w:r>
        <w:rPr>
          <w:rFonts w:hint="eastAsia" w:ascii="宋体" w:hAnsi="宋体"/>
          <w:sz w:val="28"/>
          <w:szCs w:val="20"/>
        </w:rPr>
        <w:t>（大写</w:t>
      </w:r>
      <w:r>
        <w:rPr>
          <w:rFonts w:ascii="宋体" w:hAnsi="宋体"/>
          <w:sz w:val="28"/>
          <w:szCs w:val="20"/>
        </w:rPr>
        <w:t>）</w:t>
      </w:r>
      <w:r>
        <w:rPr>
          <w:rFonts w:hint="eastAsia" w:ascii="宋体" w:hAnsi="宋体"/>
          <w:sz w:val="28"/>
          <w:szCs w:val="20"/>
        </w:rPr>
        <w:t>:</w:t>
      </w: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ind w:firstLine="280" w:firstLineChars="100"/>
        <w:rPr>
          <w:rFonts w:ascii="宋体" w:hAnsi="宋体"/>
          <w:sz w:val="28"/>
          <w:szCs w:val="20"/>
          <w:u w:val="single"/>
        </w:rPr>
      </w:pPr>
      <w:r>
        <w:rPr>
          <w:rFonts w:hint="eastAsia" w:ascii="宋体" w:hAnsi="宋体"/>
          <w:sz w:val="28"/>
          <w:szCs w:val="20"/>
        </w:rPr>
        <w:t>投 标 人：</w:t>
      </w:r>
    </w:p>
    <w:p>
      <w:pPr>
        <w:spacing w:line="300" w:lineRule="exact"/>
        <w:ind w:firstLine="7200" w:firstLineChars="4000"/>
        <w:rPr>
          <w:rFonts w:ascii="宋体" w:hAnsi="宋体"/>
          <w:sz w:val="18"/>
          <w:szCs w:val="18"/>
        </w:rPr>
      </w:pPr>
      <w:r>
        <w:rPr>
          <w:rFonts w:hint="eastAsia" w:ascii="宋体" w:hAnsi="宋体"/>
          <w:sz w:val="18"/>
          <w:szCs w:val="18"/>
        </w:rPr>
        <w:t xml:space="preserve">（单位盖章）  </w:t>
      </w:r>
    </w:p>
    <w:p>
      <w:pPr>
        <w:spacing w:line="300" w:lineRule="exact"/>
        <w:rPr>
          <w:rFonts w:ascii="宋体" w:hAnsi="宋体"/>
          <w:sz w:val="18"/>
          <w:szCs w:val="18"/>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ind w:firstLine="280" w:firstLineChars="100"/>
        <w:rPr>
          <w:rFonts w:ascii="宋体" w:hAnsi="宋体"/>
          <w:sz w:val="28"/>
          <w:szCs w:val="20"/>
        </w:rPr>
      </w:pPr>
      <w:r>
        <w:rPr>
          <w:rFonts w:hint="eastAsia" w:ascii="宋体" w:hAnsi="宋体"/>
          <w:sz w:val="28"/>
          <w:szCs w:val="20"/>
        </w:rPr>
        <w:t>法定代表人</w:t>
      </w:r>
    </w:p>
    <w:p>
      <w:pPr>
        <w:spacing w:line="300" w:lineRule="exact"/>
        <w:ind w:firstLine="280" w:firstLineChars="100"/>
        <w:rPr>
          <w:rFonts w:ascii="宋体" w:hAnsi="宋体"/>
          <w:sz w:val="28"/>
          <w:szCs w:val="20"/>
          <w:u w:val="single"/>
        </w:rPr>
      </w:pPr>
      <w:r>
        <w:rPr>
          <w:rFonts w:hint="eastAsia" w:ascii="宋体" w:hAnsi="宋体"/>
          <w:sz w:val="28"/>
          <w:szCs w:val="20"/>
        </w:rPr>
        <w:t>或其授权人：</w:t>
      </w:r>
    </w:p>
    <w:p>
      <w:pPr>
        <w:spacing w:line="300" w:lineRule="exact"/>
        <w:ind w:firstLine="7290" w:firstLineChars="4050"/>
        <w:rPr>
          <w:rFonts w:ascii="宋体" w:hAnsi="宋体"/>
          <w:sz w:val="28"/>
          <w:szCs w:val="20"/>
        </w:rPr>
      </w:pPr>
      <w:r>
        <w:rPr>
          <w:rFonts w:hint="eastAsia" w:ascii="宋体" w:hAnsi="宋体"/>
          <w:sz w:val="18"/>
          <w:szCs w:val="18"/>
        </w:rPr>
        <w:t>（单位盖章）</w:t>
      </w: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ind w:firstLine="280" w:firstLineChars="100"/>
        <w:rPr>
          <w:rFonts w:ascii="宋体" w:hAnsi="宋体"/>
          <w:sz w:val="28"/>
          <w:szCs w:val="20"/>
          <w:u w:val="single"/>
        </w:rPr>
      </w:pPr>
      <w:r>
        <w:rPr>
          <w:rFonts w:hint="eastAsia" w:ascii="宋体" w:hAnsi="宋体"/>
          <w:sz w:val="28"/>
          <w:szCs w:val="20"/>
        </w:rPr>
        <w:t>编制人：</w:t>
      </w:r>
    </w:p>
    <w:p>
      <w:pPr>
        <w:spacing w:line="300" w:lineRule="exact"/>
        <w:ind w:firstLine="6390" w:firstLineChars="3550"/>
        <w:rPr>
          <w:rFonts w:ascii="宋体" w:hAnsi="宋体"/>
          <w:sz w:val="18"/>
          <w:szCs w:val="18"/>
        </w:rPr>
      </w:pPr>
      <w:r>
        <w:rPr>
          <w:rFonts w:hint="eastAsia" w:ascii="宋体" w:hAnsi="宋体"/>
          <w:sz w:val="18"/>
          <w:szCs w:val="18"/>
        </w:rPr>
        <w:t xml:space="preserve">（造价人员签字盖专用章）  </w:t>
      </w: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rPr>
          <w:rFonts w:ascii="宋体" w:hAnsi="宋体"/>
          <w:sz w:val="28"/>
          <w:szCs w:val="20"/>
        </w:rPr>
      </w:pPr>
    </w:p>
    <w:p>
      <w:pPr>
        <w:spacing w:line="300" w:lineRule="exact"/>
        <w:ind w:firstLine="280" w:firstLineChars="100"/>
        <w:rPr>
          <w:rFonts w:ascii="宋体" w:hAnsi="宋体"/>
          <w:sz w:val="28"/>
          <w:szCs w:val="20"/>
        </w:rPr>
      </w:pPr>
      <w:r>
        <w:rPr>
          <w:rFonts w:hint="eastAsia" w:ascii="宋体" w:hAnsi="宋体"/>
          <w:sz w:val="28"/>
          <w:szCs w:val="20"/>
        </w:rPr>
        <w:t>编制时间：      年      月      日</w:t>
      </w:r>
    </w:p>
    <w:p>
      <w:pPr>
        <w:jc w:val="center"/>
        <w:rPr>
          <w:rFonts w:ascii="黑体" w:eastAsia="黑体" w:cs="宋体"/>
          <w:b/>
          <w:kern w:val="0"/>
          <w:sz w:val="32"/>
          <w:szCs w:val="32"/>
        </w:rPr>
      </w:pPr>
      <w:r>
        <w:rPr>
          <w:rFonts w:ascii="宋体" w:hAnsi="宋体"/>
          <w:sz w:val="28"/>
          <w:szCs w:val="20"/>
        </w:rPr>
        <w:br w:type="page"/>
      </w:r>
      <w:r>
        <w:rPr>
          <w:rFonts w:hint="eastAsia" w:ascii="黑体" w:eastAsia="黑体" w:cs="宋体"/>
          <w:b/>
          <w:kern w:val="0"/>
          <w:sz w:val="32"/>
          <w:szCs w:val="32"/>
        </w:rPr>
        <w:t>二、</w:t>
      </w:r>
      <w:r>
        <w:rPr>
          <w:rFonts w:hint="eastAsia" w:ascii="宋体" w:hAnsi="宋体" w:cs="Arial"/>
          <w:b/>
          <w:bCs/>
          <w:kern w:val="0"/>
          <w:sz w:val="32"/>
          <w:szCs w:val="32"/>
        </w:rPr>
        <w:t>单位工程投标报价汇总表</w:t>
      </w:r>
    </w:p>
    <w:p>
      <w:pPr>
        <w:jc w:val="right"/>
        <w:rPr>
          <w:rFonts w:hAnsi="宋体" w:cs="宋体"/>
          <w:kern w:val="0"/>
          <w:sz w:val="22"/>
          <w:szCs w:val="22"/>
        </w:rPr>
      </w:pPr>
      <w:r>
        <w:rPr>
          <w:rFonts w:hint="eastAsia" w:ascii="宋体" w:hAnsi="宋体"/>
          <w:sz w:val="28"/>
        </w:rPr>
        <w:t>表2</w:t>
      </w:r>
    </w:p>
    <w:tbl>
      <w:tblPr>
        <w:tblStyle w:val="13"/>
        <w:tblW w:w="8237" w:type="dxa"/>
        <w:tblInd w:w="93" w:type="dxa"/>
        <w:tblLayout w:type="fixed"/>
        <w:tblCellMar>
          <w:top w:w="0" w:type="dxa"/>
          <w:left w:w="108" w:type="dxa"/>
          <w:bottom w:w="0" w:type="dxa"/>
          <w:right w:w="108" w:type="dxa"/>
        </w:tblCellMar>
      </w:tblPr>
      <w:tblGrid>
        <w:gridCol w:w="1000"/>
        <w:gridCol w:w="3340"/>
        <w:gridCol w:w="980"/>
        <w:gridCol w:w="791"/>
        <w:gridCol w:w="2126"/>
      </w:tblGrid>
      <w:tr>
        <w:tblPrEx>
          <w:tblCellMar>
            <w:top w:w="0" w:type="dxa"/>
            <w:left w:w="108" w:type="dxa"/>
            <w:bottom w:w="0" w:type="dxa"/>
            <w:right w:w="108" w:type="dxa"/>
          </w:tblCellMar>
        </w:tblPrEx>
        <w:trPr>
          <w:trHeight w:val="690" w:hRule="atLeast"/>
        </w:trPr>
        <w:tc>
          <w:tcPr>
            <w:tcW w:w="8237" w:type="dxa"/>
            <w:gridSpan w:val="5"/>
            <w:tcBorders>
              <w:top w:val="nil"/>
              <w:left w:val="nil"/>
              <w:bottom w:val="nil"/>
              <w:right w:val="nil"/>
            </w:tcBorders>
            <w:vAlign w:val="center"/>
          </w:tcPr>
          <w:p>
            <w:pPr>
              <w:widowControl/>
              <w:rPr>
                <w:rFonts w:ascii="宋体" w:hAnsi="宋体" w:cs="Arial"/>
                <w:b/>
                <w:bCs/>
                <w:kern w:val="0"/>
                <w:sz w:val="32"/>
                <w:szCs w:val="32"/>
              </w:rPr>
            </w:pPr>
          </w:p>
        </w:tc>
      </w:tr>
      <w:tr>
        <w:tblPrEx>
          <w:tblCellMar>
            <w:top w:w="0" w:type="dxa"/>
            <w:left w:w="108" w:type="dxa"/>
            <w:bottom w:w="0" w:type="dxa"/>
            <w:right w:w="108" w:type="dxa"/>
          </w:tblCellMar>
        </w:tblPrEx>
        <w:trPr>
          <w:trHeight w:val="353" w:hRule="atLeast"/>
        </w:trPr>
        <w:tc>
          <w:tcPr>
            <w:tcW w:w="434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980" w:type="dxa"/>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17" w:type="dxa"/>
            <w:gridSpan w:val="2"/>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690" w:hRule="atLeast"/>
        </w:trPr>
        <w:tc>
          <w:tcPr>
            <w:tcW w:w="10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33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汇总内容</w:t>
            </w:r>
          </w:p>
        </w:tc>
        <w:tc>
          <w:tcPr>
            <w:tcW w:w="1771"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2126"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其中:暂估价(元)</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分部分项工程费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1.1</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人工费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1.2</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材料费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1.3</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施工机具使用费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1.4</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企业管理费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1.5</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利润</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措施项目费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2.1</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单价措施项目费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2.2</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总价措施项目费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2.2.1</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其中：安全文明施工措施费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其他项目费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3.1</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其中：暂列金额</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3.2</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其中：专业工程暂估</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3.3</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其中：计日工</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3.4</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其中：总承包服务费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规费</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trPr>
        <w:tc>
          <w:tcPr>
            <w:tcW w:w="100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5</w:t>
            </w:r>
          </w:p>
        </w:tc>
        <w:tc>
          <w:tcPr>
            <w:tcW w:w="33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税金</w:t>
            </w:r>
          </w:p>
        </w:tc>
        <w:tc>
          <w:tcPr>
            <w:tcW w:w="1771"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469" w:hRule="atLeast"/>
        </w:trPr>
        <w:tc>
          <w:tcPr>
            <w:tcW w:w="4340" w:type="dxa"/>
            <w:gridSpan w:val="2"/>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投标报价合计=1+2+3+4+5</w:t>
            </w:r>
          </w:p>
        </w:tc>
        <w:tc>
          <w:tcPr>
            <w:tcW w:w="1771" w:type="dxa"/>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126" w:type="dxa"/>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bl>
    <w:p>
      <w:pPr>
        <w:jc w:val="left"/>
        <w:rPr>
          <w:rFonts w:ascii="宋体" w:hAnsi="宋体"/>
          <w:sz w:val="28"/>
        </w:rPr>
      </w:pPr>
    </w:p>
    <w:p>
      <w:pPr>
        <w:jc w:val="center"/>
        <w:rPr>
          <w:rFonts w:hAnsi="宋体" w:cs="宋体"/>
          <w:kern w:val="0"/>
          <w:sz w:val="36"/>
          <w:szCs w:val="36"/>
        </w:rPr>
      </w:pPr>
      <w:r>
        <w:rPr>
          <w:rFonts w:ascii="宋体" w:hAnsi="宋体"/>
          <w:sz w:val="28"/>
        </w:rPr>
        <w:br w:type="page"/>
      </w:r>
      <w:r>
        <w:rPr>
          <w:rFonts w:hint="eastAsia" w:ascii="黑体" w:eastAsia="黑体" w:cs="宋体"/>
          <w:b/>
          <w:kern w:val="0"/>
          <w:sz w:val="32"/>
          <w:szCs w:val="32"/>
        </w:rPr>
        <w:t>三、</w:t>
      </w:r>
      <w:r>
        <w:rPr>
          <w:rFonts w:hint="eastAsia" w:ascii="宋体" w:hAnsi="宋体" w:cs="Arial"/>
          <w:b/>
          <w:bCs/>
          <w:kern w:val="0"/>
          <w:sz w:val="32"/>
          <w:szCs w:val="32"/>
        </w:rPr>
        <w:t>分部分项工程和单价措施项目清单与计价表</w:t>
      </w:r>
    </w:p>
    <w:p>
      <w:pPr>
        <w:jc w:val="right"/>
      </w:pPr>
      <w:r>
        <w:rPr>
          <w:rFonts w:hint="eastAsia" w:ascii="宋体" w:hAnsi="宋体"/>
          <w:sz w:val="28"/>
        </w:rPr>
        <w:t>表3</w:t>
      </w:r>
    </w:p>
    <w:tbl>
      <w:tblPr>
        <w:tblStyle w:val="13"/>
        <w:tblW w:w="9860" w:type="dxa"/>
        <w:jc w:val="center"/>
        <w:tblLayout w:type="fixed"/>
        <w:tblCellMar>
          <w:top w:w="0" w:type="dxa"/>
          <w:left w:w="108" w:type="dxa"/>
          <w:bottom w:w="0" w:type="dxa"/>
          <w:right w:w="108" w:type="dxa"/>
        </w:tblCellMar>
      </w:tblPr>
      <w:tblGrid>
        <w:gridCol w:w="520"/>
        <w:gridCol w:w="1420"/>
        <w:gridCol w:w="1540"/>
        <w:gridCol w:w="1780"/>
        <w:gridCol w:w="620"/>
        <w:gridCol w:w="40"/>
        <w:gridCol w:w="880"/>
        <w:gridCol w:w="100"/>
        <w:gridCol w:w="820"/>
        <w:gridCol w:w="1120"/>
        <w:gridCol w:w="1020"/>
      </w:tblGrid>
      <w:tr>
        <w:tblPrEx>
          <w:tblCellMar>
            <w:top w:w="0" w:type="dxa"/>
            <w:left w:w="108" w:type="dxa"/>
            <w:bottom w:w="0" w:type="dxa"/>
            <w:right w:w="108" w:type="dxa"/>
          </w:tblCellMar>
        </w:tblPrEx>
        <w:trPr>
          <w:trHeight w:val="690" w:hRule="atLeast"/>
          <w:jc w:val="center"/>
        </w:trPr>
        <w:tc>
          <w:tcPr>
            <w:tcW w:w="9860" w:type="dxa"/>
            <w:gridSpan w:val="11"/>
            <w:tcBorders>
              <w:top w:val="nil"/>
              <w:left w:val="nil"/>
              <w:bottom w:val="nil"/>
              <w:right w:val="nil"/>
            </w:tcBorders>
            <w:vAlign w:val="center"/>
          </w:tcPr>
          <w:p>
            <w:pPr>
              <w:widowControl/>
              <w:jc w:val="center"/>
              <w:rPr>
                <w:rFonts w:ascii="宋体" w:hAnsi="宋体" w:cs="Arial"/>
                <w:b/>
                <w:bCs/>
                <w:kern w:val="0"/>
                <w:sz w:val="32"/>
                <w:szCs w:val="32"/>
              </w:rPr>
            </w:pPr>
          </w:p>
        </w:tc>
      </w:tr>
      <w:tr>
        <w:tblPrEx>
          <w:tblCellMar>
            <w:top w:w="0" w:type="dxa"/>
            <w:left w:w="108" w:type="dxa"/>
            <w:bottom w:w="0" w:type="dxa"/>
            <w:right w:w="108" w:type="dxa"/>
          </w:tblCellMar>
        </w:tblPrEx>
        <w:trPr>
          <w:trHeight w:val="353" w:hRule="atLeast"/>
          <w:jc w:val="center"/>
        </w:trPr>
        <w:tc>
          <w:tcPr>
            <w:tcW w:w="5920" w:type="dxa"/>
            <w:gridSpan w:val="6"/>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98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60" w:type="dxa"/>
            <w:gridSpan w:val="3"/>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308" w:hRule="atLeast"/>
          <w:jc w:val="center"/>
        </w:trPr>
        <w:tc>
          <w:tcPr>
            <w:tcW w:w="52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4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项目编码</w:t>
            </w:r>
          </w:p>
        </w:tc>
        <w:tc>
          <w:tcPr>
            <w:tcW w:w="154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78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项目特征描述</w:t>
            </w:r>
          </w:p>
        </w:tc>
        <w:tc>
          <w:tcPr>
            <w:tcW w:w="6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w:t>
            </w:r>
            <w:r>
              <w:rPr>
                <w:rFonts w:hint="eastAsia" w:ascii="黑体" w:hAnsi="黑体" w:eastAsia="黑体" w:cs="Arial"/>
                <w:kern w:val="0"/>
                <w:szCs w:val="21"/>
              </w:rPr>
              <w:br w:type="textWrapping"/>
            </w:r>
            <w:r>
              <w:rPr>
                <w:rFonts w:hint="eastAsia" w:ascii="黑体" w:hAnsi="黑体" w:eastAsia="黑体" w:cs="Arial"/>
                <w:kern w:val="0"/>
                <w:szCs w:val="21"/>
              </w:rPr>
              <w:t>单位</w:t>
            </w:r>
          </w:p>
        </w:tc>
        <w:tc>
          <w:tcPr>
            <w:tcW w:w="9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工程量</w:t>
            </w:r>
          </w:p>
        </w:tc>
        <w:tc>
          <w:tcPr>
            <w:tcW w:w="3060" w:type="dxa"/>
            <w:gridSpan w:val="4"/>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308" w:hRule="atLeast"/>
          <w:jc w:val="center"/>
        </w:trPr>
        <w:tc>
          <w:tcPr>
            <w:tcW w:w="52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4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78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92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92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综合单价</w:t>
            </w:r>
          </w:p>
        </w:tc>
        <w:tc>
          <w:tcPr>
            <w:tcW w:w="11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w:t>
            </w:r>
          </w:p>
        </w:tc>
        <w:tc>
          <w:tcPr>
            <w:tcW w:w="102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其中</w:t>
            </w:r>
          </w:p>
        </w:tc>
      </w:tr>
      <w:tr>
        <w:tblPrEx>
          <w:tblCellMar>
            <w:top w:w="0" w:type="dxa"/>
            <w:left w:w="108" w:type="dxa"/>
            <w:bottom w:w="0" w:type="dxa"/>
            <w:right w:w="108" w:type="dxa"/>
          </w:tblCellMar>
        </w:tblPrEx>
        <w:trPr>
          <w:trHeight w:val="293" w:hRule="atLeast"/>
          <w:jc w:val="center"/>
        </w:trPr>
        <w:tc>
          <w:tcPr>
            <w:tcW w:w="52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4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78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6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92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02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暂估价</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9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58" w:hRule="atLeast"/>
          <w:jc w:val="center"/>
        </w:trPr>
        <w:tc>
          <w:tcPr>
            <w:tcW w:w="7720" w:type="dxa"/>
            <w:gridSpan w:val="9"/>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本页小计</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2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469" w:hRule="atLeast"/>
          <w:jc w:val="center"/>
        </w:trPr>
        <w:tc>
          <w:tcPr>
            <w:tcW w:w="7720" w:type="dxa"/>
            <w:gridSpan w:val="9"/>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120" w:type="dxa"/>
            <w:tcBorders>
              <w:top w:val="nil"/>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20" w:type="dxa"/>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bl>
    <w:p>
      <w:pPr>
        <w:rPr>
          <w:rFonts w:hAnsi="宋体" w:cs="宋体"/>
          <w:kern w:val="0"/>
          <w:sz w:val="22"/>
          <w:szCs w:val="22"/>
        </w:rPr>
      </w:pPr>
    </w:p>
    <w:p/>
    <w:p>
      <w:pPr>
        <w:jc w:val="center"/>
        <w:rPr>
          <w:rFonts w:ascii="黑体" w:eastAsia="黑体" w:cs="宋体"/>
          <w:b/>
          <w:kern w:val="0"/>
          <w:sz w:val="32"/>
          <w:szCs w:val="32"/>
        </w:rPr>
      </w:pPr>
      <w:r>
        <w:rPr>
          <w:rFonts w:hint="eastAsia" w:ascii="黑体" w:eastAsia="黑体" w:cs="宋体"/>
          <w:b/>
          <w:kern w:val="0"/>
          <w:sz w:val="32"/>
          <w:szCs w:val="32"/>
        </w:rPr>
        <w:t>四、综合单价分析表</w:t>
      </w:r>
    </w:p>
    <w:p>
      <w:pPr>
        <w:jc w:val="left"/>
        <w:rPr>
          <w:rFonts w:ascii="宋体" w:hAnsi="宋体" w:cs="宋体"/>
          <w:b/>
          <w:bCs/>
          <w:kern w:val="0"/>
        </w:rPr>
      </w:pPr>
      <w:r>
        <w:rPr>
          <w:rFonts w:hint="eastAsia" w:ascii="宋体" w:hAnsi="宋体"/>
          <w:sz w:val="28"/>
        </w:rPr>
        <w:t>表4</w:t>
      </w:r>
    </w:p>
    <w:tbl>
      <w:tblPr>
        <w:tblStyle w:val="13"/>
        <w:tblW w:w="9800" w:type="dxa"/>
        <w:jc w:val="center"/>
        <w:tblLayout w:type="fixed"/>
        <w:tblCellMar>
          <w:top w:w="0" w:type="dxa"/>
          <w:left w:w="108" w:type="dxa"/>
          <w:bottom w:w="0" w:type="dxa"/>
          <w:right w:w="108" w:type="dxa"/>
        </w:tblCellMar>
      </w:tblPr>
      <w:tblGrid>
        <w:gridCol w:w="5851"/>
        <w:gridCol w:w="1268"/>
        <w:gridCol w:w="2681"/>
      </w:tblGrid>
      <w:tr>
        <w:tblPrEx>
          <w:tblCellMar>
            <w:top w:w="0" w:type="dxa"/>
            <w:left w:w="108" w:type="dxa"/>
            <w:bottom w:w="0" w:type="dxa"/>
            <w:right w:w="108" w:type="dxa"/>
          </w:tblCellMar>
        </w:tblPrEx>
        <w:trPr>
          <w:trHeight w:val="353" w:hRule="atLeast"/>
          <w:jc w:val="center"/>
        </w:trPr>
        <w:tc>
          <w:tcPr>
            <w:tcW w:w="5851"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268" w:type="dxa"/>
            <w:tcBorders>
              <w:top w:val="single" w:color="auto" w:sz="4" w:space="0"/>
              <w:left w:val="nil"/>
              <w:bottom w:val="single" w:color="auto" w:sz="4" w:space="0"/>
              <w:right w:val="single" w:color="auto" w:sz="4" w:space="0"/>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681" w:type="dxa"/>
            <w:tcBorders>
              <w:top w:val="single" w:color="auto" w:sz="4" w:space="0"/>
              <w:left w:val="nil"/>
              <w:bottom w:val="single" w:color="auto" w:sz="4" w:space="0"/>
              <w:right w:val="single" w:color="auto" w:sz="4" w:space="0"/>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  页 共  页</w:t>
            </w:r>
          </w:p>
        </w:tc>
      </w:tr>
      <w:tr>
        <w:tblPrEx>
          <w:tblCellMar>
            <w:top w:w="0" w:type="dxa"/>
            <w:left w:w="108" w:type="dxa"/>
            <w:bottom w:w="0" w:type="dxa"/>
            <w:right w:w="108" w:type="dxa"/>
          </w:tblCellMar>
        </w:tblPrEx>
        <w:trPr>
          <w:trHeight w:val="1470" w:hRule="atLeast"/>
          <w:jc w:val="center"/>
        </w:trPr>
        <w:tc>
          <w:tcPr>
            <w:tcW w:w="5851" w:type="dxa"/>
            <w:tcBorders>
              <w:top w:val="single" w:color="auto" w:sz="4" w:space="0"/>
              <w:left w:val="single" w:color="auto" w:sz="4" w:space="0"/>
              <w:bottom w:val="single" w:color="auto" w:sz="4" w:space="0"/>
              <w:right w:val="single" w:color="000000" w:sz="4" w:space="0"/>
            </w:tcBorders>
            <w:vAlign w:val="bottom"/>
          </w:tcPr>
          <w:p>
            <w:pPr>
              <w:widowControl/>
              <w:jc w:val="center"/>
              <w:rPr>
                <w:rFonts w:ascii="Arial" w:hAnsi="Arial" w:cs="Arial"/>
                <w:kern w:val="0"/>
                <w:sz w:val="20"/>
              </w:rPr>
            </w:pPr>
            <w:r>
              <w:rPr>
                <w:rFonts w:ascii="Arial" w:hAnsi="Arial" w:cs="Arial"/>
                <w:kern w:val="0"/>
                <w:sz w:val="20"/>
              </w:rPr>
              <w:t>　</w:t>
            </w:r>
          </w:p>
        </w:tc>
        <w:tc>
          <w:tcPr>
            <w:tcW w:w="1268" w:type="dxa"/>
            <w:tcBorders>
              <w:top w:val="nil"/>
              <w:left w:val="nil"/>
              <w:bottom w:val="single" w:color="auto" w:sz="4" w:space="0"/>
              <w:right w:val="single" w:color="auto" w:sz="4" w:space="0"/>
            </w:tcBorders>
            <w:vAlign w:val="bottom"/>
          </w:tcPr>
          <w:p>
            <w:pPr>
              <w:widowControl/>
              <w:jc w:val="left"/>
              <w:rPr>
                <w:rFonts w:ascii="Arial" w:hAnsi="Arial" w:cs="Arial"/>
                <w:kern w:val="0"/>
                <w:sz w:val="20"/>
              </w:rPr>
            </w:pPr>
            <w:r>
              <w:rPr>
                <w:rFonts w:ascii="Arial" w:hAnsi="Arial" w:cs="Arial"/>
                <w:kern w:val="0"/>
                <w:sz w:val="20"/>
              </w:rPr>
              <w:t>　</w:t>
            </w:r>
          </w:p>
        </w:tc>
        <w:tc>
          <w:tcPr>
            <w:tcW w:w="2681" w:type="dxa"/>
            <w:tcBorders>
              <w:top w:val="nil"/>
              <w:left w:val="nil"/>
              <w:bottom w:val="single" w:color="auto" w:sz="4" w:space="0"/>
              <w:right w:val="single" w:color="auto" w:sz="4" w:space="0"/>
            </w:tcBorders>
            <w:vAlign w:val="bottom"/>
          </w:tcPr>
          <w:p>
            <w:pPr>
              <w:widowControl/>
              <w:jc w:val="left"/>
              <w:rPr>
                <w:rFonts w:ascii="Arial" w:hAnsi="Arial" w:cs="Arial"/>
                <w:kern w:val="0"/>
                <w:sz w:val="20"/>
              </w:rPr>
            </w:pPr>
            <w:r>
              <w:rPr>
                <w:rFonts w:ascii="Arial" w:hAnsi="Arial" w:cs="Arial"/>
                <w:kern w:val="0"/>
                <w:sz w:val="20"/>
              </w:rPr>
              <w:t>　</w:t>
            </w:r>
          </w:p>
        </w:tc>
      </w:tr>
      <w:tr>
        <w:tblPrEx>
          <w:tblCellMar>
            <w:top w:w="0" w:type="dxa"/>
            <w:left w:w="108" w:type="dxa"/>
            <w:bottom w:w="0" w:type="dxa"/>
            <w:right w:w="108" w:type="dxa"/>
          </w:tblCellMar>
        </w:tblPrEx>
        <w:trPr>
          <w:trHeight w:val="1470" w:hRule="atLeast"/>
          <w:jc w:val="center"/>
        </w:trPr>
        <w:tc>
          <w:tcPr>
            <w:tcW w:w="5851" w:type="dxa"/>
            <w:tcBorders>
              <w:top w:val="single" w:color="auto" w:sz="4" w:space="0"/>
              <w:left w:val="single" w:color="auto" w:sz="4" w:space="0"/>
              <w:bottom w:val="single" w:color="auto" w:sz="4" w:space="0"/>
              <w:right w:val="single" w:color="000000" w:sz="4" w:space="0"/>
            </w:tcBorders>
            <w:vAlign w:val="bottom"/>
          </w:tcPr>
          <w:p>
            <w:pPr>
              <w:widowControl/>
              <w:jc w:val="center"/>
              <w:rPr>
                <w:rFonts w:ascii="Arial" w:hAnsi="Arial" w:cs="Arial"/>
                <w:kern w:val="0"/>
                <w:sz w:val="20"/>
              </w:rPr>
            </w:pPr>
            <w:r>
              <w:rPr>
                <w:rFonts w:ascii="Arial" w:hAnsi="Arial" w:cs="Arial"/>
                <w:kern w:val="0"/>
                <w:sz w:val="20"/>
              </w:rPr>
              <w:t>　</w:t>
            </w:r>
          </w:p>
        </w:tc>
        <w:tc>
          <w:tcPr>
            <w:tcW w:w="1268" w:type="dxa"/>
            <w:tcBorders>
              <w:top w:val="nil"/>
              <w:left w:val="nil"/>
              <w:bottom w:val="single" w:color="auto" w:sz="4" w:space="0"/>
              <w:right w:val="single" w:color="auto" w:sz="4" w:space="0"/>
            </w:tcBorders>
            <w:vAlign w:val="bottom"/>
          </w:tcPr>
          <w:p>
            <w:pPr>
              <w:widowControl/>
              <w:jc w:val="left"/>
              <w:rPr>
                <w:rFonts w:ascii="Arial" w:hAnsi="Arial" w:cs="Arial"/>
                <w:kern w:val="0"/>
                <w:sz w:val="20"/>
              </w:rPr>
            </w:pPr>
            <w:r>
              <w:rPr>
                <w:rFonts w:ascii="Arial" w:hAnsi="Arial" w:cs="Arial"/>
                <w:kern w:val="0"/>
                <w:sz w:val="20"/>
              </w:rPr>
              <w:t>　</w:t>
            </w:r>
          </w:p>
        </w:tc>
        <w:tc>
          <w:tcPr>
            <w:tcW w:w="2681" w:type="dxa"/>
            <w:tcBorders>
              <w:top w:val="nil"/>
              <w:left w:val="nil"/>
              <w:bottom w:val="single" w:color="auto" w:sz="4" w:space="0"/>
              <w:right w:val="single" w:color="auto" w:sz="4" w:space="0"/>
            </w:tcBorders>
            <w:vAlign w:val="bottom"/>
          </w:tcPr>
          <w:p>
            <w:pPr>
              <w:widowControl/>
              <w:jc w:val="left"/>
              <w:rPr>
                <w:rFonts w:ascii="Arial" w:hAnsi="Arial" w:cs="Arial"/>
                <w:kern w:val="0"/>
                <w:sz w:val="20"/>
              </w:rPr>
            </w:pPr>
            <w:r>
              <w:rPr>
                <w:rFonts w:ascii="Arial" w:hAnsi="Arial" w:cs="Arial"/>
                <w:kern w:val="0"/>
                <w:sz w:val="20"/>
              </w:rPr>
              <w:t>　</w:t>
            </w:r>
          </w:p>
        </w:tc>
      </w:tr>
    </w:tbl>
    <w:p>
      <w:pPr>
        <w:jc w:val="center"/>
        <w:rPr>
          <w:rFonts w:ascii="宋体" w:hAnsi="宋体"/>
          <w:sz w:val="28"/>
        </w:rPr>
      </w:pPr>
    </w:p>
    <w:p>
      <w:pPr>
        <w:jc w:val="center"/>
        <w:rPr>
          <w:rFonts w:hAnsi="宋体"/>
          <w:b/>
          <w:sz w:val="44"/>
          <w:szCs w:val="44"/>
        </w:rPr>
      </w:pPr>
      <w:r>
        <w:rPr>
          <w:rFonts w:ascii="宋体" w:hAnsi="宋体"/>
          <w:sz w:val="28"/>
        </w:rPr>
        <w:br w:type="page"/>
      </w:r>
      <w:r>
        <w:rPr>
          <w:rFonts w:hint="eastAsia" w:ascii="黑体" w:eastAsia="黑体" w:cs="宋体"/>
          <w:b/>
          <w:kern w:val="0"/>
          <w:sz w:val="32"/>
          <w:szCs w:val="32"/>
        </w:rPr>
        <w:t>五、</w:t>
      </w:r>
      <w:r>
        <w:rPr>
          <w:rFonts w:hint="eastAsia" w:ascii="宋体" w:hAnsi="宋体" w:cs="Arial"/>
          <w:b/>
          <w:bCs/>
          <w:kern w:val="0"/>
          <w:sz w:val="32"/>
          <w:szCs w:val="32"/>
        </w:rPr>
        <w:t>总价措施项目清单与计价表</w:t>
      </w:r>
    </w:p>
    <w:p>
      <w:pPr>
        <w:tabs>
          <w:tab w:val="left" w:pos="5580"/>
          <w:tab w:val="left" w:pos="5760"/>
        </w:tabs>
        <w:spacing w:line="440" w:lineRule="exact"/>
        <w:ind w:firstLine="1890" w:firstLineChars="675"/>
        <w:jc w:val="right"/>
        <w:rPr>
          <w:sz w:val="36"/>
          <w:szCs w:val="36"/>
        </w:rPr>
      </w:pPr>
      <w:r>
        <w:rPr>
          <w:rFonts w:hint="eastAsia" w:ascii="宋体" w:hAnsi="宋体"/>
          <w:sz w:val="28"/>
          <w:szCs w:val="20"/>
        </w:rPr>
        <w:t>表5</w:t>
      </w:r>
    </w:p>
    <w:tbl>
      <w:tblPr>
        <w:tblStyle w:val="13"/>
        <w:tblW w:w="9060" w:type="dxa"/>
        <w:jc w:val="center"/>
        <w:tblLayout w:type="fixed"/>
        <w:tblCellMar>
          <w:top w:w="0" w:type="dxa"/>
          <w:left w:w="108" w:type="dxa"/>
          <w:bottom w:w="0" w:type="dxa"/>
          <w:right w:w="108" w:type="dxa"/>
        </w:tblCellMar>
      </w:tblPr>
      <w:tblGrid>
        <w:gridCol w:w="580"/>
        <w:gridCol w:w="995"/>
        <w:gridCol w:w="1417"/>
        <w:gridCol w:w="1985"/>
        <w:gridCol w:w="422"/>
        <w:gridCol w:w="180"/>
        <w:gridCol w:w="720"/>
        <w:gridCol w:w="741"/>
        <w:gridCol w:w="1160"/>
        <w:gridCol w:w="860"/>
      </w:tblGrid>
      <w:tr>
        <w:tblPrEx>
          <w:tblCellMar>
            <w:top w:w="0" w:type="dxa"/>
            <w:left w:w="108" w:type="dxa"/>
            <w:bottom w:w="0" w:type="dxa"/>
            <w:right w:w="108" w:type="dxa"/>
          </w:tblCellMar>
        </w:tblPrEx>
        <w:trPr>
          <w:trHeight w:val="555" w:hRule="atLeast"/>
          <w:jc w:val="center"/>
        </w:trPr>
        <w:tc>
          <w:tcPr>
            <w:tcW w:w="5579" w:type="dxa"/>
            <w:gridSpan w:val="6"/>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720" w:type="dxa"/>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761" w:type="dxa"/>
            <w:gridSpan w:val="3"/>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共2页</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995"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项目编码</w:t>
            </w:r>
          </w:p>
        </w:tc>
        <w:tc>
          <w:tcPr>
            <w:tcW w:w="1417"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985"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422"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9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c>
          <w:tcPr>
            <w:tcW w:w="741"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调整</w:t>
            </w:r>
            <w:r>
              <w:rPr>
                <w:rFonts w:hint="eastAsia" w:ascii="黑体" w:hAnsi="黑体" w:eastAsia="黑体" w:cs="Arial"/>
                <w:kern w:val="0"/>
                <w:szCs w:val="21"/>
              </w:rPr>
              <w:br w:type="textWrapping"/>
            </w:r>
            <w:r>
              <w:rPr>
                <w:rFonts w:hint="eastAsia" w:ascii="黑体" w:hAnsi="黑体" w:eastAsia="黑体" w:cs="Arial"/>
                <w:kern w:val="0"/>
                <w:szCs w:val="21"/>
              </w:rPr>
              <w:t>费率（%）</w:t>
            </w:r>
          </w:p>
        </w:tc>
        <w:tc>
          <w:tcPr>
            <w:tcW w:w="116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调整后</w:t>
            </w:r>
            <w:r>
              <w:rPr>
                <w:rFonts w:hint="eastAsia" w:ascii="黑体" w:hAnsi="黑体" w:eastAsia="黑体" w:cs="Arial"/>
                <w:kern w:val="0"/>
                <w:szCs w:val="21"/>
              </w:rPr>
              <w:br w:type="textWrapping"/>
            </w:r>
            <w:r>
              <w:rPr>
                <w:rFonts w:hint="eastAsia" w:ascii="黑体" w:hAnsi="黑体" w:eastAsia="黑体" w:cs="Arial"/>
                <w:kern w:val="0"/>
                <w:szCs w:val="21"/>
              </w:rPr>
              <w:t>金额（元）</w:t>
            </w:r>
          </w:p>
        </w:tc>
        <w:tc>
          <w:tcPr>
            <w:tcW w:w="86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52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安全文明施工费</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82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1.1</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基本费</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82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1.2</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增加费</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810"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夜间施工</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60"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3</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非夜间施工照明</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750"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4</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二次搬运</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73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5</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冬雨季施工</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82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6</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地上、地下设施、建筑物的临时保护设施</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4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7</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已完工程及设备保护</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4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8</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临时设施</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4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9</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赶工措施</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4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10</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工程按质论价</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645"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11</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住宅分户验收</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9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741"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6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860" w:type="dxa"/>
            <w:tcBorders>
              <w:top w:val="single" w:color="000000" w:sz="4" w:space="0"/>
              <w:left w:val="nil"/>
              <w:bottom w:val="single" w:color="000000" w:sz="4" w:space="0"/>
              <w:right w:val="single" w:color="000000" w:sz="8" w:space="0"/>
            </w:tcBorders>
            <w:vAlign w:val="center"/>
          </w:tcPr>
          <w:p>
            <w:pPr>
              <w:widowControl/>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720" w:hRule="atLeast"/>
          <w:jc w:val="center"/>
        </w:trPr>
        <w:tc>
          <w:tcPr>
            <w:tcW w:w="58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12</w:t>
            </w:r>
          </w:p>
        </w:tc>
        <w:tc>
          <w:tcPr>
            <w:tcW w:w="995"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41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特殊条件下施工增加费</w:t>
            </w:r>
          </w:p>
        </w:tc>
        <w:tc>
          <w:tcPr>
            <w:tcW w:w="1985" w:type="dxa"/>
            <w:tcBorders>
              <w:top w:val="nil"/>
              <w:left w:val="nil"/>
              <w:bottom w:val="single" w:color="000000" w:sz="4" w:space="0"/>
              <w:right w:val="single" w:color="000000" w:sz="4" w:space="0"/>
            </w:tcBorders>
            <w:vAlign w:val="center"/>
          </w:tcPr>
          <w:p>
            <w:pPr>
              <w:widowControl/>
              <w:jc w:val="left"/>
              <w:rPr>
                <w:rFonts w:ascii="宋体" w:hAnsi="宋体" w:cs="Arial"/>
                <w:kern w:val="0"/>
                <w:sz w:val="16"/>
                <w:szCs w:val="16"/>
              </w:rPr>
            </w:pPr>
          </w:p>
        </w:tc>
        <w:tc>
          <w:tcPr>
            <w:tcW w:w="422"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p>
        </w:tc>
        <w:tc>
          <w:tcPr>
            <w:tcW w:w="9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p>
        </w:tc>
        <w:tc>
          <w:tcPr>
            <w:tcW w:w="741"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60" w:type="dxa"/>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bl>
    <w:p>
      <w:pPr>
        <w:jc w:val="center"/>
        <w:rPr>
          <w:rFonts w:ascii="黑体" w:eastAsia="黑体" w:cs="宋体"/>
          <w:b/>
          <w:kern w:val="0"/>
          <w:sz w:val="32"/>
          <w:szCs w:val="32"/>
        </w:rPr>
      </w:pPr>
      <w:r>
        <w:rPr>
          <w:rFonts w:ascii="宋体" w:hAnsi="宋体"/>
          <w:sz w:val="28"/>
          <w:szCs w:val="20"/>
        </w:rPr>
        <w:br w:type="page"/>
      </w:r>
      <w:r>
        <w:rPr>
          <w:rFonts w:hint="eastAsia" w:ascii="黑体" w:hAnsi="宋体" w:eastAsia="黑体"/>
          <w:sz w:val="32"/>
          <w:szCs w:val="32"/>
        </w:rPr>
        <w:t>六、</w:t>
      </w:r>
      <w:r>
        <w:rPr>
          <w:rFonts w:hint="eastAsia" w:ascii="黑体" w:eastAsia="黑体" w:cs="宋体"/>
          <w:b/>
          <w:kern w:val="0"/>
          <w:sz w:val="32"/>
          <w:szCs w:val="32"/>
        </w:rPr>
        <w:t>其他项目清单与计价汇总表</w:t>
      </w:r>
    </w:p>
    <w:p>
      <w:pPr>
        <w:tabs>
          <w:tab w:val="left" w:pos="5580"/>
          <w:tab w:val="left" w:pos="5760"/>
        </w:tabs>
        <w:spacing w:line="440" w:lineRule="exact"/>
        <w:ind w:firstLine="1890" w:firstLineChars="675"/>
        <w:jc w:val="right"/>
        <w:rPr>
          <w:rFonts w:ascii="宋体" w:hAnsi="宋体"/>
          <w:sz w:val="28"/>
          <w:szCs w:val="20"/>
        </w:rPr>
      </w:pPr>
      <w:r>
        <w:rPr>
          <w:rFonts w:hint="eastAsia" w:ascii="宋体" w:hAnsi="宋体"/>
          <w:sz w:val="28"/>
          <w:szCs w:val="20"/>
        </w:rPr>
        <w:t>表6</w:t>
      </w:r>
    </w:p>
    <w:tbl>
      <w:tblPr>
        <w:tblStyle w:val="13"/>
        <w:tblW w:w="9840" w:type="dxa"/>
        <w:jc w:val="center"/>
        <w:tblLayout w:type="fixed"/>
        <w:tblCellMar>
          <w:top w:w="0" w:type="dxa"/>
          <w:left w:w="108" w:type="dxa"/>
          <w:bottom w:w="0" w:type="dxa"/>
          <w:right w:w="108" w:type="dxa"/>
        </w:tblCellMar>
      </w:tblPr>
      <w:tblGrid>
        <w:gridCol w:w="940"/>
        <w:gridCol w:w="1693"/>
        <w:gridCol w:w="1276"/>
        <w:gridCol w:w="992"/>
        <w:gridCol w:w="1019"/>
        <w:gridCol w:w="980"/>
        <w:gridCol w:w="2940"/>
      </w:tblGrid>
      <w:tr>
        <w:tblPrEx>
          <w:tblCellMar>
            <w:top w:w="0" w:type="dxa"/>
            <w:left w:w="108" w:type="dxa"/>
            <w:bottom w:w="0" w:type="dxa"/>
            <w:right w:w="108" w:type="dxa"/>
          </w:tblCellMar>
        </w:tblPrEx>
        <w:trPr>
          <w:cantSplit/>
          <w:trHeight w:val="353" w:hRule="atLeast"/>
          <w:jc w:val="center"/>
        </w:trPr>
        <w:tc>
          <w:tcPr>
            <w:tcW w:w="5920" w:type="dxa"/>
            <w:gridSpan w:val="5"/>
            <w:tcBorders>
              <w:top w:val="nil"/>
              <w:left w:val="nil"/>
              <w:bottom w:val="single" w:color="000000" w:sz="8" w:space="0"/>
              <w:right w:val="nil"/>
            </w:tcBorders>
            <w:vAlign w:val="center"/>
          </w:tcPr>
          <w:p>
            <w:pPr>
              <w:jc w:val="left"/>
              <w:rPr>
                <w:rFonts w:ascii="黑体" w:hAnsi="黑体" w:eastAsia="黑体" w:cs="Arial"/>
                <w:kern w:val="0"/>
                <w:szCs w:val="21"/>
              </w:rPr>
            </w:pPr>
            <w:r>
              <w:rPr>
                <w:rFonts w:hint="eastAsia" w:ascii="黑体" w:hAnsi="黑体" w:eastAsia="黑体" w:cs="Arial"/>
                <w:kern w:val="0"/>
                <w:szCs w:val="21"/>
              </w:rPr>
              <w:t>工程名称：xx工程</w:t>
            </w:r>
          </w:p>
        </w:tc>
        <w:tc>
          <w:tcPr>
            <w:tcW w:w="980" w:type="dxa"/>
            <w:tcBorders>
              <w:top w:val="nil"/>
              <w:left w:val="nil"/>
              <w:bottom w:val="single" w:color="000000" w:sz="8" w:space="0"/>
              <w:right w:val="nil"/>
            </w:tcBorders>
            <w:vAlign w:val="center"/>
          </w:tcPr>
          <w:p>
            <w:pPr>
              <w:jc w:val="left"/>
              <w:rPr>
                <w:rFonts w:ascii="黑体" w:hAnsi="黑体" w:eastAsia="黑体" w:cs="Arial"/>
                <w:kern w:val="0"/>
                <w:szCs w:val="21"/>
              </w:rPr>
            </w:pPr>
            <w:r>
              <w:rPr>
                <w:rFonts w:hint="eastAsia" w:ascii="黑体" w:hAnsi="黑体" w:eastAsia="黑体" w:cs="Arial"/>
                <w:kern w:val="0"/>
                <w:szCs w:val="21"/>
              </w:rPr>
              <w:t>标段：</w:t>
            </w:r>
          </w:p>
        </w:tc>
        <w:tc>
          <w:tcPr>
            <w:tcW w:w="2940" w:type="dxa"/>
            <w:tcBorders>
              <w:top w:val="nil"/>
              <w:left w:val="nil"/>
              <w:bottom w:val="single" w:color="000000" w:sz="8" w:space="0"/>
              <w:right w:val="nil"/>
            </w:tcBorders>
            <w:vAlign w:val="center"/>
          </w:tcPr>
          <w:p>
            <w:pPr>
              <w:ind w:right="420"/>
              <w:jc w:val="right"/>
              <w:rPr>
                <w:rFonts w:ascii="黑体" w:hAnsi="黑体" w:eastAsia="黑体" w:cs="Arial"/>
                <w:kern w:val="0"/>
                <w:szCs w:val="21"/>
              </w:rPr>
            </w:pPr>
            <w:r>
              <w:rPr>
                <w:rFonts w:hint="eastAsia" w:ascii="黑体" w:hAnsi="黑体" w:eastAsia="黑体" w:cs="Arial"/>
                <w:kern w:val="0"/>
                <w:szCs w:val="21"/>
              </w:rPr>
              <w:t>第  页 共  页</w:t>
            </w:r>
          </w:p>
        </w:tc>
      </w:tr>
      <w:tr>
        <w:tblPrEx>
          <w:tblCellMar>
            <w:top w:w="0" w:type="dxa"/>
            <w:left w:w="108" w:type="dxa"/>
            <w:bottom w:w="0" w:type="dxa"/>
            <w:right w:w="108" w:type="dxa"/>
          </w:tblCellMar>
        </w:tblPrEx>
        <w:trPr>
          <w:cantSplit/>
          <w:trHeight w:val="690" w:hRule="atLeast"/>
          <w:jc w:val="center"/>
        </w:trPr>
        <w:tc>
          <w:tcPr>
            <w:tcW w:w="940" w:type="dxa"/>
            <w:tcBorders>
              <w:top w:val="nil"/>
              <w:left w:val="single" w:color="000000" w:sz="8" w:space="0"/>
              <w:bottom w:val="single" w:color="000000" w:sz="4" w:space="0"/>
              <w:right w:val="single" w:color="000000" w:sz="4" w:space="0"/>
            </w:tcBorders>
            <w:shd w:val="clear" w:color="FFFFFF" w:fill="FFFFFF"/>
            <w:vAlign w:val="center"/>
          </w:tcPr>
          <w:p>
            <w:pPr>
              <w:jc w:val="center"/>
              <w:rPr>
                <w:rFonts w:ascii="黑体" w:hAnsi="黑体" w:eastAsia="黑体" w:cs="Arial"/>
                <w:kern w:val="0"/>
                <w:szCs w:val="21"/>
              </w:rPr>
            </w:pPr>
            <w:r>
              <w:rPr>
                <w:rFonts w:hint="eastAsia" w:ascii="黑体" w:hAnsi="黑体" w:eastAsia="黑体" w:cs="Arial"/>
                <w:kern w:val="0"/>
                <w:szCs w:val="21"/>
              </w:rPr>
              <w:t>序号</w:t>
            </w:r>
          </w:p>
        </w:tc>
        <w:tc>
          <w:tcPr>
            <w:tcW w:w="1693" w:type="dxa"/>
            <w:tcBorders>
              <w:top w:val="nil"/>
              <w:left w:val="nil"/>
              <w:bottom w:val="single" w:color="000000" w:sz="4" w:space="0"/>
              <w:right w:val="single" w:color="000000" w:sz="4" w:space="0"/>
            </w:tcBorders>
            <w:shd w:val="clear" w:color="FFFFFF" w:fill="FFFFFF"/>
            <w:vAlign w:val="center"/>
          </w:tcPr>
          <w:p>
            <w:pPr>
              <w:jc w:val="center"/>
              <w:rPr>
                <w:rFonts w:ascii="黑体" w:hAnsi="黑体" w:eastAsia="黑体" w:cs="Arial"/>
                <w:kern w:val="0"/>
                <w:szCs w:val="21"/>
              </w:rPr>
            </w:pPr>
            <w:r>
              <w:rPr>
                <w:rFonts w:hint="eastAsia" w:ascii="黑体" w:hAnsi="黑体" w:eastAsia="黑体" w:cs="Arial"/>
                <w:kern w:val="0"/>
                <w:szCs w:val="21"/>
              </w:rPr>
              <w:t>项目名称</w:t>
            </w:r>
          </w:p>
        </w:tc>
        <w:tc>
          <w:tcPr>
            <w:tcW w:w="1276" w:type="dxa"/>
            <w:tcBorders>
              <w:top w:val="nil"/>
              <w:left w:val="nil"/>
              <w:bottom w:val="single" w:color="000000" w:sz="4" w:space="0"/>
              <w:right w:val="single" w:color="000000" w:sz="4" w:space="0"/>
            </w:tcBorders>
            <w:shd w:val="clear" w:color="FFFFFF" w:fill="FFFFFF"/>
            <w:vAlign w:val="center"/>
          </w:tcPr>
          <w:p>
            <w:pPr>
              <w:jc w:val="center"/>
              <w:rPr>
                <w:rFonts w:ascii="黑体" w:hAnsi="黑体" w:eastAsia="黑体" w:cs="Arial"/>
                <w:kern w:val="0"/>
                <w:szCs w:val="21"/>
              </w:rPr>
            </w:pPr>
            <w:r>
              <w:rPr>
                <w:rFonts w:hint="eastAsia" w:ascii="黑体" w:hAnsi="黑体" w:eastAsia="黑体" w:cs="Arial"/>
                <w:kern w:val="0"/>
                <w:szCs w:val="21"/>
              </w:rPr>
              <w:t>金额(元)</w:t>
            </w:r>
          </w:p>
        </w:tc>
        <w:tc>
          <w:tcPr>
            <w:tcW w:w="992" w:type="dxa"/>
            <w:tcBorders>
              <w:top w:val="single" w:color="000000" w:sz="8" w:space="0"/>
              <w:left w:val="nil"/>
              <w:bottom w:val="single" w:color="000000" w:sz="4" w:space="0"/>
              <w:right w:val="single" w:color="000000" w:sz="4" w:space="0"/>
            </w:tcBorders>
            <w:shd w:val="clear" w:color="FFFFFF" w:fill="FFFFFF"/>
            <w:vAlign w:val="center"/>
          </w:tcPr>
          <w:p>
            <w:pPr>
              <w:jc w:val="center"/>
              <w:rPr>
                <w:rFonts w:ascii="黑体" w:hAnsi="黑体" w:eastAsia="黑体" w:cs="Arial"/>
                <w:kern w:val="0"/>
                <w:szCs w:val="21"/>
              </w:rPr>
            </w:pPr>
            <w:r>
              <w:rPr>
                <w:rFonts w:hint="eastAsia" w:ascii="黑体" w:hAnsi="黑体" w:eastAsia="黑体" w:cs="Arial"/>
                <w:kern w:val="0"/>
                <w:szCs w:val="21"/>
              </w:rPr>
              <w:t>结算金额(元)</w:t>
            </w:r>
          </w:p>
        </w:tc>
        <w:tc>
          <w:tcPr>
            <w:tcW w:w="4939" w:type="dxa"/>
            <w:gridSpan w:val="3"/>
            <w:tcBorders>
              <w:top w:val="nil"/>
              <w:left w:val="nil"/>
              <w:bottom w:val="single" w:color="000000" w:sz="4" w:space="0"/>
              <w:right w:val="single" w:color="000000" w:sz="8" w:space="0"/>
            </w:tcBorders>
            <w:shd w:val="clear" w:color="FFFFFF" w:fill="FFFFFF"/>
            <w:vAlign w:val="center"/>
          </w:tcPr>
          <w:p>
            <w:pPr>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cantSplit/>
          <w:trHeight w:val="353"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1</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暂列金额</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38"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2</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暂估价</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53"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2.1</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材料暂估价</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53"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2.2</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专业工程暂估价</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38"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3</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计日工</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53"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4</w:t>
            </w:r>
          </w:p>
        </w:tc>
        <w:tc>
          <w:tcPr>
            <w:tcW w:w="1693" w:type="dxa"/>
            <w:tcBorders>
              <w:top w:val="nil"/>
              <w:left w:val="nil"/>
              <w:bottom w:val="single" w:color="000000" w:sz="4"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总承包服务费</w:t>
            </w:r>
          </w:p>
        </w:tc>
        <w:tc>
          <w:tcPr>
            <w:tcW w:w="1276" w:type="dxa"/>
            <w:tcBorders>
              <w:top w:val="nil"/>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4"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4"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cantSplit/>
          <w:trHeight w:val="338" w:hRule="atLeast"/>
          <w:jc w:val="center"/>
        </w:trPr>
        <w:tc>
          <w:tcPr>
            <w:tcW w:w="940" w:type="dxa"/>
            <w:tcBorders>
              <w:top w:val="nil"/>
              <w:left w:val="single" w:color="000000" w:sz="8" w:space="0"/>
              <w:bottom w:val="single" w:color="000000" w:sz="4" w:space="0"/>
              <w:right w:val="single" w:color="000000" w:sz="4" w:space="0"/>
            </w:tcBorders>
            <w:vAlign w:val="center"/>
          </w:tcPr>
          <w:p>
            <w:pPr>
              <w:jc w:val="left"/>
              <w:rPr>
                <w:rFonts w:ascii="Arial" w:hAnsi="Arial" w:cs="Arial"/>
                <w:kern w:val="0"/>
                <w:sz w:val="16"/>
                <w:szCs w:val="16"/>
              </w:rPr>
            </w:pPr>
            <w:r>
              <w:rPr>
                <w:rFonts w:ascii="Arial" w:hAnsi="Arial" w:cs="Arial"/>
                <w:kern w:val="0"/>
                <w:sz w:val="16"/>
                <w:szCs w:val="16"/>
              </w:rPr>
              <w:t>　</w:t>
            </w:r>
          </w:p>
        </w:tc>
        <w:tc>
          <w:tcPr>
            <w:tcW w:w="1693" w:type="dxa"/>
            <w:tcBorders>
              <w:top w:val="nil"/>
              <w:left w:val="nil"/>
              <w:bottom w:val="single" w:color="000000" w:sz="4" w:space="0"/>
              <w:right w:val="single" w:color="000000" w:sz="4" w:space="0"/>
            </w:tcBorders>
            <w:vAlign w:val="center"/>
          </w:tcPr>
          <w:p>
            <w:pPr>
              <w:jc w:val="left"/>
              <w:rPr>
                <w:rFonts w:ascii="Arial" w:hAnsi="Arial" w:cs="Arial"/>
                <w:kern w:val="0"/>
                <w:sz w:val="16"/>
                <w:szCs w:val="16"/>
              </w:rPr>
            </w:pPr>
            <w:r>
              <w:rPr>
                <w:rFonts w:ascii="Arial" w:hAnsi="Arial" w:cs="Arial"/>
                <w:kern w:val="0"/>
                <w:sz w:val="16"/>
                <w:szCs w:val="16"/>
              </w:rPr>
              <w:t>　</w:t>
            </w:r>
          </w:p>
        </w:tc>
        <w:tc>
          <w:tcPr>
            <w:tcW w:w="1276" w:type="dxa"/>
            <w:tcBorders>
              <w:top w:val="nil"/>
              <w:left w:val="nil"/>
              <w:bottom w:val="single" w:color="000000" w:sz="4" w:space="0"/>
              <w:right w:val="single" w:color="000000" w:sz="4" w:space="0"/>
            </w:tcBorders>
            <w:vAlign w:val="center"/>
          </w:tcPr>
          <w:p>
            <w:pPr>
              <w:jc w:val="left"/>
              <w:rPr>
                <w:rFonts w:ascii="Arial" w:hAnsi="Arial" w:cs="Arial"/>
                <w:kern w:val="0"/>
                <w:sz w:val="16"/>
                <w:szCs w:val="16"/>
              </w:rPr>
            </w:pPr>
            <w:r>
              <w:rPr>
                <w:rFonts w:ascii="Arial" w:hAnsi="Arial" w:cs="Arial"/>
                <w:kern w:val="0"/>
                <w:sz w:val="16"/>
                <w:szCs w:val="16"/>
              </w:rPr>
              <w:t>　</w:t>
            </w:r>
          </w:p>
        </w:tc>
        <w:tc>
          <w:tcPr>
            <w:tcW w:w="992" w:type="dxa"/>
            <w:tcBorders>
              <w:top w:val="single" w:color="000000" w:sz="4" w:space="0"/>
              <w:left w:val="nil"/>
              <w:bottom w:val="single" w:color="000000" w:sz="4" w:space="0"/>
              <w:right w:val="single" w:color="000000" w:sz="4" w:space="0"/>
            </w:tcBorders>
            <w:vAlign w:val="center"/>
          </w:tcPr>
          <w:p>
            <w:pPr>
              <w:jc w:val="left"/>
              <w:rPr>
                <w:rFonts w:ascii="Arial" w:hAnsi="Arial" w:cs="Arial"/>
                <w:kern w:val="0"/>
                <w:sz w:val="16"/>
                <w:szCs w:val="16"/>
              </w:rPr>
            </w:pPr>
            <w:r>
              <w:rPr>
                <w:rFonts w:ascii="Arial" w:hAnsi="Arial" w:cs="Arial"/>
                <w:kern w:val="0"/>
                <w:sz w:val="16"/>
                <w:szCs w:val="16"/>
              </w:rPr>
              <w:t>　</w:t>
            </w:r>
          </w:p>
        </w:tc>
        <w:tc>
          <w:tcPr>
            <w:tcW w:w="4939" w:type="dxa"/>
            <w:gridSpan w:val="3"/>
            <w:tcBorders>
              <w:top w:val="nil"/>
              <w:left w:val="nil"/>
              <w:bottom w:val="single" w:color="000000" w:sz="4" w:space="0"/>
              <w:right w:val="single" w:color="000000" w:sz="8" w:space="0"/>
            </w:tcBorders>
            <w:vAlign w:val="center"/>
          </w:tcPr>
          <w:p>
            <w:pPr>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cantSplit/>
          <w:trHeight w:val="469" w:hRule="atLeast"/>
          <w:jc w:val="center"/>
        </w:trPr>
        <w:tc>
          <w:tcPr>
            <w:tcW w:w="2633" w:type="dxa"/>
            <w:gridSpan w:val="2"/>
            <w:tcBorders>
              <w:top w:val="single" w:color="000000" w:sz="4" w:space="0"/>
              <w:left w:val="single" w:color="000000" w:sz="8" w:space="0"/>
              <w:bottom w:val="single" w:color="000000" w:sz="8" w:space="0"/>
              <w:right w:val="single" w:color="000000" w:sz="4" w:space="0"/>
            </w:tcBorders>
            <w:vAlign w:val="center"/>
          </w:tcPr>
          <w:p>
            <w:pPr>
              <w:jc w:val="center"/>
              <w:rPr>
                <w:rFonts w:ascii="宋体" w:hAnsi="宋体" w:cs="Arial"/>
                <w:kern w:val="0"/>
                <w:szCs w:val="21"/>
              </w:rPr>
            </w:pPr>
            <w:r>
              <w:rPr>
                <w:rFonts w:hint="eastAsia" w:ascii="宋体" w:hAnsi="宋体" w:cs="Arial"/>
                <w:kern w:val="0"/>
                <w:szCs w:val="21"/>
              </w:rPr>
              <w:t>合  计</w:t>
            </w:r>
          </w:p>
        </w:tc>
        <w:tc>
          <w:tcPr>
            <w:tcW w:w="1276" w:type="dxa"/>
            <w:tcBorders>
              <w:top w:val="nil"/>
              <w:left w:val="nil"/>
              <w:bottom w:val="single" w:color="000000" w:sz="8" w:space="0"/>
              <w:right w:val="single" w:color="000000" w:sz="4" w:space="0"/>
            </w:tcBorders>
            <w:vAlign w:val="center"/>
          </w:tcPr>
          <w:p>
            <w:pPr>
              <w:jc w:val="right"/>
              <w:rPr>
                <w:rFonts w:ascii="宋体" w:hAnsi="宋体" w:cs="Arial"/>
                <w:kern w:val="0"/>
                <w:szCs w:val="21"/>
              </w:rPr>
            </w:pPr>
            <w:r>
              <w:rPr>
                <w:rFonts w:hint="eastAsia" w:ascii="宋体" w:hAnsi="宋体" w:cs="Arial"/>
                <w:kern w:val="0"/>
                <w:szCs w:val="21"/>
              </w:rPr>
              <w:t>　</w:t>
            </w:r>
          </w:p>
        </w:tc>
        <w:tc>
          <w:tcPr>
            <w:tcW w:w="992" w:type="dxa"/>
            <w:tcBorders>
              <w:top w:val="single" w:color="000000" w:sz="4" w:space="0"/>
              <w:left w:val="nil"/>
              <w:bottom w:val="single" w:color="000000" w:sz="8" w:space="0"/>
              <w:right w:val="single" w:color="000000" w:sz="4" w:space="0"/>
            </w:tcBorders>
            <w:vAlign w:val="center"/>
          </w:tcPr>
          <w:p>
            <w:pPr>
              <w:jc w:val="left"/>
              <w:rPr>
                <w:rFonts w:ascii="宋体" w:hAnsi="宋体" w:cs="Arial"/>
                <w:kern w:val="0"/>
                <w:szCs w:val="21"/>
              </w:rPr>
            </w:pPr>
            <w:r>
              <w:rPr>
                <w:rFonts w:hint="eastAsia" w:ascii="宋体" w:hAnsi="宋体" w:cs="Arial"/>
                <w:kern w:val="0"/>
                <w:szCs w:val="21"/>
              </w:rPr>
              <w:t>　</w:t>
            </w:r>
          </w:p>
        </w:tc>
        <w:tc>
          <w:tcPr>
            <w:tcW w:w="4939" w:type="dxa"/>
            <w:gridSpan w:val="3"/>
            <w:tcBorders>
              <w:top w:val="nil"/>
              <w:left w:val="nil"/>
              <w:bottom w:val="single" w:color="000000" w:sz="8" w:space="0"/>
              <w:right w:val="single" w:color="000000" w:sz="8" w:space="0"/>
            </w:tcBorders>
            <w:vAlign w:val="center"/>
          </w:tcPr>
          <w:p>
            <w:pPr>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p>
    <w:p>
      <w:pPr>
        <w:jc w:val="center"/>
        <w:rPr>
          <w:rFonts w:ascii="黑体" w:eastAsia="黑体" w:cs="宋体"/>
          <w:b/>
          <w:kern w:val="0"/>
          <w:sz w:val="32"/>
          <w:szCs w:val="32"/>
        </w:rPr>
      </w:pPr>
      <w:r>
        <w:rPr>
          <w:rFonts w:hint="eastAsia" w:ascii="黑体" w:eastAsia="黑体" w:cs="宋体"/>
          <w:b/>
          <w:kern w:val="0"/>
          <w:sz w:val="32"/>
          <w:szCs w:val="32"/>
        </w:rPr>
        <w:t>七、暂列金额明细表</w:t>
      </w:r>
    </w:p>
    <w:p>
      <w:pPr>
        <w:jc w:val="center"/>
        <w:rPr>
          <w:rFonts w:ascii="宋体" w:hAnsi="宋体" w:cs="宋体"/>
          <w:kern w:val="0"/>
          <w:sz w:val="24"/>
          <w:szCs w:val="20"/>
        </w:rPr>
      </w:pPr>
    </w:p>
    <w:p>
      <w:pPr>
        <w:pStyle w:val="10"/>
        <w:jc w:val="right"/>
      </w:pPr>
      <w:r>
        <w:rPr>
          <w:rFonts w:hint="eastAsia" w:ascii="宋体" w:hAnsi="宋体" w:cs="宋体"/>
          <w:kern w:val="0"/>
          <w:sz w:val="24"/>
          <w:szCs w:val="20"/>
        </w:rPr>
        <w:t>表7</w:t>
      </w:r>
    </w:p>
    <w:tbl>
      <w:tblPr>
        <w:tblStyle w:val="13"/>
        <w:tblW w:w="10893" w:type="dxa"/>
        <w:jc w:val="center"/>
        <w:tblLayout w:type="fixed"/>
        <w:tblCellMar>
          <w:top w:w="0" w:type="dxa"/>
          <w:left w:w="108" w:type="dxa"/>
          <w:bottom w:w="0" w:type="dxa"/>
          <w:right w:w="108" w:type="dxa"/>
        </w:tblCellMar>
      </w:tblPr>
      <w:tblGrid>
        <w:gridCol w:w="1102"/>
        <w:gridCol w:w="3815"/>
        <w:gridCol w:w="1632"/>
        <w:gridCol w:w="1080"/>
        <w:gridCol w:w="1103"/>
        <w:gridCol w:w="2161"/>
      </w:tblGrid>
      <w:tr>
        <w:tblPrEx>
          <w:tblCellMar>
            <w:top w:w="0" w:type="dxa"/>
            <w:left w:w="108" w:type="dxa"/>
            <w:bottom w:w="0" w:type="dxa"/>
            <w:right w:w="108" w:type="dxa"/>
          </w:tblCellMar>
        </w:tblPrEx>
        <w:trPr>
          <w:trHeight w:val="353" w:hRule="atLeast"/>
          <w:jc w:val="center"/>
        </w:trPr>
        <w:tc>
          <w:tcPr>
            <w:tcW w:w="5940" w:type="dxa"/>
            <w:gridSpan w:val="3"/>
            <w:tcBorders>
              <w:top w:val="nil"/>
              <w:left w:val="nil"/>
              <w:bottom w:val="single" w:color="000000" w:sz="8" w:space="0"/>
              <w:right w:val="nil"/>
            </w:tcBorders>
            <w:vAlign w:val="center"/>
          </w:tcPr>
          <w:p>
            <w:pPr>
              <w:widowControl/>
              <w:rPr>
                <w:rFonts w:ascii="黑体" w:hAnsi="黑体" w:eastAsia="黑体" w:cs="Arial"/>
                <w:kern w:val="0"/>
                <w:szCs w:val="21"/>
              </w:rPr>
            </w:pPr>
            <w:r>
              <w:rPr>
                <w:rFonts w:hint="eastAsia" w:ascii="黑体" w:hAnsi="黑体" w:eastAsia="黑体" w:cs="Arial"/>
                <w:kern w:val="0"/>
                <w:szCs w:val="21"/>
              </w:rPr>
              <w:t>工程名称：xx工程</w:t>
            </w:r>
          </w:p>
        </w:tc>
        <w:tc>
          <w:tcPr>
            <w:tcW w:w="980" w:type="dxa"/>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60" w:type="dxa"/>
            <w:gridSpan w:val="2"/>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690" w:hRule="atLeast"/>
          <w:jc w:val="center"/>
        </w:trPr>
        <w:tc>
          <w:tcPr>
            <w:tcW w:w="10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346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4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198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暂定金额(元)</w:t>
            </w:r>
          </w:p>
        </w:tc>
        <w:tc>
          <w:tcPr>
            <w:tcW w:w="196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353" w:hRule="atLeast"/>
          <w:jc w:val="center"/>
        </w:trPr>
        <w:tc>
          <w:tcPr>
            <w:tcW w:w="100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3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8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100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3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8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100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3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8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69" w:hRule="atLeast"/>
          <w:jc w:val="center"/>
        </w:trPr>
        <w:tc>
          <w:tcPr>
            <w:tcW w:w="594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980" w:type="dxa"/>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960" w:type="dxa"/>
            <w:tcBorders>
              <w:top w:val="nil"/>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r>
        <w:rPr>
          <w:rFonts w:ascii="黑体" w:eastAsia="黑体" w:cs="宋体"/>
          <w:b/>
          <w:kern w:val="0"/>
          <w:sz w:val="32"/>
          <w:szCs w:val="32"/>
        </w:rPr>
        <w:br w:type="page"/>
      </w:r>
      <w:r>
        <w:rPr>
          <w:rFonts w:hint="eastAsia" w:ascii="黑体" w:eastAsia="黑体" w:cs="宋体"/>
          <w:b/>
          <w:kern w:val="0"/>
          <w:sz w:val="32"/>
          <w:szCs w:val="32"/>
        </w:rPr>
        <w:t>八、材料（工程设备）暂估单价及调整表</w:t>
      </w:r>
    </w:p>
    <w:p>
      <w:pPr>
        <w:jc w:val="right"/>
        <w:rPr>
          <w:rFonts w:ascii="黑体" w:eastAsia="黑体" w:cs="宋体"/>
          <w:b/>
          <w:kern w:val="0"/>
          <w:sz w:val="32"/>
          <w:szCs w:val="32"/>
        </w:rPr>
      </w:pPr>
      <w:r>
        <w:rPr>
          <w:rFonts w:hint="eastAsia" w:ascii="宋体" w:hAnsi="宋体" w:cs="宋体"/>
          <w:kern w:val="0"/>
          <w:sz w:val="24"/>
          <w:szCs w:val="20"/>
        </w:rPr>
        <w:t>表8</w:t>
      </w:r>
    </w:p>
    <w:tbl>
      <w:tblPr>
        <w:tblStyle w:val="13"/>
        <w:tblW w:w="9880" w:type="dxa"/>
        <w:jc w:val="center"/>
        <w:tblLayout w:type="fixed"/>
        <w:tblCellMar>
          <w:top w:w="0" w:type="dxa"/>
          <w:left w:w="108" w:type="dxa"/>
          <w:bottom w:w="0" w:type="dxa"/>
          <w:right w:w="108" w:type="dxa"/>
        </w:tblCellMar>
      </w:tblPr>
      <w:tblGrid>
        <w:gridCol w:w="460"/>
        <w:gridCol w:w="1000"/>
        <w:gridCol w:w="1640"/>
        <w:gridCol w:w="460"/>
        <w:gridCol w:w="720"/>
        <w:gridCol w:w="740"/>
        <w:gridCol w:w="640"/>
        <w:gridCol w:w="280"/>
        <w:gridCol w:w="540"/>
        <w:gridCol w:w="460"/>
        <w:gridCol w:w="200"/>
        <w:gridCol w:w="780"/>
        <w:gridCol w:w="660"/>
        <w:gridCol w:w="640"/>
        <w:gridCol w:w="660"/>
      </w:tblGrid>
      <w:tr>
        <w:tblPrEx>
          <w:tblCellMar>
            <w:top w:w="0" w:type="dxa"/>
            <w:left w:w="108" w:type="dxa"/>
            <w:bottom w:w="0" w:type="dxa"/>
            <w:right w:w="108" w:type="dxa"/>
          </w:tblCellMar>
        </w:tblPrEx>
        <w:trPr>
          <w:trHeight w:val="353" w:hRule="atLeast"/>
          <w:jc w:val="center"/>
        </w:trPr>
        <w:tc>
          <w:tcPr>
            <w:tcW w:w="5940" w:type="dxa"/>
            <w:gridSpan w:val="8"/>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00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40" w:type="dxa"/>
            <w:gridSpan w:val="5"/>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  页 共  页</w:t>
            </w:r>
          </w:p>
        </w:tc>
      </w:tr>
      <w:tr>
        <w:tblPrEx>
          <w:tblCellMar>
            <w:top w:w="0" w:type="dxa"/>
            <w:left w:w="108" w:type="dxa"/>
            <w:bottom w:w="0" w:type="dxa"/>
            <w:right w:w="108" w:type="dxa"/>
          </w:tblCellMar>
        </w:tblPrEx>
        <w:trPr>
          <w:trHeight w:val="338" w:hRule="atLeast"/>
          <w:jc w:val="center"/>
        </w:trPr>
        <w:tc>
          <w:tcPr>
            <w:tcW w:w="4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00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材料编码</w:t>
            </w:r>
          </w:p>
        </w:tc>
        <w:tc>
          <w:tcPr>
            <w:tcW w:w="164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材料(工程设备)名称、规格、型号</w:t>
            </w:r>
          </w:p>
        </w:tc>
        <w:tc>
          <w:tcPr>
            <w:tcW w:w="46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计量单位</w:t>
            </w:r>
          </w:p>
        </w:tc>
        <w:tc>
          <w:tcPr>
            <w:tcW w:w="146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146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暂估（元）</w:t>
            </w:r>
          </w:p>
        </w:tc>
        <w:tc>
          <w:tcPr>
            <w:tcW w:w="144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确认（元）</w:t>
            </w:r>
          </w:p>
        </w:tc>
        <w:tc>
          <w:tcPr>
            <w:tcW w:w="13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差额±(元)</w:t>
            </w:r>
          </w:p>
        </w:tc>
        <w:tc>
          <w:tcPr>
            <w:tcW w:w="660" w:type="dxa"/>
            <w:vMerge w:val="restart"/>
            <w:tcBorders>
              <w:top w:val="nil"/>
              <w:left w:val="single" w:color="000000" w:sz="4" w:space="0"/>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795" w:hRule="atLeast"/>
          <w:jc w:val="center"/>
        </w:trPr>
        <w:tc>
          <w:tcPr>
            <w:tcW w:w="4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0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46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7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投标</w:t>
            </w:r>
          </w:p>
        </w:tc>
        <w:tc>
          <w:tcPr>
            <w:tcW w:w="7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确认</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w:t>
            </w:r>
          </w:p>
        </w:tc>
        <w:tc>
          <w:tcPr>
            <w:tcW w:w="82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w:t>
            </w:r>
          </w:p>
        </w:tc>
        <w:tc>
          <w:tcPr>
            <w:tcW w:w="660"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w:t>
            </w:r>
          </w:p>
        </w:tc>
        <w:tc>
          <w:tcPr>
            <w:tcW w:w="66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w:t>
            </w:r>
          </w:p>
        </w:tc>
        <w:tc>
          <w:tcPr>
            <w:tcW w:w="660" w:type="dxa"/>
            <w:vMerge w:val="continue"/>
            <w:tcBorders>
              <w:top w:val="nil"/>
              <w:left w:val="single" w:color="000000" w:sz="4" w:space="0"/>
              <w:bottom w:val="single" w:color="000000" w:sz="4" w:space="0"/>
              <w:right w:val="single" w:color="000000" w:sz="8" w:space="0"/>
            </w:tcBorders>
            <w:vAlign w:val="center"/>
          </w:tcPr>
          <w:p>
            <w:pPr>
              <w:widowControl/>
              <w:jc w:val="left"/>
              <w:rPr>
                <w:rFonts w:ascii="黑体" w:hAnsi="黑体" w:eastAsia="黑体" w:cs="Arial"/>
                <w:kern w:val="0"/>
                <w:szCs w:val="21"/>
              </w:rPr>
            </w:pPr>
          </w:p>
        </w:tc>
      </w:tr>
      <w:tr>
        <w:tblPrEx>
          <w:tblCellMar>
            <w:top w:w="0" w:type="dxa"/>
            <w:left w:w="108" w:type="dxa"/>
            <w:bottom w:w="0" w:type="dxa"/>
            <w:right w:w="108" w:type="dxa"/>
          </w:tblCellMar>
        </w:tblPrEx>
        <w:trPr>
          <w:trHeight w:val="353" w:hRule="atLeast"/>
          <w:jc w:val="center"/>
        </w:trPr>
        <w:tc>
          <w:tcPr>
            <w:tcW w:w="4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4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4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4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4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69" w:hRule="atLeast"/>
          <w:jc w:val="center"/>
        </w:trPr>
        <w:tc>
          <w:tcPr>
            <w:tcW w:w="3560" w:type="dxa"/>
            <w:gridSpan w:val="4"/>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合计</w:t>
            </w:r>
          </w:p>
        </w:tc>
        <w:tc>
          <w:tcPr>
            <w:tcW w:w="72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74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4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820" w:type="dxa"/>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660" w:type="dxa"/>
            <w:gridSpan w:val="2"/>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78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6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4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60" w:type="dxa"/>
            <w:tcBorders>
              <w:top w:val="nil"/>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r>
        <w:rPr>
          <w:rFonts w:hint="eastAsia" w:ascii="黑体" w:eastAsia="黑体" w:cs="宋体"/>
          <w:b/>
          <w:kern w:val="0"/>
          <w:sz w:val="32"/>
          <w:szCs w:val="32"/>
        </w:rPr>
        <w:t>九、专业工程暂估价及结算价表</w:t>
      </w:r>
    </w:p>
    <w:p>
      <w:pPr>
        <w:jc w:val="right"/>
        <w:rPr>
          <w:rFonts w:ascii="黑体" w:eastAsia="黑体" w:cs="宋体"/>
          <w:b/>
          <w:kern w:val="0"/>
          <w:sz w:val="32"/>
          <w:szCs w:val="32"/>
        </w:rPr>
      </w:pPr>
      <w:r>
        <w:rPr>
          <w:rFonts w:hint="eastAsia" w:ascii="宋体" w:hAnsi="宋体" w:cs="宋体"/>
          <w:kern w:val="0"/>
          <w:sz w:val="24"/>
          <w:szCs w:val="20"/>
        </w:rPr>
        <w:t>表9</w:t>
      </w:r>
    </w:p>
    <w:tbl>
      <w:tblPr>
        <w:tblStyle w:val="13"/>
        <w:tblW w:w="9860" w:type="dxa"/>
        <w:jc w:val="center"/>
        <w:tblLayout w:type="fixed"/>
        <w:tblCellMar>
          <w:top w:w="0" w:type="dxa"/>
          <w:left w:w="108" w:type="dxa"/>
          <w:bottom w:w="0" w:type="dxa"/>
          <w:right w:w="108" w:type="dxa"/>
        </w:tblCellMar>
      </w:tblPr>
      <w:tblGrid>
        <w:gridCol w:w="720"/>
        <w:gridCol w:w="2140"/>
        <w:gridCol w:w="1780"/>
        <w:gridCol w:w="1280"/>
        <w:gridCol w:w="160"/>
        <w:gridCol w:w="820"/>
        <w:gridCol w:w="600"/>
        <w:gridCol w:w="1300"/>
        <w:gridCol w:w="1060"/>
      </w:tblGrid>
      <w:tr>
        <w:tblPrEx>
          <w:tblCellMar>
            <w:top w:w="0" w:type="dxa"/>
            <w:left w:w="108" w:type="dxa"/>
            <w:bottom w:w="0" w:type="dxa"/>
            <w:right w:w="108" w:type="dxa"/>
          </w:tblCellMar>
        </w:tblPrEx>
        <w:trPr>
          <w:trHeight w:val="353" w:hRule="atLeast"/>
          <w:jc w:val="center"/>
        </w:trPr>
        <w:tc>
          <w:tcPr>
            <w:tcW w:w="5920" w:type="dxa"/>
            <w:gridSpan w:val="4"/>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98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60" w:type="dxa"/>
            <w:gridSpan w:val="3"/>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  页 共 页</w:t>
            </w:r>
          </w:p>
        </w:tc>
      </w:tr>
      <w:tr>
        <w:tblPrEx>
          <w:tblCellMar>
            <w:top w:w="0" w:type="dxa"/>
            <w:left w:w="108" w:type="dxa"/>
            <w:bottom w:w="0" w:type="dxa"/>
            <w:right w:w="108" w:type="dxa"/>
          </w:tblCellMar>
        </w:tblPrEx>
        <w:trPr>
          <w:trHeight w:val="690" w:hRule="atLeast"/>
          <w:jc w:val="center"/>
        </w:trPr>
        <w:tc>
          <w:tcPr>
            <w:tcW w:w="7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21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工程名称</w:t>
            </w:r>
          </w:p>
        </w:tc>
        <w:tc>
          <w:tcPr>
            <w:tcW w:w="17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工程内容</w:t>
            </w:r>
          </w:p>
        </w:tc>
        <w:tc>
          <w:tcPr>
            <w:tcW w:w="144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暂估金额(元)</w:t>
            </w:r>
          </w:p>
        </w:tc>
        <w:tc>
          <w:tcPr>
            <w:tcW w:w="142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结算金额(元)</w:t>
            </w:r>
          </w:p>
        </w:tc>
        <w:tc>
          <w:tcPr>
            <w:tcW w:w="13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差额±(元)</w:t>
            </w:r>
          </w:p>
        </w:tc>
        <w:tc>
          <w:tcPr>
            <w:tcW w:w="106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353" w:hRule="atLeast"/>
          <w:jc w:val="center"/>
        </w:trPr>
        <w:tc>
          <w:tcPr>
            <w:tcW w:w="7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1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7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1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7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1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7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1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6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69" w:hRule="atLeast"/>
          <w:jc w:val="center"/>
        </w:trPr>
        <w:tc>
          <w:tcPr>
            <w:tcW w:w="4640" w:type="dxa"/>
            <w:gridSpan w:val="3"/>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440" w:type="dxa"/>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420" w:type="dxa"/>
            <w:gridSpan w:val="2"/>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30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060" w:type="dxa"/>
            <w:tcBorders>
              <w:top w:val="nil"/>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r>
        <w:rPr>
          <w:rFonts w:hint="eastAsia" w:ascii="黑体" w:eastAsia="黑体" w:cs="宋体"/>
          <w:b/>
          <w:kern w:val="0"/>
          <w:sz w:val="32"/>
          <w:szCs w:val="32"/>
        </w:rPr>
        <w:t>十、计日工表</w:t>
      </w:r>
    </w:p>
    <w:p>
      <w:pPr>
        <w:jc w:val="right"/>
        <w:rPr>
          <w:rFonts w:ascii="宋体" w:hAnsi="宋体" w:cs="宋体"/>
          <w:kern w:val="0"/>
          <w:sz w:val="24"/>
          <w:szCs w:val="20"/>
        </w:rPr>
      </w:pPr>
      <w:r>
        <w:rPr>
          <w:rFonts w:hint="eastAsia" w:ascii="宋体" w:hAnsi="宋体" w:cs="宋体"/>
          <w:kern w:val="0"/>
          <w:sz w:val="24"/>
          <w:szCs w:val="20"/>
        </w:rPr>
        <w:t>表10</w:t>
      </w:r>
    </w:p>
    <w:tbl>
      <w:tblPr>
        <w:tblStyle w:val="13"/>
        <w:tblW w:w="9900" w:type="dxa"/>
        <w:jc w:val="center"/>
        <w:tblLayout w:type="fixed"/>
        <w:tblCellMar>
          <w:top w:w="0" w:type="dxa"/>
          <w:left w:w="108" w:type="dxa"/>
          <w:bottom w:w="0" w:type="dxa"/>
          <w:right w:w="108" w:type="dxa"/>
        </w:tblCellMar>
      </w:tblPr>
      <w:tblGrid>
        <w:gridCol w:w="560"/>
        <w:gridCol w:w="2740"/>
        <w:gridCol w:w="1100"/>
        <w:gridCol w:w="1100"/>
        <w:gridCol w:w="440"/>
        <w:gridCol w:w="680"/>
        <w:gridCol w:w="340"/>
        <w:gridCol w:w="760"/>
        <w:gridCol w:w="1100"/>
        <w:gridCol w:w="1080"/>
      </w:tblGrid>
      <w:tr>
        <w:trPr>
          <w:trHeight w:val="353" w:hRule="atLeast"/>
          <w:jc w:val="center"/>
        </w:trPr>
        <w:tc>
          <w:tcPr>
            <w:tcW w:w="5940" w:type="dxa"/>
            <w:gridSpan w:val="5"/>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02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40" w:type="dxa"/>
            <w:gridSpan w:val="3"/>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338" w:hRule="atLeast"/>
          <w:jc w:val="center"/>
        </w:trPr>
        <w:tc>
          <w:tcPr>
            <w:tcW w:w="5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编号</w:t>
            </w:r>
          </w:p>
        </w:tc>
        <w:tc>
          <w:tcPr>
            <w:tcW w:w="274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10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w:t>
            </w:r>
          </w:p>
        </w:tc>
        <w:tc>
          <w:tcPr>
            <w:tcW w:w="110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暂定数量</w:t>
            </w:r>
          </w:p>
        </w:tc>
        <w:tc>
          <w:tcPr>
            <w:tcW w:w="112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实际数量</w:t>
            </w:r>
          </w:p>
        </w:tc>
        <w:tc>
          <w:tcPr>
            <w:tcW w:w="1100"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综合单价</w:t>
            </w:r>
          </w:p>
        </w:tc>
        <w:tc>
          <w:tcPr>
            <w:tcW w:w="2180"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合价（元）</w:t>
            </w:r>
          </w:p>
        </w:tc>
      </w:tr>
      <w:tr>
        <w:tblPrEx>
          <w:tblCellMar>
            <w:top w:w="0" w:type="dxa"/>
            <w:left w:w="108" w:type="dxa"/>
            <w:bottom w:w="0" w:type="dxa"/>
            <w:right w:w="108" w:type="dxa"/>
          </w:tblCellMar>
        </w:tblPrEx>
        <w:trPr>
          <w:trHeight w:val="353" w:hRule="atLeast"/>
          <w:jc w:val="center"/>
        </w:trPr>
        <w:tc>
          <w:tcPr>
            <w:tcW w:w="5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27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0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2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0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Arial"/>
                <w:kern w:val="0"/>
                <w:szCs w:val="21"/>
              </w:rPr>
            </w:pP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暂定</w:t>
            </w:r>
          </w:p>
        </w:tc>
        <w:tc>
          <w:tcPr>
            <w:tcW w:w="108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实际</w:t>
            </w:r>
          </w:p>
        </w:tc>
      </w:tr>
      <w:tr>
        <w:tblPrEx>
          <w:tblCellMar>
            <w:top w:w="0" w:type="dxa"/>
            <w:left w:w="108" w:type="dxa"/>
            <w:bottom w:w="0" w:type="dxa"/>
            <w:right w:w="108" w:type="dxa"/>
          </w:tblCellMar>
        </w:tblPrEx>
        <w:trPr>
          <w:trHeight w:val="353" w:hRule="atLeast"/>
          <w:jc w:val="center"/>
        </w:trPr>
        <w:tc>
          <w:tcPr>
            <w:tcW w:w="5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一</w:t>
            </w:r>
          </w:p>
        </w:tc>
        <w:tc>
          <w:tcPr>
            <w:tcW w:w="27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人工</w:t>
            </w:r>
          </w:p>
        </w:tc>
        <w:tc>
          <w:tcPr>
            <w:tcW w:w="1100"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2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jc w:val="center"/>
        </w:trPr>
        <w:tc>
          <w:tcPr>
            <w:tcW w:w="7720" w:type="dxa"/>
            <w:gridSpan w:val="8"/>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人工小计</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jc w:val="center"/>
        </w:trPr>
        <w:tc>
          <w:tcPr>
            <w:tcW w:w="5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二</w:t>
            </w:r>
          </w:p>
        </w:tc>
        <w:tc>
          <w:tcPr>
            <w:tcW w:w="27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材料</w:t>
            </w:r>
          </w:p>
        </w:tc>
        <w:tc>
          <w:tcPr>
            <w:tcW w:w="1100"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2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jc w:val="center"/>
        </w:trPr>
        <w:tc>
          <w:tcPr>
            <w:tcW w:w="7720" w:type="dxa"/>
            <w:gridSpan w:val="8"/>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材料小计</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jc w:val="center"/>
        </w:trPr>
        <w:tc>
          <w:tcPr>
            <w:tcW w:w="5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三</w:t>
            </w:r>
          </w:p>
        </w:tc>
        <w:tc>
          <w:tcPr>
            <w:tcW w:w="27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施工机械</w:t>
            </w:r>
          </w:p>
        </w:tc>
        <w:tc>
          <w:tcPr>
            <w:tcW w:w="1100"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2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gridSpan w:val="2"/>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jc w:val="center"/>
        </w:trPr>
        <w:tc>
          <w:tcPr>
            <w:tcW w:w="7720" w:type="dxa"/>
            <w:gridSpan w:val="8"/>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机械小计</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jc w:val="center"/>
        </w:trPr>
        <w:tc>
          <w:tcPr>
            <w:tcW w:w="7720" w:type="dxa"/>
            <w:gridSpan w:val="8"/>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四、企业管理费和利润</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469" w:hRule="atLeast"/>
          <w:jc w:val="center"/>
        </w:trPr>
        <w:tc>
          <w:tcPr>
            <w:tcW w:w="7720" w:type="dxa"/>
            <w:gridSpan w:val="8"/>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总     计</w:t>
            </w:r>
          </w:p>
        </w:tc>
        <w:tc>
          <w:tcPr>
            <w:tcW w:w="1100" w:type="dxa"/>
            <w:tcBorders>
              <w:top w:val="nil"/>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80" w:type="dxa"/>
            <w:tcBorders>
              <w:top w:val="nil"/>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宋体" w:hAnsi="宋体" w:cs="宋体"/>
          <w:kern w:val="0"/>
          <w:sz w:val="18"/>
          <w:szCs w:val="18"/>
        </w:rPr>
      </w:pPr>
    </w:p>
    <w:p>
      <w:pPr>
        <w:jc w:val="center"/>
        <w:rPr>
          <w:rFonts w:ascii="黑体" w:eastAsia="黑体" w:cs="宋体"/>
          <w:b/>
          <w:kern w:val="0"/>
          <w:sz w:val="32"/>
          <w:szCs w:val="32"/>
        </w:rPr>
      </w:pPr>
      <w:r>
        <w:rPr>
          <w:rFonts w:hint="eastAsia" w:ascii="黑体" w:eastAsia="黑体" w:cs="宋体"/>
          <w:b/>
          <w:kern w:val="0"/>
          <w:sz w:val="32"/>
          <w:szCs w:val="32"/>
        </w:rPr>
        <w:t>十一、专业工程暂估价表</w:t>
      </w:r>
    </w:p>
    <w:p>
      <w:pPr>
        <w:jc w:val="right"/>
        <w:rPr>
          <w:rFonts w:ascii="黑体" w:eastAsia="黑体" w:cs="宋体"/>
          <w:b/>
          <w:kern w:val="0"/>
          <w:sz w:val="32"/>
          <w:szCs w:val="32"/>
        </w:rPr>
      </w:pPr>
      <w:r>
        <w:rPr>
          <w:rFonts w:hint="eastAsia" w:ascii="宋体" w:hAnsi="宋体" w:cs="宋体"/>
          <w:kern w:val="0"/>
          <w:sz w:val="24"/>
          <w:szCs w:val="20"/>
        </w:rPr>
        <w:t>表11</w:t>
      </w:r>
    </w:p>
    <w:tbl>
      <w:tblPr>
        <w:tblStyle w:val="13"/>
        <w:tblW w:w="9436" w:type="dxa"/>
        <w:jc w:val="center"/>
        <w:tblLayout w:type="fixed"/>
        <w:tblCellMar>
          <w:top w:w="0" w:type="dxa"/>
          <w:left w:w="108" w:type="dxa"/>
          <w:bottom w:w="0" w:type="dxa"/>
          <w:right w:w="108" w:type="dxa"/>
        </w:tblCellMar>
      </w:tblPr>
      <w:tblGrid>
        <w:gridCol w:w="760"/>
        <w:gridCol w:w="1900"/>
        <w:gridCol w:w="1520"/>
        <w:gridCol w:w="1326"/>
        <w:gridCol w:w="414"/>
        <w:gridCol w:w="980"/>
        <w:gridCol w:w="1396"/>
        <w:gridCol w:w="1140"/>
      </w:tblGrid>
      <w:tr>
        <w:tblPrEx>
          <w:tblCellMar>
            <w:top w:w="0" w:type="dxa"/>
            <w:left w:w="108" w:type="dxa"/>
            <w:bottom w:w="0" w:type="dxa"/>
            <w:right w:w="108" w:type="dxa"/>
          </w:tblCellMar>
        </w:tblPrEx>
        <w:trPr>
          <w:trHeight w:val="353" w:hRule="atLeast"/>
          <w:jc w:val="center"/>
        </w:trPr>
        <w:tc>
          <w:tcPr>
            <w:tcW w:w="5920" w:type="dxa"/>
            <w:gridSpan w:val="5"/>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980" w:type="dxa"/>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536" w:type="dxa"/>
            <w:gridSpan w:val="2"/>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690" w:hRule="atLeast"/>
          <w:jc w:val="center"/>
        </w:trPr>
        <w:tc>
          <w:tcPr>
            <w:tcW w:w="7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9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项目价值(元)</w:t>
            </w:r>
          </w:p>
        </w:tc>
        <w:tc>
          <w:tcPr>
            <w:tcW w:w="1326"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服务内容</w:t>
            </w:r>
          </w:p>
        </w:tc>
        <w:tc>
          <w:tcPr>
            <w:tcW w:w="1394"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1396"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费率(％)</w:t>
            </w:r>
          </w:p>
        </w:tc>
        <w:tc>
          <w:tcPr>
            <w:tcW w:w="114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600" w:hRule="atLeast"/>
          <w:jc w:val="center"/>
        </w:trPr>
        <w:tc>
          <w:tcPr>
            <w:tcW w:w="7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190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发包人发包专业工程</w:t>
            </w:r>
          </w:p>
        </w:tc>
        <w:tc>
          <w:tcPr>
            <w:tcW w:w="152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326"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39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项目价值</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4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38" w:hRule="atLeast"/>
          <w:jc w:val="center"/>
        </w:trPr>
        <w:tc>
          <w:tcPr>
            <w:tcW w:w="7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w:t>
            </w:r>
          </w:p>
        </w:tc>
        <w:tc>
          <w:tcPr>
            <w:tcW w:w="190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发包人供应材料</w:t>
            </w:r>
          </w:p>
        </w:tc>
        <w:tc>
          <w:tcPr>
            <w:tcW w:w="1520"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326"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　</w:t>
            </w:r>
          </w:p>
        </w:tc>
        <w:tc>
          <w:tcPr>
            <w:tcW w:w="139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项目价值</w:t>
            </w:r>
          </w:p>
        </w:tc>
        <w:tc>
          <w:tcPr>
            <w:tcW w:w="1396"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140" w:type="dxa"/>
            <w:tcBorders>
              <w:top w:val="nil"/>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jc w:val="center"/>
        </w:trPr>
        <w:tc>
          <w:tcPr>
            <w:tcW w:w="7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26"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94"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96"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4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76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9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5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26"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94"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396"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4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69" w:hRule="atLeast"/>
          <w:jc w:val="center"/>
        </w:trPr>
        <w:tc>
          <w:tcPr>
            <w:tcW w:w="760" w:type="dxa"/>
            <w:tcBorders>
              <w:top w:val="nil"/>
              <w:left w:val="single" w:color="000000" w:sz="8" w:space="0"/>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900" w:type="dxa"/>
            <w:tcBorders>
              <w:top w:val="nil"/>
              <w:left w:val="nil"/>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152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326"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394" w:type="dxa"/>
            <w:gridSpan w:val="2"/>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396"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140" w:type="dxa"/>
            <w:tcBorders>
              <w:top w:val="nil"/>
              <w:left w:val="nil"/>
              <w:bottom w:val="single" w:color="000000" w:sz="8"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bl>
    <w:p>
      <w:pPr>
        <w:spacing w:line="460" w:lineRule="exact"/>
        <w:rPr>
          <w:rFonts w:ascii="宋体" w:hAnsi="宋体"/>
          <w:sz w:val="28"/>
          <w:szCs w:val="20"/>
        </w:rPr>
      </w:pPr>
    </w:p>
    <w:p>
      <w:pPr>
        <w:jc w:val="center"/>
        <w:rPr>
          <w:rFonts w:ascii="黑体" w:eastAsia="黑体" w:cs="宋体"/>
          <w:b/>
          <w:kern w:val="0"/>
          <w:sz w:val="32"/>
          <w:szCs w:val="32"/>
        </w:rPr>
      </w:pPr>
      <w:r>
        <w:rPr>
          <w:rFonts w:hint="eastAsia" w:ascii="黑体" w:eastAsia="黑体" w:cs="宋体"/>
          <w:b/>
          <w:kern w:val="0"/>
          <w:sz w:val="32"/>
          <w:szCs w:val="32"/>
        </w:rPr>
        <w:t>十二、规费、税金项目计价表</w:t>
      </w:r>
    </w:p>
    <w:p>
      <w:pPr>
        <w:jc w:val="right"/>
        <w:rPr>
          <w:rFonts w:ascii="宋体" w:hAnsi="宋体" w:cs="宋体"/>
          <w:kern w:val="0"/>
          <w:sz w:val="24"/>
          <w:szCs w:val="20"/>
        </w:rPr>
      </w:pPr>
      <w:r>
        <w:rPr>
          <w:rFonts w:hint="eastAsia" w:ascii="宋体" w:hAnsi="宋体" w:cs="宋体"/>
          <w:kern w:val="0"/>
          <w:sz w:val="24"/>
          <w:szCs w:val="20"/>
        </w:rPr>
        <w:t>表12</w:t>
      </w:r>
    </w:p>
    <w:tbl>
      <w:tblPr>
        <w:tblStyle w:val="13"/>
        <w:tblW w:w="8648" w:type="dxa"/>
        <w:jc w:val="center"/>
        <w:tblLayout w:type="fixed"/>
        <w:tblCellMar>
          <w:top w:w="0" w:type="dxa"/>
          <w:left w:w="108" w:type="dxa"/>
          <w:bottom w:w="0" w:type="dxa"/>
          <w:right w:w="108" w:type="dxa"/>
        </w:tblCellMar>
      </w:tblPr>
      <w:tblGrid>
        <w:gridCol w:w="743"/>
        <w:gridCol w:w="1440"/>
        <w:gridCol w:w="1468"/>
        <w:gridCol w:w="236"/>
        <w:gridCol w:w="1245"/>
        <w:gridCol w:w="1438"/>
        <w:gridCol w:w="318"/>
        <w:gridCol w:w="1760"/>
      </w:tblGrid>
      <w:tr>
        <w:tblPrEx>
          <w:tblCellMar>
            <w:top w:w="0" w:type="dxa"/>
            <w:left w:w="108" w:type="dxa"/>
            <w:bottom w:w="0" w:type="dxa"/>
            <w:right w:w="108" w:type="dxa"/>
          </w:tblCellMar>
        </w:tblPrEx>
        <w:trPr>
          <w:trHeight w:val="353" w:hRule="atLeast"/>
          <w:jc w:val="center"/>
        </w:trPr>
        <w:tc>
          <w:tcPr>
            <w:tcW w:w="3651" w:type="dxa"/>
            <w:gridSpan w:val="3"/>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481"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3516" w:type="dxa"/>
            <w:gridSpan w:val="3"/>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　</w:t>
            </w:r>
          </w:p>
        </w:tc>
      </w:tr>
      <w:tr>
        <w:tblPrEx>
          <w:tblCellMar>
            <w:top w:w="0" w:type="dxa"/>
            <w:left w:w="108" w:type="dxa"/>
            <w:bottom w:w="0" w:type="dxa"/>
            <w:right w:w="108" w:type="dxa"/>
          </w:tblCellMar>
        </w:tblPrEx>
        <w:trPr>
          <w:trHeight w:val="690" w:hRule="atLeast"/>
          <w:jc w:val="center"/>
        </w:trPr>
        <w:tc>
          <w:tcPr>
            <w:tcW w:w="74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4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1704"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计算基础</w:t>
            </w:r>
          </w:p>
        </w:tc>
        <w:tc>
          <w:tcPr>
            <w:tcW w:w="1245"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计算基数(元)</w:t>
            </w:r>
          </w:p>
        </w:tc>
        <w:tc>
          <w:tcPr>
            <w:tcW w:w="1438"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计算费率(％)</w:t>
            </w:r>
          </w:p>
        </w:tc>
        <w:tc>
          <w:tcPr>
            <w:tcW w:w="2078"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金额(元)</w:t>
            </w:r>
          </w:p>
        </w:tc>
      </w:tr>
      <w:tr>
        <w:tblPrEx>
          <w:tblCellMar>
            <w:top w:w="0" w:type="dxa"/>
            <w:left w:w="108" w:type="dxa"/>
            <w:bottom w:w="0" w:type="dxa"/>
            <w:right w:w="108" w:type="dxa"/>
          </w:tblCellMar>
        </w:tblPrEx>
        <w:trPr>
          <w:trHeight w:val="900" w:hRule="atLeast"/>
          <w:jc w:val="center"/>
        </w:trPr>
        <w:tc>
          <w:tcPr>
            <w:tcW w:w="74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w:t>
            </w:r>
          </w:p>
        </w:tc>
        <w:tc>
          <w:tcPr>
            <w:tcW w:w="14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规费</w:t>
            </w:r>
          </w:p>
        </w:tc>
        <w:tc>
          <w:tcPr>
            <w:tcW w:w="170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438"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078" w:type="dxa"/>
            <w:gridSpan w:val="2"/>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900" w:hRule="atLeast"/>
          <w:jc w:val="center"/>
        </w:trPr>
        <w:tc>
          <w:tcPr>
            <w:tcW w:w="74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1.1</w:t>
            </w:r>
          </w:p>
        </w:tc>
        <w:tc>
          <w:tcPr>
            <w:tcW w:w="14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社会保险费</w:t>
            </w:r>
          </w:p>
        </w:tc>
        <w:tc>
          <w:tcPr>
            <w:tcW w:w="170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438"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078" w:type="dxa"/>
            <w:gridSpan w:val="2"/>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900" w:hRule="atLeast"/>
          <w:jc w:val="center"/>
        </w:trPr>
        <w:tc>
          <w:tcPr>
            <w:tcW w:w="74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1.2</w:t>
            </w:r>
          </w:p>
        </w:tc>
        <w:tc>
          <w:tcPr>
            <w:tcW w:w="14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住房公积金</w:t>
            </w:r>
          </w:p>
        </w:tc>
        <w:tc>
          <w:tcPr>
            <w:tcW w:w="170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438"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078" w:type="dxa"/>
            <w:gridSpan w:val="2"/>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900" w:hRule="atLeast"/>
          <w:jc w:val="center"/>
        </w:trPr>
        <w:tc>
          <w:tcPr>
            <w:tcW w:w="74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1.3</w:t>
            </w:r>
          </w:p>
        </w:tc>
        <w:tc>
          <w:tcPr>
            <w:tcW w:w="14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工程排污费</w:t>
            </w:r>
          </w:p>
        </w:tc>
        <w:tc>
          <w:tcPr>
            <w:tcW w:w="170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438"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078" w:type="dxa"/>
            <w:gridSpan w:val="2"/>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1200" w:hRule="atLeast"/>
          <w:jc w:val="center"/>
        </w:trPr>
        <w:tc>
          <w:tcPr>
            <w:tcW w:w="743"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2</w:t>
            </w:r>
          </w:p>
        </w:tc>
        <w:tc>
          <w:tcPr>
            <w:tcW w:w="1440" w:type="dxa"/>
            <w:tcBorders>
              <w:top w:val="nil"/>
              <w:left w:val="nil"/>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税金</w:t>
            </w:r>
          </w:p>
        </w:tc>
        <w:tc>
          <w:tcPr>
            <w:tcW w:w="1704"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szCs w:val="21"/>
              </w:rPr>
            </w:pPr>
          </w:p>
        </w:tc>
        <w:tc>
          <w:tcPr>
            <w:tcW w:w="1245"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p>
        </w:tc>
        <w:tc>
          <w:tcPr>
            <w:tcW w:w="1438" w:type="dxa"/>
            <w:tcBorders>
              <w:top w:val="nil"/>
              <w:left w:val="nil"/>
              <w:bottom w:val="single" w:color="000000" w:sz="4"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2078" w:type="dxa"/>
            <w:gridSpan w:val="2"/>
            <w:tcBorders>
              <w:top w:val="single" w:color="000000" w:sz="4" w:space="0"/>
              <w:left w:val="nil"/>
              <w:bottom w:val="single" w:color="000000" w:sz="4" w:space="0"/>
              <w:right w:val="single" w:color="000000" w:sz="8" w:space="0"/>
            </w:tcBorders>
            <w:vAlign w:val="center"/>
          </w:tcPr>
          <w:p>
            <w:pPr>
              <w:widowControl/>
              <w:jc w:val="right"/>
              <w:rPr>
                <w:rFonts w:ascii="宋体" w:hAnsi="宋体" w:cs="Arial"/>
                <w:kern w:val="0"/>
                <w:szCs w:val="21"/>
              </w:rPr>
            </w:pPr>
            <w:r>
              <w:rPr>
                <w:rFonts w:hint="eastAsia" w:ascii="宋体" w:hAnsi="宋体" w:cs="Arial"/>
                <w:kern w:val="0"/>
                <w:szCs w:val="21"/>
              </w:rPr>
              <w:t>　</w:t>
            </w:r>
          </w:p>
        </w:tc>
      </w:tr>
      <w:tr>
        <w:tblPrEx>
          <w:tblCellMar>
            <w:top w:w="0" w:type="dxa"/>
            <w:left w:w="108" w:type="dxa"/>
            <w:bottom w:w="0" w:type="dxa"/>
            <w:right w:w="108" w:type="dxa"/>
          </w:tblCellMar>
        </w:tblPrEx>
        <w:trPr>
          <w:trHeight w:val="353" w:hRule="atLeast"/>
          <w:jc w:val="center"/>
        </w:trPr>
        <w:tc>
          <w:tcPr>
            <w:tcW w:w="743"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04"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p>
        </w:tc>
        <w:tc>
          <w:tcPr>
            <w:tcW w:w="1245"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p>
        </w:tc>
        <w:tc>
          <w:tcPr>
            <w:tcW w:w="1438"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078" w:type="dxa"/>
            <w:gridSpan w:val="2"/>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743"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704"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45"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38"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078" w:type="dxa"/>
            <w:gridSpan w:val="2"/>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689" w:hRule="atLeast"/>
          <w:jc w:val="center"/>
        </w:trPr>
        <w:tc>
          <w:tcPr>
            <w:tcW w:w="8648" w:type="dxa"/>
            <w:gridSpan w:val="8"/>
            <w:tcBorders>
              <w:top w:val="nil"/>
              <w:left w:val="single" w:color="000000" w:sz="8" w:space="0"/>
              <w:bottom w:val="single" w:color="000000" w:sz="4" w:space="0"/>
              <w:right w:val="single" w:color="000000" w:sz="8" w:space="0"/>
            </w:tcBorders>
          </w:tcPr>
          <w:p>
            <w:pPr>
              <w:widowControl/>
              <w:jc w:val="center"/>
              <w:rPr>
                <w:rFonts w:ascii="Arial" w:hAnsi="Arial" w:cs="Arial"/>
                <w:kern w:val="0"/>
                <w:sz w:val="16"/>
                <w:szCs w:val="16"/>
              </w:rPr>
            </w:pPr>
            <w:r>
              <w:rPr>
                <w:rFonts w:hint="eastAsia" w:ascii="Arial" w:hAnsi="Arial" w:cs="Arial"/>
                <w:kern w:val="0"/>
                <w:sz w:val="16"/>
                <w:szCs w:val="16"/>
              </w:rPr>
              <w:t>合计</w:t>
            </w:r>
          </w:p>
        </w:tc>
      </w:tr>
      <w:tr>
        <w:tblPrEx>
          <w:tblCellMar>
            <w:top w:w="0" w:type="dxa"/>
            <w:left w:w="108" w:type="dxa"/>
            <w:bottom w:w="0" w:type="dxa"/>
            <w:right w:w="108" w:type="dxa"/>
          </w:tblCellMar>
        </w:tblPrEx>
        <w:trPr>
          <w:trHeight w:val="15" w:hRule="atLeast"/>
          <w:jc w:val="center"/>
        </w:trPr>
        <w:tc>
          <w:tcPr>
            <w:tcW w:w="743"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1440"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1468"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236"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1245"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1438"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318"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c>
          <w:tcPr>
            <w:tcW w:w="1760" w:type="dxa"/>
            <w:tcBorders>
              <w:top w:val="nil"/>
              <w:left w:val="nil"/>
              <w:bottom w:val="nil"/>
              <w:right w:val="nil"/>
            </w:tcBorders>
          </w:tcPr>
          <w:p>
            <w:pPr>
              <w:widowControl/>
              <w:jc w:val="left"/>
              <w:rPr>
                <w:rFonts w:ascii="Arial" w:hAnsi="Arial" w:cs="Arial"/>
                <w:kern w:val="0"/>
                <w:sz w:val="20"/>
                <w:szCs w:val="20"/>
              </w:rPr>
            </w:pPr>
            <w:r>
              <w:rPr>
                <w:rFonts w:ascii="Arial" w:hAnsi="Arial" w:cs="Arial"/>
                <w:kern w:val="0"/>
                <w:sz w:val="20"/>
                <w:szCs w:val="20"/>
              </w:rPr>
              <w:t>　</w:t>
            </w:r>
          </w:p>
        </w:tc>
      </w:tr>
    </w:tbl>
    <w:p>
      <w:pPr>
        <w:jc w:val="center"/>
        <w:rPr>
          <w:rFonts w:ascii="黑体" w:eastAsia="黑体" w:cs="宋体"/>
          <w:b/>
          <w:kern w:val="0"/>
          <w:sz w:val="32"/>
          <w:szCs w:val="32"/>
        </w:rPr>
      </w:pPr>
      <w:r>
        <w:rPr>
          <w:rFonts w:ascii="黑体" w:eastAsia="黑体" w:cs="宋体"/>
          <w:b/>
          <w:kern w:val="0"/>
          <w:sz w:val="32"/>
          <w:szCs w:val="32"/>
        </w:rPr>
        <w:br w:type="page"/>
      </w:r>
      <w:r>
        <w:rPr>
          <w:rFonts w:hint="eastAsia" w:ascii="黑体" w:eastAsia="黑体" w:cs="宋体"/>
          <w:b/>
          <w:kern w:val="0"/>
          <w:sz w:val="32"/>
          <w:szCs w:val="32"/>
        </w:rPr>
        <w:t>十三、总价项目进度款支付分解表</w:t>
      </w:r>
    </w:p>
    <w:p>
      <w:pPr>
        <w:widowControl/>
        <w:wordWrap w:val="0"/>
        <w:spacing w:line="480" w:lineRule="auto"/>
        <w:jc w:val="right"/>
        <w:rPr>
          <w:rFonts w:ascii="宋体" w:hAnsi="宋体" w:cs="宋体"/>
          <w:kern w:val="0"/>
          <w:sz w:val="24"/>
          <w:szCs w:val="20"/>
        </w:rPr>
      </w:pPr>
      <w:r>
        <w:rPr>
          <w:rFonts w:hint="eastAsia" w:ascii="宋体" w:hAnsi="宋体" w:cs="宋体"/>
          <w:kern w:val="0"/>
          <w:sz w:val="24"/>
          <w:szCs w:val="20"/>
        </w:rPr>
        <w:t>表13</w:t>
      </w:r>
    </w:p>
    <w:tbl>
      <w:tblPr>
        <w:tblStyle w:val="13"/>
        <w:tblW w:w="10272" w:type="dxa"/>
        <w:jc w:val="center"/>
        <w:tblLayout w:type="fixed"/>
        <w:tblCellMar>
          <w:top w:w="0" w:type="dxa"/>
          <w:left w:w="108" w:type="dxa"/>
          <w:bottom w:w="0" w:type="dxa"/>
          <w:right w:w="108" w:type="dxa"/>
        </w:tblCellMar>
      </w:tblPr>
      <w:tblGrid>
        <w:gridCol w:w="963"/>
        <w:gridCol w:w="2443"/>
        <w:gridCol w:w="444"/>
        <w:gridCol w:w="1233"/>
        <w:gridCol w:w="1233"/>
        <w:gridCol w:w="636"/>
        <w:gridCol w:w="1438"/>
        <w:gridCol w:w="1220"/>
        <w:gridCol w:w="662"/>
      </w:tblGrid>
      <w:tr>
        <w:tblPrEx>
          <w:tblCellMar>
            <w:top w:w="0" w:type="dxa"/>
            <w:left w:w="108" w:type="dxa"/>
            <w:bottom w:w="0" w:type="dxa"/>
            <w:right w:w="108" w:type="dxa"/>
          </w:tblCellMar>
        </w:tblPrEx>
        <w:trPr>
          <w:trHeight w:val="353" w:hRule="atLeast"/>
          <w:jc w:val="center"/>
        </w:trPr>
        <w:tc>
          <w:tcPr>
            <w:tcW w:w="6316" w:type="dxa"/>
            <w:gridSpan w:val="5"/>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636" w:type="dxa"/>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3320" w:type="dxa"/>
            <w:gridSpan w:val="3"/>
            <w:tcBorders>
              <w:top w:val="nil"/>
              <w:left w:val="nil"/>
              <w:bottom w:val="single" w:color="000000" w:sz="8" w:space="0"/>
              <w:right w:val="nil"/>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单位：元</w:t>
            </w:r>
          </w:p>
        </w:tc>
      </w:tr>
      <w:tr>
        <w:tblPrEx>
          <w:tblCellMar>
            <w:top w:w="0" w:type="dxa"/>
            <w:left w:w="108" w:type="dxa"/>
            <w:bottom w:w="0" w:type="dxa"/>
            <w:right w:w="108" w:type="dxa"/>
          </w:tblCellMar>
        </w:tblPrEx>
        <w:trPr>
          <w:trHeight w:val="690" w:hRule="atLeast"/>
          <w:jc w:val="center"/>
        </w:trPr>
        <w:tc>
          <w:tcPr>
            <w:tcW w:w="96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2443"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项目名称</w:t>
            </w:r>
          </w:p>
        </w:tc>
        <w:tc>
          <w:tcPr>
            <w:tcW w:w="44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总价</w:t>
            </w:r>
            <w:r>
              <w:rPr>
                <w:rFonts w:hint="eastAsia" w:ascii="黑体" w:hAnsi="黑体" w:eastAsia="黑体" w:cs="Arial"/>
                <w:kern w:val="0"/>
                <w:szCs w:val="21"/>
              </w:rPr>
              <w:br w:type="textWrapping"/>
            </w:r>
            <w:r>
              <w:rPr>
                <w:rFonts w:hint="eastAsia" w:ascii="黑体" w:hAnsi="黑体" w:eastAsia="黑体" w:cs="Arial"/>
                <w:kern w:val="0"/>
                <w:szCs w:val="21"/>
              </w:rPr>
              <w:t>金额</w:t>
            </w:r>
          </w:p>
        </w:tc>
        <w:tc>
          <w:tcPr>
            <w:tcW w:w="1233"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首次</w:t>
            </w:r>
            <w:r>
              <w:rPr>
                <w:rFonts w:hint="eastAsia" w:ascii="黑体" w:hAnsi="黑体" w:eastAsia="黑体" w:cs="Arial"/>
                <w:kern w:val="0"/>
                <w:szCs w:val="21"/>
              </w:rPr>
              <w:br w:type="textWrapping"/>
            </w:r>
            <w:r>
              <w:rPr>
                <w:rFonts w:hint="eastAsia" w:ascii="黑体" w:hAnsi="黑体" w:eastAsia="黑体" w:cs="Arial"/>
                <w:kern w:val="0"/>
                <w:szCs w:val="21"/>
              </w:rPr>
              <w:t>支付</w:t>
            </w:r>
          </w:p>
        </w:tc>
        <w:tc>
          <w:tcPr>
            <w:tcW w:w="1233"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二次</w:t>
            </w:r>
            <w:r>
              <w:rPr>
                <w:rFonts w:hint="eastAsia" w:ascii="黑体" w:hAnsi="黑体" w:eastAsia="黑体" w:cs="Arial"/>
                <w:kern w:val="0"/>
                <w:szCs w:val="21"/>
              </w:rPr>
              <w:br w:type="textWrapping"/>
            </w:r>
            <w:r>
              <w:rPr>
                <w:rFonts w:hint="eastAsia" w:ascii="黑体" w:hAnsi="黑体" w:eastAsia="黑体" w:cs="Arial"/>
                <w:kern w:val="0"/>
                <w:szCs w:val="21"/>
              </w:rPr>
              <w:t>支付</w:t>
            </w:r>
          </w:p>
        </w:tc>
        <w:tc>
          <w:tcPr>
            <w:tcW w:w="63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三次</w:t>
            </w:r>
            <w:r>
              <w:rPr>
                <w:rFonts w:hint="eastAsia" w:ascii="黑体" w:hAnsi="黑体" w:eastAsia="黑体" w:cs="Arial"/>
                <w:kern w:val="0"/>
                <w:szCs w:val="21"/>
              </w:rPr>
              <w:br w:type="textWrapping"/>
            </w:r>
            <w:r>
              <w:rPr>
                <w:rFonts w:hint="eastAsia" w:ascii="黑体" w:hAnsi="黑体" w:eastAsia="黑体" w:cs="Arial"/>
                <w:kern w:val="0"/>
                <w:szCs w:val="21"/>
              </w:rPr>
              <w:t>支付</w:t>
            </w:r>
          </w:p>
        </w:tc>
        <w:tc>
          <w:tcPr>
            <w:tcW w:w="1438"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四次</w:t>
            </w:r>
            <w:r>
              <w:rPr>
                <w:rFonts w:hint="eastAsia" w:ascii="黑体" w:hAnsi="黑体" w:eastAsia="黑体" w:cs="Arial"/>
                <w:kern w:val="0"/>
                <w:szCs w:val="21"/>
              </w:rPr>
              <w:br w:type="textWrapping"/>
            </w:r>
            <w:r>
              <w:rPr>
                <w:rFonts w:hint="eastAsia" w:ascii="黑体" w:hAnsi="黑体" w:eastAsia="黑体" w:cs="Arial"/>
                <w:kern w:val="0"/>
                <w:szCs w:val="21"/>
              </w:rPr>
              <w:t>支付</w:t>
            </w:r>
          </w:p>
        </w:tc>
        <w:tc>
          <w:tcPr>
            <w:tcW w:w="12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五次</w:t>
            </w:r>
            <w:r>
              <w:rPr>
                <w:rFonts w:hint="eastAsia" w:ascii="黑体" w:hAnsi="黑体" w:eastAsia="黑体" w:cs="Arial"/>
                <w:kern w:val="0"/>
                <w:szCs w:val="21"/>
              </w:rPr>
              <w:br w:type="textWrapping"/>
            </w:r>
            <w:r>
              <w:rPr>
                <w:rFonts w:hint="eastAsia" w:ascii="黑体" w:hAnsi="黑体" w:eastAsia="黑体" w:cs="Arial"/>
                <w:kern w:val="0"/>
                <w:szCs w:val="21"/>
              </w:rPr>
              <w:t>支付</w:t>
            </w:r>
          </w:p>
        </w:tc>
        <w:tc>
          <w:tcPr>
            <w:tcW w:w="662"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　</w:t>
            </w:r>
          </w:p>
        </w:tc>
      </w:tr>
      <w:tr>
        <w:tblPrEx>
          <w:tblCellMar>
            <w:top w:w="0" w:type="dxa"/>
            <w:left w:w="108" w:type="dxa"/>
            <w:bottom w:w="0" w:type="dxa"/>
            <w:right w:w="108" w:type="dxa"/>
          </w:tblCellMar>
        </w:tblPrEx>
        <w:trPr>
          <w:trHeight w:val="353" w:hRule="atLeast"/>
          <w:jc w:val="center"/>
        </w:trPr>
        <w:tc>
          <w:tcPr>
            <w:tcW w:w="963"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44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44"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36"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38"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2" w:type="dxa"/>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963"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44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44"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36"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38"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2" w:type="dxa"/>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963"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44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444"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33"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36" w:type="dxa"/>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438"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2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62" w:type="dxa"/>
            <w:tcBorders>
              <w:top w:val="single" w:color="000000" w:sz="4" w:space="0"/>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58" w:hRule="atLeast"/>
          <w:jc w:val="center"/>
        </w:trPr>
        <w:tc>
          <w:tcPr>
            <w:tcW w:w="3406" w:type="dxa"/>
            <w:gridSpan w:val="2"/>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444" w:type="dxa"/>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233" w:type="dxa"/>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233" w:type="dxa"/>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36" w:type="dxa"/>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438" w:type="dxa"/>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220" w:type="dxa"/>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662" w:type="dxa"/>
            <w:tcBorders>
              <w:top w:val="single" w:color="000000" w:sz="4" w:space="0"/>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r>
        <w:rPr>
          <w:rFonts w:hint="eastAsia" w:ascii="黑体" w:eastAsia="黑体" w:cs="宋体"/>
          <w:b/>
          <w:kern w:val="0"/>
          <w:sz w:val="32"/>
          <w:szCs w:val="32"/>
        </w:rPr>
        <w:t>十四、发包人提供材料和工程设备一览表</w:t>
      </w:r>
    </w:p>
    <w:p>
      <w:pPr>
        <w:widowControl/>
        <w:spacing w:line="420" w:lineRule="atLeast"/>
        <w:jc w:val="right"/>
        <w:rPr>
          <w:rFonts w:ascii="宋体" w:hAnsi="宋体" w:cs="宋体"/>
          <w:kern w:val="0"/>
          <w:sz w:val="24"/>
          <w:szCs w:val="20"/>
        </w:rPr>
      </w:pPr>
      <w:r>
        <w:rPr>
          <w:rFonts w:hint="eastAsia" w:ascii="宋体" w:hAnsi="宋体" w:cs="宋体"/>
          <w:kern w:val="0"/>
          <w:sz w:val="24"/>
          <w:szCs w:val="20"/>
        </w:rPr>
        <w:t>表14</w:t>
      </w:r>
    </w:p>
    <w:tbl>
      <w:tblPr>
        <w:tblStyle w:val="13"/>
        <w:tblW w:w="9535" w:type="dxa"/>
        <w:jc w:val="center"/>
        <w:tblLayout w:type="fixed"/>
        <w:tblCellMar>
          <w:top w:w="0" w:type="dxa"/>
          <w:left w:w="108" w:type="dxa"/>
          <w:bottom w:w="0" w:type="dxa"/>
          <w:right w:w="108" w:type="dxa"/>
        </w:tblCellMar>
      </w:tblPr>
      <w:tblGrid>
        <w:gridCol w:w="580"/>
        <w:gridCol w:w="800"/>
        <w:gridCol w:w="1600"/>
        <w:gridCol w:w="580"/>
        <w:gridCol w:w="780"/>
        <w:gridCol w:w="700"/>
        <w:gridCol w:w="320"/>
        <w:gridCol w:w="680"/>
        <w:gridCol w:w="320"/>
        <w:gridCol w:w="1000"/>
        <w:gridCol w:w="1020"/>
        <w:gridCol w:w="1155"/>
      </w:tblGrid>
      <w:tr>
        <w:tblPrEx>
          <w:tblCellMar>
            <w:top w:w="0" w:type="dxa"/>
            <w:left w:w="108" w:type="dxa"/>
            <w:bottom w:w="0" w:type="dxa"/>
            <w:right w:w="108" w:type="dxa"/>
          </w:tblCellMar>
        </w:tblPrEx>
        <w:trPr>
          <w:trHeight w:val="353" w:hRule="atLeast"/>
          <w:jc w:val="center"/>
        </w:trPr>
        <w:tc>
          <w:tcPr>
            <w:tcW w:w="5040" w:type="dxa"/>
            <w:gridSpan w:val="6"/>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00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3495" w:type="dxa"/>
            <w:gridSpan w:val="4"/>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870" w:hRule="atLeast"/>
          <w:jc w:val="center"/>
        </w:trPr>
        <w:tc>
          <w:tcPr>
            <w:tcW w:w="58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8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材料编码</w:t>
            </w:r>
          </w:p>
        </w:tc>
        <w:tc>
          <w:tcPr>
            <w:tcW w:w="16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材料(工程设备)名称、规格、型号</w:t>
            </w:r>
          </w:p>
        </w:tc>
        <w:tc>
          <w:tcPr>
            <w:tcW w:w="5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w:t>
            </w: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102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单价</w:t>
            </w:r>
            <w:r>
              <w:rPr>
                <w:rFonts w:hint="eastAsia" w:ascii="黑体" w:hAnsi="黑体" w:eastAsia="黑体" w:cs="Arial"/>
                <w:kern w:val="0"/>
                <w:szCs w:val="21"/>
              </w:rPr>
              <w:br w:type="textWrapping"/>
            </w:r>
            <w:r>
              <w:rPr>
                <w:rFonts w:hint="eastAsia" w:ascii="黑体" w:hAnsi="黑体" w:eastAsia="黑体" w:cs="Arial"/>
                <w:kern w:val="0"/>
                <w:szCs w:val="21"/>
              </w:rPr>
              <w:t>(元)</w:t>
            </w:r>
          </w:p>
        </w:tc>
        <w:tc>
          <w:tcPr>
            <w:tcW w:w="1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合价</w:t>
            </w:r>
            <w:r>
              <w:rPr>
                <w:rFonts w:hint="eastAsia" w:ascii="黑体" w:hAnsi="黑体" w:eastAsia="黑体" w:cs="Arial"/>
                <w:kern w:val="0"/>
                <w:szCs w:val="21"/>
              </w:rPr>
              <w:br w:type="textWrapping"/>
            </w:r>
            <w:r>
              <w:rPr>
                <w:rFonts w:hint="eastAsia" w:ascii="黑体" w:hAnsi="黑体" w:eastAsia="黑体" w:cs="Arial"/>
                <w:kern w:val="0"/>
                <w:szCs w:val="21"/>
              </w:rPr>
              <w:t>(元)</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交货</w:t>
            </w:r>
            <w:r>
              <w:rPr>
                <w:rFonts w:hint="eastAsia" w:ascii="黑体" w:hAnsi="黑体" w:eastAsia="黑体" w:cs="Arial"/>
                <w:kern w:val="0"/>
                <w:szCs w:val="21"/>
              </w:rPr>
              <w:br w:type="textWrapping"/>
            </w:r>
            <w:r>
              <w:rPr>
                <w:rFonts w:hint="eastAsia" w:ascii="黑体" w:hAnsi="黑体" w:eastAsia="黑体" w:cs="Arial"/>
                <w:kern w:val="0"/>
                <w:szCs w:val="21"/>
              </w:rPr>
              <w:t>方式</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送达</w:t>
            </w:r>
            <w:r>
              <w:rPr>
                <w:rFonts w:hint="eastAsia" w:ascii="黑体" w:hAnsi="黑体" w:eastAsia="黑体" w:cs="Arial"/>
                <w:kern w:val="0"/>
                <w:szCs w:val="21"/>
              </w:rPr>
              <w:br w:type="textWrapping"/>
            </w:r>
            <w:r>
              <w:rPr>
                <w:rFonts w:hint="eastAsia" w:ascii="黑体" w:hAnsi="黑体" w:eastAsia="黑体" w:cs="Arial"/>
                <w:kern w:val="0"/>
                <w:szCs w:val="21"/>
              </w:rPr>
              <w:t>地点</w:t>
            </w:r>
          </w:p>
        </w:tc>
        <w:tc>
          <w:tcPr>
            <w:tcW w:w="1155"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353" w:hRule="atLeast"/>
          <w:jc w:val="center"/>
        </w:trPr>
        <w:tc>
          <w:tcPr>
            <w:tcW w:w="58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5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55"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58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5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55"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8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5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55"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8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6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5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7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155"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469" w:hRule="atLeast"/>
          <w:jc w:val="center"/>
        </w:trPr>
        <w:tc>
          <w:tcPr>
            <w:tcW w:w="3560" w:type="dxa"/>
            <w:gridSpan w:val="4"/>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合 计</w:t>
            </w:r>
          </w:p>
        </w:tc>
        <w:tc>
          <w:tcPr>
            <w:tcW w:w="78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020" w:type="dxa"/>
            <w:gridSpan w:val="2"/>
            <w:tcBorders>
              <w:top w:val="single" w:color="000000" w:sz="4" w:space="0"/>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000" w:type="dxa"/>
            <w:gridSpan w:val="2"/>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Cs w:val="21"/>
              </w:rPr>
            </w:pPr>
            <w:r>
              <w:rPr>
                <w:rFonts w:hint="eastAsia" w:ascii="宋体" w:hAnsi="宋体" w:cs="Arial"/>
                <w:kern w:val="0"/>
                <w:szCs w:val="21"/>
              </w:rPr>
              <w:t>　</w:t>
            </w:r>
          </w:p>
        </w:tc>
        <w:tc>
          <w:tcPr>
            <w:tcW w:w="100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020" w:type="dxa"/>
            <w:tcBorders>
              <w:top w:val="nil"/>
              <w:left w:val="nil"/>
              <w:bottom w:val="single" w:color="000000" w:sz="8" w:space="0"/>
              <w:right w:val="single" w:color="000000" w:sz="4" w:space="0"/>
            </w:tcBorders>
          </w:tcPr>
          <w:p>
            <w:pPr>
              <w:widowControl/>
              <w:jc w:val="left"/>
              <w:rPr>
                <w:rFonts w:ascii="宋体" w:hAnsi="宋体" w:cs="Arial"/>
                <w:kern w:val="0"/>
                <w:szCs w:val="21"/>
              </w:rPr>
            </w:pPr>
            <w:r>
              <w:rPr>
                <w:rFonts w:hint="eastAsia" w:ascii="宋体" w:hAnsi="宋体" w:cs="Arial"/>
                <w:kern w:val="0"/>
                <w:szCs w:val="21"/>
              </w:rPr>
              <w:t>　</w:t>
            </w:r>
          </w:p>
        </w:tc>
        <w:tc>
          <w:tcPr>
            <w:tcW w:w="1155" w:type="dxa"/>
            <w:tcBorders>
              <w:top w:val="nil"/>
              <w:left w:val="nil"/>
              <w:bottom w:val="single" w:color="000000" w:sz="8" w:space="0"/>
              <w:right w:val="single" w:color="000000" w:sz="8" w:space="0"/>
            </w:tcBorders>
          </w:tcPr>
          <w:p>
            <w:pPr>
              <w:widowControl/>
              <w:jc w:val="left"/>
              <w:rPr>
                <w:rFonts w:ascii="宋体" w:hAnsi="宋体" w:cs="Arial"/>
                <w:kern w:val="0"/>
                <w:szCs w:val="21"/>
              </w:rPr>
            </w:pPr>
            <w:r>
              <w:rPr>
                <w:rFonts w:hint="eastAsia" w:ascii="宋体" w:hAnsi="宋体" w:cs="Arial"/>
                <w:kern w:val="0"/>
                <w:szCs w:val="21"/>
              </w:rPr>
              <w:t>　</w:t>
            </w:r>
          </w:p>
        </w:tc>
      </w:tr>
    </w:tbl>
    <w:p>
      <w:pPr>
        <w:jc w:val="center"/>
        <w:rPr>
          <w:rFonts w:ascii="黑体" w:eastAsia="黑体" w:cs="宋体"/>
          <w:b/>
          <w:kern w:val="0"/>
          <w:sz w:val="32"/>
          <w:szCs w:val="32"/>
        </w:rPr>
      </w:pPr>
      <w:r>
        <w:rPr>
          <w:rFonts w:hint="eastAsia" w:ascii="黑体" w:eastAsia="黑体" w:cs="宋体"/>
          <w:b/>
          <w:kern w:val="0"/>
          <w:sz w:val="32"/>
          <w:szCs w:val="32"/>
        </w:rPr>
        <w:t>十五、承包人提供主要材料和工程设备一览表</w:t>
      </w:r>
    </w:p>
    <w:p>
      <w:pPr>
        <w:jc w:val="center"/>
        <w:rPr>
          <w:rFonts w:ascii="黑体" w:eastAsia="黑体" w:cs="宋体"/>
          <w:b/>
          <w:kern w:val="0"/>
          <w:sz w:val="32"/>
          <w:szCs w:val="32"/>
        </w:rPr>
      </w:pPr>
      <w:r>
        <w:rPr>
          <w:rFonts w:hint="eastAsia" w:ascii="黑体" w:eastAsia="黑体" w:cs="宋体"/>
          <w:b/>
          <w:kern w:val="0"/>
          <w:sz w:val="32"/>
          <w:szCs w:val="32"/>
        </w:rPr>
        <w:t>（适用造价信息差额调整法）</w:t>
      </w:r>
    </w:p>
    <w:p>
      <w:pPr>
        <w:widowControl/>
        <w:spacing w:line="420" w:lineRule="atLeast"/>
        <w:ind w:left="2" w:leftChars="1"/>
        <w:jc w:val="right"/>
        <w:rPr>
          <w:rFonts w:ascii="宋体" w:hAnsi="宋体" w:cs="宋体"/>
          <w:kern w:val="0"/>
          <w:sz w:val="24"/>
          <w:szCs w:val="20"/>
        </w:rPr>
      </w:pPr>
      <w:r>
        <w:rPr>
          <w:rFonts w:hint="eastAsia" w:ascii="宋体" w:hAnsi="宋体" w:cs="宋体"/>
          <w:kern w:val="0"/>
          <w:sz w:val="24"/>
          <w:szCs w:val="20"/>
        </w:rPr>
        <w:t>表15</w:t>
      </w:r>
    </w:p>
    <w:tbl>
      <w:tblPr>
        <w:tblStyle w:val="13"/>
        <w:tblW w:w="9860" w:type="dxa"/>
        <w:jc w:val="center"/>
        <w:tblLayout w:type="fixed"/>
        <w:tblCellMar>
          <w:top w:w="0" w:type="dxa"/>
          <w:left w:w="108" w:type="dxa"/>
          <w:bottom w:w="0" w:type="dxa"/>
          <w:right w:w="108" w:type="dxa"/>
        </w:tblCellMar>
      </w:tblPr>
      <w:tblGrid>
        <w:gridCol w:w="520"/>
        <w:gridCol w:w="1020"/>
        <w:gridCol w:w="2040"/>
        <w:gridCol w:w="680"/>
        <w:gridCol w:w="1020"/>
        <w:gridCol w:w="640"/>
        <w:gridCol w:w="220"/>
        <w:gridCol w:w="780"/>
        <w:gridCol w:w="220"/>
        <w:gridCol w:w="1020"/>
        <w:gridCol w:w="1020"/>
        <w:gridCol w:w="680"/>
      </w:tblGrid>
      <w:tr>
        <w:tblPrEx>
          <w:tblCellMar>
            <w:top w:w="0" w:type="dxa"/>
            <w:left w:w="108" w:type="dxa"/>
            <w:bottom w:w="0" w:type="dxa"/>
            <w:right w:w="108" w:type="dxa"/>
          </w:tblCellMar>
        </w:tblPrEx>
        <w:trPr>
          <w:trHeight w:val="353" w:hRule="atLeast"/>
          <w:jc w:val="center"/>
        </w:trPr>
        <w:tc>
          <w:tcPr>
            <w:tcW w:w="5920" w:type="dxa"/>
            <w:gridSpan w:val="6"/>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工程名称：xx工程</w:t>
            </w:r>
          </w:p>
        </w:tc>
        <w:tc>
          <w:tcPr>
            <w:tcW w:w="1000" w:type="dxa"/>
            <w:gridSpan w:val="2"/>
            <w:tcBorders>
              <w:top w:val="nil"/>
              <w:left w:val="nil"/>
              <w:bottom w:val="single" w:color="000000" w:sz="8" w:space="0"/>
              <w:right w:val="nil"/>
            </w:tcBorders>
            <w:vAlign w:val="center"/>
          </w:tcPr>
          <w:p>
            <w:pPr>
              <w:widowControl/>
              <w:jc w:val="left"/>
              <w:rPr>
                <w:rFonts w:ascii="黑体" w:hAnsi="黑体" w:eastAsia="黑体" w:cs="Arial"/>
                <w:kern w:val="0"/>
                <w:szCs w:val="21"/>
              </w:rPr>
            </w:pPr>
            <w:r>
              <w:rPr>
                <w:rFonts w:hint="eastAsia" w:ascii="黑体" w:hAnsi="黑体" w:eastAsia="黑体" w:cs="Arial"/>
                <w:kern w:val="0"/>
                <w:szCs w:val="21"/>
              </w:rPr>
              <w:t>标段：</w:t>
            </w:r>
          </w:p>
        </w:tc>
        <w:tc>
          <w:tcPr>
            <w:tcW w:w="2940" w:type="dxa"/>
            <w:gridSpan w:val="4"/>
            <w:tcBorders>
              <w:top w:val="nil"/>
              <w:left w:val="nil"/>
              <w:bottom w:val="single" w:color="000000" w:sz="8" w:space="0"/>
              <w:right w:val="nil"/>
            </w:tcBorders>
            <w:vAlign w:val="center"/>
          </w:tcPr>
          <w:p>
            <w:pPr>
              <w:widowControl/>
              <w:jc w:val="right"/>
              <w:rPr>
                <w:rFonts w:ascii="黑体" w:hAnsi="黑体" w:eastAsia="黑体" w:cs="Arial"/>
                <w:kern w:val="0"/>
                <w:szCs w:val="21"/>
              </w:rPr>
            </w:pPr>
            <w:r>
              <w:rPr>
                <w:rFonts w:hint="eastAsia" w:ascii="黑体" w:hAnsi="黑体" w:eastAsia="黑体" w:cs="Arial"/>
                <w:kern w:val="0"/>
                <w:szCs w:val="21"/>
              </w:rPr>
              <w:t>第1页 共1页</w:t>
            </w:r>
          </w:p>
        </w:tc>
      </w:tr>
      <w:tr>
        <w:tblPrEx>
          <w:tblCellMar>
            <w:top w:w="0" w:type="dxa"/>
            <w:left w:w="108" w:type="dxa"/>
            <w:bottom w:w="0" w:type="dxa"/>
            <w:right w:w="108" w:type="dxa"/>
          </w:tblCellMar>
        </w:tblPrEx>
        <w:trPr>
          <w:trHeight w:val="735" w:hRule="atLeast"/>
          <w:jc w:val="center"/>
        </w:trPr>
        <w:tc>
          <w:tcPr>
            <w:tcW w:w="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材料编码</w:t>
            </w:r>
          </w:p>
        </w:tc>
        <w:tc>
          <w:tcPr>
            <w:tcW w:w="204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名称、规格、型号</w:t>
            </w:r>
          </w:p>
        </w:tc>
        <w:tc>
          <w:tcPr>
            <w:tcW w:w="68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单位</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数量</w:t>
            </w:r>
          </w:p>
        </w:tc>
        <w:tc>
          <w:tcPr>
            <w:tcW w:w="86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风险系数</w:t>
            </w:r>
            <w:r>
              <w:rPr>
                <w:rFonts w:hint="eastAsia" w:ascii="黑体" w:hAnsi="黑体" w:eastAsia="黑体" w:cs="Arial"/>
                <w:kern w:val="0"/>
                <w:szCs w:val="21"/>
              </w:rPr>
              <w:br w:type="textWrapping"/>
            </w:r>
            <w:r>
              <w:rPr>
                <w:rFonts w:hint="eastAsia" w:ascii="黑体" w:hAnsi="黑体" w:eastAsia="黑体" w:cs="Arial"/>
                <w:kern w:val="0"/>
                <w:szCs w:val="21"/>
              </w:rPr>
              <w:t>(%)</w:t>
            </w:r>
          </w:p>
        </w:tc>
        <w:tc>
          <w:tcPr>
            <w:tcW w:w="1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基准单价</w:t>
            </w:r>
            <w:r>
              <w:rPr>
                <w:rFonts w:hint="eastAsia" w:ascii="黑体" w:hAnsi="黑体" w:eastAsia="黑体" w:cs="Arial"/>
                <w:kern w:val="0"/>
                <w:szCs w:val="21"/>
              </w:rPr>
              <w:br w:type="textWrapping"/>
            </w:r>
            <w:r>
              <w:rPr>
                <w:rFonts w:hint="eastAsia" w:ascii="黑体" w:hAnsi="黑体" w:eastAsia="黑体" w:cs="Arial"/>
                <w:kern w:val="0"/>
                <w:szCs w:val="21"/>
              </w:rPr>
              <w:t>(元)</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投标单价</w:t>
            </w:r>
            <w:r>
              <w:rPr>
                <w:rFonts w:hint="eastAsia" w:ascii="黑体" w:hAnsi="黑体" w:eastAsia="黑体" w:cs="Arial"/>
                <w:kern w:val="0"/>
                <w:szCs w:val="21"/>
              </w:rPr>
              <w:br w:type="textWrapping"/>
            </w:r>
            <w:r>
              <w:rPr>
                <w:rFonts w:hint="eastAsia" w:ascii="黑体" w:hAnsi="黑体" w:eastAsia="黑体" w:cs="Arial"/>
                <w:kern w:val="0"/>
                <w:szCs w:val="21"/>
              </w:rPr>
              <w:t>(元)</w:t>
            </w:r>
          </w:p>
        </w:tc>
        <w:tc>
          <w:tcPr>
            <w:tcW w:w="1020" w:type="dxa"/>
            <w:tcBorders>
              <w:top w:val="nil"/>
              <w:left w:val="nil"/>
              <w:bottom w:val="single" w:color="000000" w:sz="4" w:space="0"/>
              <w:right w:val="single" w:color="000000" w:sz="4"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发承包人</w:t>
            </w:r>
            <w:r>
              <w:rPr>
                <w:rFonts w:hint="eastAsia" w:ascii="黑体" w:hAnsi="黑体" w:eastAsia="黑体" w:cs="Arial"/>
                <w:kern w:val="0"/>
                <w:szCs w:val="21"/>
              </w:rPr>
              <w:br w:type="textWrapping"/>
            </w:r>
            <w:r>
              <w:rPr>
                <w:rFonts w:hint="eastAsia" w:ascii="黑体" w:hAnsi="黑体" w:eastAsia="黑体" w:cs="Arial"/>
                <w:kern w:val="0"/>
                <w:szCs w:val="21"/>
              </w:rPr>
              <w:t>确认单价</w:t>
            </w:r>
            <w:r>
              <w:rPr>
                <w:rFonts w:hint="eastAsia" w:ascii="黑体" w:hAnsi="黑体" w:eastAsia="黑体" w:cs="Arial"/>
                <w:kern w:val="0"/>
                <w:szCs w:val="21"/>
              </w:rPr>
              <w:br w:type="textWrapping"/>
            </w:r>
            <w:r>
              <w:rPr>
                <w:rFonts w:hint="eastAsia" w:ascii="黑体" w:hAnsi="黑体" w:eastAsia="黑体" w:cs="Arial"/>
                <w:kern w:val="0"/>
                <w:szCs w:val="21"/>
              </w:rPr>
              <w:t>(元)</w:t>
            </w:r>
          </w:p>
        </w:tc>
        <w:tc>
          <w:tcPr>
            <w:tcW w:w="680" w:type="dxa"/>
            <w:tcBorders>
              <w:top w:val="nil"/>
              <w:left w:val="nil"/>
              <w:bottom w:val="single" w:color="000000" w:sz="4" w:space="0"/>
              <w:right w:val="single" w:color="000000" w:sz="8" w:space="0"/>
            </w:tcBorders>
            <w:shd w:val="clear" w:color="FFFFFF" w:fill="FFFFFF"/>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0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53"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0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338" w:hRule="atLeast"/>
          <w:jc w:val="center"/>
        </w:trPr>
        <w:tc>
          <w:tcPr>
            <w:tcW w:w="520" w:type="dxa"/>
            <w:tcBorders>
              <w:top w:val="nil"/>
              <w:left w:val="single" w:color="000000" w:sz="8" w:space="0"/>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204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86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00" w:type="dxa"/>
            <w:gridSpan w:val="2"/>
            <w:tcBorders>
              <w:top w:val="single" w:color="000000" w:sz="4" w:space="0"/>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1020" w:type="dxa"/>
            <w:tcBorders>
              <w:top w:val="nil"/>
              <w:left w:val="nil"/>
              <w:bottom w:val="single" w:color="000000" w:sz="4" w:space="0"/>
              <w:right w:val="single" w:color="000000" w:sz="4" w:space="0"/>
            </w:tcBorders>
          </w:tcPr>
          <w:p>
            <w:pPr>
              <w:widowControl/>
              <w:jc w:val="left"/>
              <w:rPr>
                <w:rFonts w:ascii="Arial" w:hAnsi="Arial" w:cs="Arial"/>
                <w:kern w:val="0"/>
                <w:sz w:val="16"/>
                <w:szCs w:val="16"/>
              </w:rPr>
            </w:pPr>
            <w:r>
              <w:rPr>
                <w:rFonts w:ascii="Arial" w:hAnsi="Arial" w:cs="Arial"/>
                <w:kern w:val="0"/>
                <w:sz w:val="16"/>
                <w:szCs w:val="16"/>
              </w:rPr>
              <w:t>　</w:t>
            </w:r>
          </w:p>
        </w:tc>
        <w:tc>
          <w:tcPr>
            <w:tcW w:w="680" w:type="dxa"/>
            <w:tcBorders>
              <w:top w:val="nil"/>
              <w:left w:val="nil"/>
              <w:bottom w:val="single" w:color="000000" w:sz="4" w:space="0"/>
              <w:right w:val="single" w:color="000000" w:sz="8" w:space="0"/>
            </w:tcBorders>
          </w:tcPr>
          <w:p>
            <w:pPr>
              <w:widowControl/>
              <w:jc w:val="left"/>
              <w:rPr>
                <w:rFonts w:ascii="Arial" w:hAnsi="Arial" w:cs="Arial"/>
                <w:kern w:val="0"/>
                <w:sz w:val="16"/>
                <w:szCs w:val="16"/>
              </w:rPr>
            </w:pPr>
            <w:r>
              <w:rPr>
                <w:rFonts w:ascii="Arial" w:hAnsi="Arial" w:cs="Arial"/>
                <w:kern w:val="0"/>
                <w:sz w:val="16"/>
                <w:szCs w:val="16"/>
              </w:rPr>
              <w:t>　</w:t>
            </w:r>
          </w:p>
        </w:tc>
      </w:tr>
    </w:tbl>
    <w:p>
      <w:pPr>
        <w:jc w:val="center"/>
        <w:rPr>
          <w:rFonts w:cs="宋体"/>
          <w:kern w:val="0"/>
          <w:sz w:val="18"/>
          <w:szCs w:val="18"/>
        </w:rPr>
      </w:pPr>
    </w:p>
    <w:p>
      <w:pPr>
        <w:jc w:val="center"/>
        <w:rPr>
          <w:rFonts w:ascii="黑体" w:eastAsia="黑体" w:cs="宋体"/>
          <w:b/>
          <w:kern w:val="0"/>
          <w:sz w:val="32"/>
          <w:szCs w:val="32"/>
        </w:rPr>
      </w:pPr>
      <w:r>
        <w:rPr>
          <w:rFonts w:hint="eastAsia" w:ascii="黑体" w:eastAsia="黑体" w:cs="宋体"/>
          <w:b/>
          <w:kern w:val="0"/>
          <w:sz w:val="32"/>
          <w:szCs w:val="32"/>
        </w:rPr>
        <w:t>十六、承包人提供主要材料和工程设备一览表</w:t>
      </w:r>
    </w:p>
    <w:p>
      <w:pPr>
        <w:jc w:val="center"/>
        <w:rPr>
          <w:rFonts w:ascii="黑体" w:eastAsia="黑体" w:cs="宋体"/>
          <w:b/>
          <w:kern w:val="0"/>
          <w:sz w:val="32"/>
          <w:szCs w:val="32"/>
        </w:rPr>
      </w:pPr>
      <w:r>
        <w:rPr>
          <w:rFonts w:hint="eastAsia" w:ascii="黑体" w:eastAsia="黑体" w:cs="宋体"/>
          <w:b/>
          <w:kern w:val="0"/>
          <w:sz w:val="32"/>
          <w:szCs w:val="32"/>
        </w:rPr>
        <w:t>（适用于价格指数差额调整法）</w:t>
      </w:r>
    </w:p>
    <w:p>
      <w:pPr>
        <w:widowControl/>
        <w:spacing w:line="420" w:lineRule="atLeast"/>
        <w:ind w:left="2" w:leftChars="1"/>
        <w:jc w:val="right"/>
        <w:rPr>
          <w:rFonts w:ascii="宋体" w:hAnsi="宋体" w:cs="宋体"/>
          <w:kern w:val="0"/>
          <w:sz w:val="24"/>
          <w:szCs w:val="20"/>
        </w:rPr>
      </w:pPr>
      <w:r>
        <w:rPr>
          <w:rFonts w:hint="eastAsia" w:ascii="宋体" w:hAnsi="宋体" w:cs="宋体"/>
          <w:kern w:val="0"/>
          <w:sz w:val="24"/>
          <w:szCs w:val="20"/>
        </w:rPr>
        <w:t>表16</w:t>
      </w:r>
    </w:p>
    <w:p>
      <w:pPr>
        <w:widowControl/>
        <w:spacing w:line="420" w:lineRule="atLeast"/>
        <w:ind w:right="420" w:firstLine="345"/>
        <w:jc w:val="left"/>
        <w:rPr>
          <w:rFonts w:cs="宋体"/>
          <w:kern w:val="0"/>
          <w:sz w:val="18"/>
          <w:szCs w:val="18"/>
        </w:rPr>
      </w:pPr>
    </w:p>
    <w:tbl>
      <w:tblPr>
        <w:tblStyle w:val="13"/>
        <w:tblW w:w="9800" w:type="dxa"/>
        <w:jc w:val="center"/>
        <w:tblLayout w:type="fixed"/>
        <w:tblCellMar>
          <w:top w:w="0" w:type="dxa"/>
          <w:left w:w="108" w:type="dxa"/>
          <w:bottom w:w="0" w:type="dxa"/>
          <w:right w:w="108" w:type="dxa"/>
        </w:tblCellMar>
      </w:tblPr>
      <w:tblGrid>
        <w:gridCol w:w="860"/>
        <w:gridCol w:w="3200"/>
        <w:gridCol w:w="1280"/>
        <w:gridCol w:w="520"/>
        <w:gridCol w:w="960"/>
        <w:gridCol w:w="1820"/>
        <w:gridCol w:w="1160"/>
      </w:tblGrid>
      <w:tr>
        <w:tblPrEx>
          <w:tblCellMar>
            <w:top w:w="0" w:type="dxa"/>
            <w:left w:w="108" w:type="dxa"/>
            <w:bottom w:w="0" w:type="dxa"/>
            <w:right w:w="108" w:type="dxa"/>
          </w:tblCellMar>
        </w:tblPrEx>
        <w:trPr>
          <w:trHeight w:val="353" w:hRule="atLeast"/>
          <w:jc w:val="center"/>
        </w:trPr>
        <w:tc>
          <w:tcPr>
            <w:tcW w:w="5860" w:type="dxa"/>
            <w:gridSpan w:val="4"/>
            <w:tcBorders>
              <w:top w:val="nil"/>
              <w:left w:val="nil"/>
              <w:bottom w:val="single" w:color="000000" w:sz="8" w:space="0"/>
              <w:right w:val="nil"/>
            </w:tcBorders>
            <w:vAlign w:val="center"/>
          </w:tcPr>
          <w:p>
            <w:pPr>
              <w:widowControl/>
              <w:jc w:val="left"/>
              <w:rPr>
                <w:rFonts w:ascii="黑体" w:hAnsi="黑体" w:eastAsia="黑体" w:cs="Arial"/>
                <w:kern w:val="0"/>
                <w:sz w:val="20"/>
                <w:szCs w:val="20"/>
              </w:rPr>
            </w:pPr>
            <w:r>
              <w:rPr>
                <w:rFonts w:hint="eastAsia" w:ascii="黑体" w:hAnsi="黑体" w:eastAsia="黑体" w:cs="Arial"/>
                <w:kern w:val="0"/>
                <w:sz w:val="20"/>
                <w:szCs w:val="20"/>
              </w:rPr>
              <w:t>工程名称：xx工程</w:t>
            </w:r>
          </w:p>
        </w:tc>
        <w:tc>
          <w:tcPr>
            <w:tcW w:w="960" w:type="dxa"/>
            <w:tcBorders>
              <w:top w:val="nil"/>
              <w:left w:val="nil"/>
              <w:bottom w:val="single" w:color="000000" w:sz="8" w:space="0"/>
              <w:right w:val="nil"/>
            </w:tcBorders>
            <w:vAlign w:val="center"/>
          </w:tcPr>
          <w:p>
            <w:pPr>
              <w:widowControl/>
              <w:jc w:val="left"/>
              <w:rPr>
                <w:rFonts w:ascii="黑体" w:hAnsi="黑体" w:eastAsia="黑体" w:cs="Arial"/>
                <w:kern w:val="0"/>
                <w:sz w:val="20"/>
                <w:szCs w:val="20"/>
              </w:rPr>
            </w:pPr>
            <w:r>
              <w:rPr>
                <w:rFonts w:hint="eastAsia" w:ascii="黑体" w:hAnsi="黑体" w:eastAsia="黑体" w:cs="Arial"/>
                <w:kern w:val="0"/>
                <w:sz w:val="20"/>
                <w:szCs w:val="20"/>
              </w:rPr>
              <w:t>标段：</w:t>
            </w:r>
          </w:p>
        </w:tc>
        <w:tc>
          <w:tcPr>
            <w:tcW w:w="2980" w:type="dxa"/>
            <w:gridSpan w:val="2"/>
            <w:tcBorders>
              <w:top w:val="nil"/>
              <w:left w:val="nil"/>
              <w:bottom w:val="single" w:color="000000" w:sz="8" w:space="0"/>
              <w:right w:val="nil"/>
            </w:tcBorders>
            <w:vAlign w:val="center"/>
          </w:tcPr>
          <w:p>
            <w:pPr>
              <w:widowControl/>
              <w:jc w:val="right"/>
              <w:rPr>
                <w:rFonts w:ascii="黑体" w:hAnsi="黑体" w:eastAsia="黑体" w:cs="Arial"/>
                <w:kern w:val="0"/>
                <w:sz w:val="20"/>
                <w:szCs w:val="20"/>
              </w:rPr>
            </w:pPr>
            <w:r>
              <w:rPr>
                <w:rFonts w:hint="eastAsia" w:ascii="黑体" w:hAnsi="黑体" w:eastAsia="黑体" w:cs="Arial"/>
                <w:kern w:val="0"/>
                <w:sz w:val="20"/>
                <w:szCs w:val="20"/>
              </w:rPr>
              <w:t>第1页 共1页</w:t>
            </w:r>
          </w:p>
        </w:tc>
      </w:tr>
      <w:tr>
        <w:tblPrEx>
          <w:tblCellMar>
            <w:top w:w="0" w:type="dxa"/>
            <w:left w:w="108" w:type="dxa"/>
            <w:bottom w:w="0" w:type="dxa"/>
            <w:right w:w="108" w:type="dxa"/>
          </w:tblCellMar>
        </w:tblPrEx>
        <w:trPr>
          <w:trHeight w:val="690" w:hRule="atLeast"/>
          <w:jc w:val="center"/>
        </w:trPr>
        <w:tc>
          <w:tcPr>
            <w:tcW w:w="860" w:type="dxa"/>
            <w:tcBorders>
              <w:top w:val="nil"/>
              <w:left w:val="single" w:color="000000" w:sz="8" w:space="0"/>
              <w:bottom w:val="single" w:color="000000" w:sz="4" w:space="0"/>
              <w:right w:val="single" w:color="000000"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序号</w:t>
            </w:r>
          </w:p>
        </w:tc>
        <w:tc>
          <w:tcPr>
            <w:tcW w:w="3200" w:type="dxa"/>
            <w:tcBorders>
              <w:top w:val="nil"/>
              <w:left w:val="nil"/>
              <w:bottom w:val="single" w:color="000000" w:sz="4" w:space="0"/>
              <w:right w:val="single" w:color="000000"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名称、规格、型号</w:t>
            </w:r>
          </w:p>
        </w:tc>
        <w:tc>
          <w:tcPr>
            <w:tcW w:w="1280" w:type="dxa"/>
            <w:tcBorders>
              <w:top w:val="single" w:color="000000" w:sz="8" w:space="0"/>
              <w:left w:val="nil"/>
              <w:bottom w:val="single" w:color="000000" w:sz="4" w:space="0"/>
              <w:right w:val="single" w:color="000000"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变值权重</w:t>
            </w:r>
            <w:r>
              <w:rPr>
                <w:rFonts w:hint="eastAsia" w:ascii="黑体" w:hAnsi="黑体" w:eastAsia="黑体" w:cs="Arial"/>
                <w:kern w:val="0"/>
                <w:szCs w:val="21"/>
              </w:rPr>
              <w:br w:type="textWrapping"/>
            </w:r>
            <w:r>
              <w:rPr>
                <w:rFonts w:hint="eastAsia" w:ascii="黑体" w:hAnsi="黑体" w:eastAsia="黑体" w:cs="Arial"/>
                <w:kern w:val="0"/>
                <w:szCs w:val="21"/>
              </w:rPr>
              <w:t>B</w:t>
            </w:r>
          </w:p>
        </w:tc>
        <w:tc>
          <w:tcPr>
            <w:tcW w:w="1480" w:type="dxa"/>
            <w:gridSpan w:val="2"/>
            <w:tcBorders>
              <w:top w:val="single" w:color="000000" w:sz="8" w:space="0"/>
              <w:left w:val="nil"/>
              <w:bottom w:val="single" w:color="000000" w:sz="4" w:space="0"/>
              <w:right w:val="single" w:color="000000"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基本价格</w:t>
            </w:r>
            <w:r>
              <w:rPr>
                <w:rFonts w:hint="eastAsia" w:ascii="黑体" w:hAnsi="黑体" w:eastAsia="黑体" w:cs="Arial"/>
                <w:kern w:val="0"/>
                <w:szCs w:val="21"/>
              </w:rPr>
              <w:br w:type="textWrapping"/>
            </w:r>
            <w:r>
              <w:rPr>
                <w:rFonts w:hint="eastAsia" w:ascii="黑体" w:hAnsi="黑体" w:eastAsia="黑体" w:cs="Arial"/>
                <w:kern w:val="0"/>
                <w:szCs w:val="21"/>
              </w:rPr>
              <w:t>指数F0</w:t>
            </w:r>
          </w:p>
        </w:tc>
        <w:tc>
          <w:tcPr>
            <w:tcW w:w="1820" w:type="dxa"/>
            <w:tcBorders>
              <w:top w:val="nil"/>
              <w:left w:val="nil"/>
              <w:bottom w:val="single" w:color="000000" w:sz="4" w:space="0"/>
              <w:right w:val="single" w:color="000000" w:sz="4"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现行价格</w:t>
            </w:r>
            <w:r>
              <w:rPr>
                <w:rFonts w:hint="eastAsia" w:ascii="黑体" w:hAnsi="黑体" w:eastAsia="黑体" w:cs="Arial"/>
                <w:kern w:val="0"/>
                <w:szCs w:val="21"/>
              </w:rPr>
              <w:br w:type="textWrapping"/>
            </w:r>
            <w:r>
              <w:rPr>
                <w:rFonts w:hint="eastAsia" w:ascii="黑体" w:hAnsi="黑体" w:eastAsia="黑体" w:cs="Arial"/>
                <w:kern w:val="0"/>
                <w:szCs w:val="21"/>
              </w:rPr>
              <w:t>指数Ft</w:t>
            </w:r>
          </w:p>
        </w:tc>
        <w:tc>
          <w:tcPr>
            <w:tcW w:w="1160" w:type="dxa"/>
            <w:tcBorders>
              <w:top w:val="nil"/>
              <w:left w:val="nil"/>
              <w:bottom w:val="single" w:color="000000" w:sz="4" w:space="0"/>
              <w:right w:val="single" w:color="000000" w:sz="8" w:space="0"/>
            </w:tcBorders>
            <w:vAlign w:val="center"/>
          </w:tcPr>
          <w:p>
            <w:pPr>
              <w:widowControl/>
              <w:jc w:val="center"/>
              <w:rPr>
                <w:rFonts w:ascii="黑体" w:hAnsi="黑体" w:eastAsia="黑体" w:cs="Arial"/>
                <w:kern w:val="0"/>
                <w:szCs w:val="21"/>
              </w:rPr>
            </w:pPr>
            <w:r>
              <w:rPr>
                <w:rFonts w:hint="eastAsia" w:ascii="黑体" w:hAnsi="黑体" w:eastAsia="黑体" w:cs="Arial"/>
                <w:kern w:val="0"/>
                <w:szCs w:val="21"/>
              </w:rPr>
              <w:t>备注</w:t>
            </w:r>
          </w:p>
        </w:tc>
      </w:tr>
      <w:tr>
        <w:tblPrEx>
          <w:tblCellMar>
            <w:top w:w="0" w:type="dxa"/>
            <w:left w:w="108" w:type="dxa"/>
            <w:bottom w:w="0" w:type="dxa"/>
            <w:right w:w="108" w:type="dxa"/>
          </w:tblCellMar>
        </w:tblPrEx>
        <w:trPr>
          <w:trHeight w:val="338" w:hRule="atLeast"/>
          <w:jc w:val="center"/>
        </w:trPr>
        <w:tc>
          <w:tcPr>
            <w:tcW w:w="8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3200" w:type="dxa"/>
            <w:tcBorders>
              <w:top w:val="nil"/>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128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148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1820" w:type="dxa"/>
            <w:tcBorders>
              <w:top w:val="nil"/>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1160" w:type="dxa"/>
            <w:tcBorders>
              <w:top w:val="nil"/>
              <w:left w:val="nil"/>
              <w:bottom w:val="single" w:color="000000" w:sz="4" w:space="0"/>
              <w:right w:val="single" w:color="000000" w:sz="8"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53" w:hRule="atLeast"/>
          <w:jc w:val="center"/>
        </w:trPr>
        <w:tc>
          <w:tcPr>
            <w:tcW w:w="86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c>
          <w:tcPr>
            <w:tcW w:w="3200" w:type="dxa"/>
            <w:tcBorders>
              <w:top w:val="nil"/>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定值权重A</w:t>
            </w:r>
          </w:p>
        </w:tc>
        <w:tc>
          <w:tcPr>
            <w:tcW w:w="1280" w:type="dxa"/>
            <w:tcBorders>
              <w:top w:val="single" w:color="000000" w:sz="4" w:space="0"/>
              <w:left w:val="nil"/>
              <w:bottom w:val="single" w:color="000000" w:sz="4" w:space="0"/>
              <w:right w:val="single" w:color="000000" w:sz="4" w:space="0"/>
            </w:tcBorders>
            <w:vAlign w:val="center"/>
          </w:tcPr>
          <w:p>
            <w:pPr>
              <w:widowControl/>
              <w:jc w:val="right"/>
              <w:rPr>
                <w:rFonts w:ascii="宋体" w:hAnsi="宋体" w:cs="Arial"/>
                <w:kern w:val="0"/>
                <w:sz w:val="20"/>
                <w:szCs w:val="20"/>
              </w:rPr>
            </w:pPr>
            <w:r>
              <w:rPr>
                <w:rFonts w:hint="eastAsia" w:ascii="宋体" w:hAnsi="宋体" w:cs="Arial"/>
                <w:kern w:val="0"/>
                <w:sz w:val="20"/>
                <w:szCs w:val="20"/>
              </w:rPr>
              <w:t>1</w:t>
            </w:r>
          </w:p>
        </w:tc>
        <w:tc>
          <w:tcPr>
            <w:tcW w:w="148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w:t>
            </w:r>
          </w:p>
        </w:tc>
        <w:tc>
          <w:tcPr>
            <w:tcW w:w="1820" w:type="dxa"/>
            <w:tcBorders>
              <w:top w:val="nil"/>
              <w:left w:val="nil"/>
              <w:bottom w:val="single" w:color="000000" w:sz="4"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w:t>
            </w:r>
          </w:p>
        </w:tc>
        <w:tc>
          <w:tcPr>
            <w:tcW w:w="1160" w:type="dxa"/>
            <w:tcBorders>
              <w:top w:val="nil"/>
              <w:left w:val="nil"/>
              <w:bottom w:val="single" w:color="000000" w:sz="4" w:space="0"/>
              <w:right w:val="single" w:color="000000" w:sz="8"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38" w:hRule="atLeast"/>
          <w:jc w:val="center"/>
        </w:trPr>
        <w:tc>
          <w:tcPr>
            <w:tcW w:w="4060" w:type="dxa"/>
            <w:gridSpan w:val="2"/>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合    计</w:t>
            </w:r>
          </w:p>
        </w:tc>
        <w:tc>
          <w:tcPr>
            <w:tcW w:w="1280" w:type="dxa"/>
            <w:tcBorders>
              <w:top w:val="single" w:color="000000" w:sz="4" w:space="0"/>
              <w:left w:val="nil"/>
              <w:bottom w:val="single" w:color="000000" w:sz="8" w:space="0"/>
              <w:right w:val="single" w:color="000000" w:sz="4" w:space="0"/>
            </w:tcBorders>
            <w:vAlign w:val="center"/>
          </w:tcPr>
          <w:p>
            <w:pPr>
              <w:widowControl/>
              <w:jc w:val="right"/>
              <w:rPr>
                <w:rFonts w:ascii="宋体" w:hAnsi="宋体" w:cs="Arial"/>
                <w:kern w:val="0"/>
                <w:sz w:val="20"/>
                <w:szCs w:val="20"/>
              </w:rPr>
            </w:pPr>
            <w:r>
              <w:rPr>
                <w:rFonts w:hint="eastAsia" w:ascii="宋体" w:hAnsi="宋体" w:cs="Arial"/>
                <w:kern w:val="0"/>
                <w:sz w:val="20"/>
                <w:szCs w:val="20"/>
              </w:rPr>
              <w:t>1</w:t>
            </w:r>
          </w:p>
        </w:tc>
        <w:tc>
          <w:tcPr>
            <w:tcW w:w="1480" w:type="dxa"/>
            <w:gridSpan w:val="2"/>
            <w:tcBorders>
              <w:top w:val="single" w:color="000000" w:sz="4" w:space="0"/>
              <w:left w:val="nil"/>
              <w:bottom w:val="single" w:color="000000" w:sz="8"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w:t>
            </w:r>
          </w:p>
        </w:tc>
        <w:tc>
          <w:tcPr>
            <w:tcW w:w="1820" w:type="dxa"/>
            <w:tcBorders>
              <w:top w:val="nil"/>
              <w:left w:val="nil"/>
              <w:bottom w:val="single" w:color="000000" w:sz="8" w:space="0"/>
              <w:right w:val="single" w:color="000000" w:sz="4"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w:t>
            </w:r>
          </w:p>
        </w:tc>
        <w:tc>
          <w:tcPr>
            <w:tcW w:w="1160" w:type="dxa"/>
            <w:tcBorders>
              <w:top w:val="nil"/>
              <w:left w:val="nil"/>
              <w:bottom w:val="single" w:color="000000" w:sz="8" w:space="0"/>
              <w:right w:val="single" w:color="000000" w:sz="8" w:space="0"/>
            </w:tcBorders>
            <w:vAlign w:val="center"/>
          </w:tcPr>
          <w:p>
            <w:pPr>
              <w:widowControl/>
              <w:jc w:val="center"/>
              <w:rPr>
                <w:rFonts w:ascii="宋体" w:hAnsi="宋体" w:cs="Arial"/>
                <w:kern w:val="0"/>
                <w:sz w:val="20"/>
                <w:szCs w:val="20"/>
              </w:rPr>
            </w:pPr>
            <w:r>
              <w:rPr>
                <w:rFonts w:hint="eastAsia" w:ascii="宋体" w:hAnsi="宋体" w:cs="Arial"/>
                <w:kern w:val="0"/>
                <w:sz w:val="20"/>
                <w:szCs w:val="20"/>
              </w:rPr>
              <w:t>　</w:t>
            </w:r>
          </w:p>
        </w:tc>
      </w:tr>
    </w:tbl>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jc w:val="center"/>
        <w:outlineLvl w:val="0"/>
        <w:rPr>
          <w:rFonts w:hint="eastAsia" w:ascii="宋体" w:hAnsi="宋体" w:eastAsia="宋体" w:cs="宋体"/>
          <w:color w:val="auto"/>
          <w:sz w:val="24"/>
        </w:rPr>
      </w:pPr>
      <w:r>
        <w:rPr>
          <w:rFonts w:hint="eastAsia" w:ascii="宋体" w:hAnsi="宋体" w:eastAsia="宋体" w:cs="宋体"/>
          <w:b/>
          <w:bCs/>
          <w:color w:val="auto"/>
          <w:sz w:val="30"/>
          <w:szCs w:val="30"/>
        </w:rPr>
        <w:t>（</w:t>
      </w:r>
      <w:r>
        <w:rPr>
          <w:rFonts w:hint="eastAsia" w:hAnsi="宋体" w:cs="宋体"/>
          <w:b/>
          <w:bCs/>
          <w:color w:val="auto"/>
          <w:sz w:val="30"/>
          <w:szCs w:val="30"/>
          <w:lang w:val="en-US" w:eastAsia="zh-CN"/>
        </w:rPr>
        <w:t>九</w:t>
      </w:r>
      <w:r>
        <w:rPr>
          <w:rFonts w:hint="eastAsia" w:ascii="宋体" w:hAnsi="宋体" w:eastAsia="宋体" w:cs="宋体"/>
          <w:b/>
          <w:bCs/>
          <w:color w:val="auto"/>
          <w:sz w:val="30"/>
          <w:szCs w:val="30"/>
        </w:rPr>
        <w:t>）技术文件：</w:t>
      </w:r>
    </w:p>
    <w:p>
      <w:pPr>
        <w:jc w:val="center"/>
        <w:rPr>
          <w:rFonts w:hint="eastAsia" w:ascii="宋体" w:hAnsi="宋体" w:eastAsia="宋体" w:cs="宋体"/>
          <w:color w:val="auto"/>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rPr>
      </w:pPr>
      <w:r>
        <w:rPr>
          <w:rFonts w:hint="eastAsia" w:ascii="宋体" w:hAnsi="宋体" w:eastAsia="宋体" w:cs="宋体"/>
          <w:b/>
          <w:bCs/>
          <w:color w:val="auto"/>
          <w:sz w:val="40"/>
          <w:szCs w:val="40"/>
        </w:rPr>
        <w:t>目  录</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ascii="宋体" w:hAnsi="宋体"/>
          <w:bCs/>
          <w:sz w:val="24"/>
          <w:highlight w:val="none"/>
        </w:rPr>
      </w:pPr>
      <w:r>
        <w:rPr>
          <w:rFonts w:hint="eastAsia" w:ascii="宋体" w:hAnsi="宋体"/>
          <w:bCs/>
          <w:sz w:val="24"/>
          <w:highlight w:val="none"/>
        </w:rPr>
        <w:t>1）总体概述：施工组织总体设想、方案针对性及施工段划分</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r>
        <w:rPr>
          <w:rFonts w:hint="eastAsia" w:ascii="宋体" w:hAnsi="宋体"/>
          <w:bCs/>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bCs/>
          <w:sz w:val="24"/>
          <w:highlight w:val="none"/>
          <w:lang w:eastAsia="zh-CN"/>
        </w:rPr>
      </w:pPr>
      <w:r>
        <w:rPr>
          <w:rFonts w:hint="eastAsia" w:ascii="宋体" w:hAnsi="宋体"/>
          <w:bCs/>
          <w:sz w:val="24"/>
          <w:highlight w:val="none"/>
        </w:rPr>
        <w:t>2）施工进度计划和各阶段进度的保证措施</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bCs/>
          <w:sz w:val="24"/>
          <w:highlight w:val="none"/>
          <w:lang w:eastAsia="zh-CN"/>
        </w:rPr>
      </w:pPr>
      <w:r>
        <w:rPr>
          <w:rFonts w:hint="eastAsia" w:ascii="宋体" w:hAnsi="宋体"/>
          <w:bCs/>
          <w:sz w:val="24"/>
          <w:highlight w:val="none"/>
        </w:rPr>
        <w:t>3）各分部分项工程的施工方案及质量保证措施</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bCs/>
          <w:sz w:val="24"/>
          <w:highlight w:val="none"/>
          <w:lang w:eastAsia="zh-CN"/>
        </w:rPr>
      </w:pPr>
      <w:r>
        <w:rPr>
          <w:rFonts w:hint="eastAsia" w:ascii="宋体" w:hAnsi="宋体"/>
          <w:bCs/>
          <w:sz w:val="24"/>
          <w:highlight w:val="none"/>
        </w:rPr>
        <w:t>4）安全保障措施</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bCs/>
          <w:sz w:val="24"/>
          <w:highlight w:val="none"/>
          <w:lang w:eastAsia="zh-CN"/>
        </w:rPr>
      </w:pPr>
      <w:r>
        <w:rPr>
          <w:rFonts w:hint="eastAsia" w:ascii="宋体" w:hAnsi="宋体"/>
          <w:bCs/>
          <w:sz w:val="24"/>
          <w:highlight w:val="none"/>
        </w:rPr>
        <w:t>5）文明施工及环境保护（降尘降噪）措施</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kern w:val="0"/>
          <w:sz w:val="24"/>
          <w:highlight w:val="none"/>
          <w:lang w:eastAsia="zh-CN"/>
        </w:rPr>
      </w:pPr>
      <w:r>
        <w:rPr>
          <w:rFonts w:hint="eastAsia" w:ascii="宋体" w:hAnsi="宋体"/>
          <w:bCs/>
          <w:sz w:val="24"/>
          <w:highlight w:val="none"/>
        </w:rPr>
        <w:t>6）劳动力、机械设备和材料投入计划</w:t>
      </w:r>
      <w:r>
        <w:rPr>
          <w:rFonts w:hint="eastAsia" w:ascii="宋体" w:hAnsi="宋体"/>
          <w:bCs/>
          <w:sz w:val="24"/>
          <w:highlight w:val="none"/>
          <w:lang w:eastAsia="zh-CN"/>
        </w:rPr>
        <w:t>。</w:t>
      </w:r>
      <w:r>
        <w:rPr>
          <w:rFonts w:hint="eastAsia" w:ascii="宋体" w:hAnsi="宋体"/>
          <w:bCs/>
          <w:sz w:val="24"/>
          <w:highlight w:val="none"/>
        </w:rPr>
        <w:t xml:space="preserve">                         </w:t>
      </w:r>
      <w:r>
        <w:rPr>
          <w:rFonts w:hint="eastAsia" w:ascii="宋体" w:hAnsi="宋体"/>
          <w:bCs/>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rPr>
      </w:pPr>
      <w:r>
        <w:rPr>
          <w:rFonts w:hint="eastAsia" w:ascii="宋体" w:hAnsi="宋体" w:eastAsia="宋体" w:cs="宋体"/>
          <w:b/>
          <w:bCs/>
          <w:color w:val="auto"/>
          <w:sz w:val="24"/>
        </w:rPr>
        <w:t>（请按照以上所列顺序编制，有格式的按照提供的格式做，未提供格式的自拟格式）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rPr>
        <w:rStyle w:val="15"/>
      </w:rPr>
      <w:instrText xml:space="preserve"> PAGE </w:instrText>
    </w:r>
    <w:r>
      <w:fldChar w:fldCharType="separate"/>
    </w:r>
    <w:r>
      <w:rPr>
        <w:rStyle w:val="15"/>
      </w:rPr>
      <w:t>58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AC60A"/>
    <w:multiLevelType w:val="singleLevel"/>
    <w:tmpl w:val="BF7AC60A"/>
    <w:lvl w:ilvl="0" w:tentative="0">
      <w:start w:val="2"/>
      <w:numFmt w:val="decimal"/>
      <w:suff w:val="nothing"/>
      <w:lvlText w:val="（%1）"/>
      <w:lvlJc w:val="left"/>
    </w:lvl>
  </w:abstractNum>
  <w:abstractNum w:abstractNumId="1">
    <w:nsid w:val="0000000E"/>
    <w:multiLevelType w:val="multilevel"/>
    <w:tmpl w:val="0000000E"/>
    <w:lvl w:ilvl="0" w:tentative="0">
      <w:start w:val="1"/>
      <w:numFmt w:val="decimal"/>
      <w:lvlText w:val="%1."/>
      <w:lvlJc w:val="left"/>
      <w:pPr>
        <w:tabs>
          <w:tab w:val="left" w:pos="845"/>
        </w:tabs>
        <w:ind w:left="845" w:hanging="420"/>
      </w:pPr>
      <w:rPr>
        <w:color w:val="auto"/>
      </w:rPr>
    </w:lvl>
    <w:lvl w:ilvl="1" w:tentative="0">
      <w:start w:val="1"/>
      <w:numFmt w:val="decimalEnclosedCircle"/>
      <w:lvlText w:val="%2"/>
      <w:lvlJc w:val="left"/>
      <w:pPr>
        <w:tabs>
          <w:tab w:val="left" w:pos="1265"/>
        </w:tabs>
        <w:ind w:left="1265" w:hanging="420"/>
      </w:pPr>
      <w:rPr>
        <w:rFonts w:ascii="Times New Roman" w:hAnsi="Times New Roman" w:eastAsia="Times New Roman" w:cs="Times New Roman"/>
        <w:color w:val="auto"/>
      </w:rPr>
    </w:lvl>
    <w:lvl w:ilvl="2" w:tentative="0">
      <w:start w:val="1"/>
      <w:numFmt w:val="lowerRoman"/>
      <w:lvlText w:val="%3."/>
      <w:lvlJc w:val="right"/>
      <w:pPr>
        <w:tabs>
          <w:tab w:val="left" w:pos="1685"/>
        </w:tabs>
        <w:ind w:left="1685" w:hanging="420"/>
      </w:pPr>
    </w:lvl>
    <w:lvl w:ilvl="3" w:tentative="0">
      <w:start w:val="1"/>
      <w:numFmt w:val="decimal"/>
      <w:lvlText w:val="%4."/>
      <w:lvlJc w:val="left"/>
      <w:pPr>
        <w:tabs>
          <w:tab w:val="left" w:pos="2105"/>
        </w:tabs>
        <w:ind w:left="2105" w:hanging="420"/>
      </w:pPr>
    </w:lvl>
    <w:lvl w:ilvl="4" w:tentative="0">
      <w:start w:val="1"/>
      <w:numFmt w:val="lowerLetter"/>
      <w:lvlText w:val="%5)"/>
      <w:lvlJc w:val="left"/>
      <w:pPr>
        <w:tabs>
          <w:tab w:val="left" w:pos="2525"/>
        </w:tabs>
        <w:ind w:left="2525" w:hanging="420"/>
      </w:pPr>
    </w:lvl>
    <w:lvl w:ilvl="5" w:tentative="0">
      <w:start w:val="1"/>
      <w:numFmt w:val="lowerRoman"/>
      <w:lvlText w:val="%6."/>
      <w:lvlJc w:val="right"/>
      <w:pPr>
        <w:tabs>
          <w:tab w:val="left" w:pos="2945"/>
        </w:tabs>
        <w:ind w:left="2945" w:hanging="420"/>
      </w:pPr>
    </w:lvl>
    <w:lvl w:ilvl="6" w:tentative="0">
      <w:start w:val="1"/>
      <w:numFmt w:val="decimal"/>
      <w:lvlText w:val="%7."/>
      <w:lvlJc w:val="left"/>
      <w:pPr>
        <w:tabs>
          <w:tab w:val="left" w:pos="3365"/>
        </w:tabs>
        <w:ind w:left="3365" w:hanging="420"/>
      </w:pPr>
    </w:lvl>
    <w:lvl w:ilvl="7" w:tentative="0">
      <w:start w:val="1"/>
      <w:numFmt w:val="lowerLetter"/>
      <w:lvlText w:val="%8)"/>
      <w:lvlJc w:val="left"/>
      <w:pPr>
        <w:tabs>
          <w:tab w:val="left" w:pos="3785"/>
        </w:tabs>
        <w:ind w:left="3785" w:hanging="420"/>
      </w:pPr>
    </w:lvl>
    <w:lvl w:ilvl="8" w:tentative="0">
      <w:start w:val="1"/>
      <w:numFmt w:val="lowerRoman"/>
      <w:lvlText w:val="%9."/>
      <w:lvlJc w:val="right"/>
      <w:pPr>
        <w:tabs>
          <w:tab w:val="left" w:pos="4205"/>
        </w:tabs>
        <w:ind w:left="4205" w:hanging="420"/>
      </w:pPr>
    </w:lvl>
  </w:abstractNum>
  <w:abstractNum w:abstractNumId="2">
    <w:nsid w:val="00000011"/>
    <w:multiLevelType w:val="multilevel"/>
    <w:tmpl w:val="00000011"/>
    <w:lvl w:ilvl="0" w:tentative="0">
      <w:start w:val="1"/>
      <w:numFmt w:val="decimal"/>
      <w:lvlText w:val="%1."/>
      <w:lvlJc w:val="left"/>
      <w:pPr>
        <w:tabs>
          <w:tab w:val="left" w:pos="900"/>
        </w:tabs>
        <w:ind w:left="900" w:hanging="420"/>
      </w:pPr>
      <w:rPr>
        <w:rFonts w:hint="default" w:ascii="宋体" w:hAnsi="宋体" w:eastAsia="宋体"/>
        <w:u w:val="none"/>
      </w:rPr>
    </w:lvl>
    <w:lvl w:ilvl="1" w:tentative="0">
      <w:start w:val="1"/>
      <w:numFmt w:val="lowerLetter"/>
      <w:lvlText w:val="%2)"/>
      <w:lvlJc w:val="left"/>
      <w:pPr>
        <w:tabs>
          <w:tab w:val="left" w:pos="1320"/>
        </w:tabs>
        <w:ind w:left="1320" w:hanging="420"/>
      </w:pPr>
      <w:rPr>
        <w:rFonts w:hint="default" w:ascii="Times New Roman"/>
        <w:u w:val="none"/>
      </w:rPr>
    </w:lvl>
    <w:lvl w:ilvl="2" w:tentative="0">
      <w:start w:val="1"/>
      <w:numFmt w:val="lowerRoman"/>
      <w:lvlText w:val="%3."/>
      <w:lvlJc w:val="right"/>
      <w:pPr>
        <w:tabs>
          <w:tab w:val="left" w:pos="1740"/>
        </w:tabs>
        <w:ind w:left="1740" w:hanging="420"/>
      </w:pPr>
      <w:rPr>
        <w:rFonts w:hint="default" w:ascii="Times New Roman"/>
        <w:u w:val="none"/>
      </w:rPr>
    </w:lvl>
    <w:lvl w:ilvl="3" w:tentative="0">
      <w:start w:val="1"/>
      <w:numFmt w:val="decimal"/>
      <w:lvlText w:val="%4."/>
      <w:lvlJc w:val="left"/>
      <w:pPr>
        <w:tabs>
          <w:tab w:val="left" w:pos="2160"/>
        </w:tabs>
        <w:ind w:left="2160" w:hanging="420"/>
      </w:pPr>
      <w:rPr>
        <w:rFonts w:hint="default" w:ascii="Times New Roman"/>
        <w:u w:val="none"/>
      </w:rPr>
    </w:lvl>
    <w:lvl w:ilvl="4" w:tentative="0">
      <w:start w:val="1"/>
      <w:numFmt w:val="lowerLetter"/>
      <w:lvlText w:val="%5)"/>
      <w:lvlJc w:val="left"/>
      <w:pPr>
        <w:tabs>
          <w:tab w:val="left" w:pos="2580"/>
        </w:tabs>
        <w:ind w:left="2580" w:hanging="420"/>
      </w:pPr>
      <w:rPr>
        <w:rFonts w:hint="default" w:ascii="Times New Roman"/>
        <w:u w:val="none"/>
      </w:rPr>
    </w:lvl>
    <w:lvl w:ilvl="5" w:tentative="0">
      <w:start w:val="1"/>
      <w:numFmt w:val="lowerRoman"/>
      <w:lvlText w:val="%6."/>
      <w:lvlJc w:val="right"/>
      <w:pPr>
        <w:tabs>
          <w:tab w:val="left" w:pos="3000"/>
        </w:tabs>
        <w:ind w:left="3000" w:hanging="420"/>
      </w:pPr>
      <w:rPr>
        <w:rFonts w:hint="default" w:ascii="Times New Roman"/>
        <w:u w:val="none"/>
      </w:rPr>
    </w:lvl>
    <w:lvl w:ilvl="6" w:tentative="0">
      <w:start w:val="1"/>
      <w:numFmt w:val="decimal"/>
      <w:lvlText w:val="%7."/>
      <w:lvlJc w:val="left"/>
      <w:pPr>
        <w:tabs>
          <w:tab w:val="left" w:pos="3420"/>
        </w:tabs>
        <w:ind w:left="3420" w:hanging="420"/>
      </w:pPr>
      <w:rPr>
        <w:rFonts w:hint="default" w:ascii="Times New Roman"/>
        <w:u w:val="none"/>
      </w:rPr>
    </w:lvl>
    <w:lvl w:ilvl="7" w:tentative="0">
      <w:start w:val="1"/>
      <w:numFmt w:val="lowerLetter"/>
      <w:lvlText w:val="%8)"/>
      <w:lvlJc w:val="left"/>
      <w:pPr>
        <w:tabs>
          <w:tab w:val="left" w:pos="3840"/>
        </w:tabs>
        <w:ind w:left="3840" w:hanging="420"/>
      </w:pPr>
      <w:rPr>
        <w:rFonts w:hint="default" w:ascii="Times New Roman"/>
        <w:u w:val="none"/>
      </w:rPr>
    </w:lvl>
    <w:lvl w:ilvl="8" w:tentative="0">
      <w:start w:val="1"/>
      <w:numFmt w:val="lowerRoman"/>
      <w:lvlText w:val="%9."/>
      <w:lvlJc w:val="right"/>
      <w:pPr>
        <w:tabs>
          <w:tab w:val="left" w:pos="4260"/>
        </w:tabs>
        <w:ind w:left="4260" w:hanging="420"/>
      </w:pPr>
      <w:rPr>
        <w:rFonts w:hint="default" w:ascii="Times New Roman"/>
        <w:u w:val="none"/>
      </w:rPr>
    </w:lvl>
  </w:abstractNum>
  <w:abstractNum w:abstractNumId="3">
    <w:nsid w:val="00000018"/>
    <w:multiLevelType w:val="singleLevel"/>
    <w:tmpl w:val="00000018"/>
    <w:lvl w:ilvl="0" w:tentative="0">
      <w:start w:val="1"/>
      <w:numFmt w:val="decimal"/>
      <w:lvlText w:val="%1．"/>
      <w:lvlJc w:val="left"/>
      <w:pPr>
        <w:tabs>
          <w:tab w:val="left" w:pos="552"/>
        </w:tabs>
        <w:ind w:left="552" w:hanging="420"/>
      </w:pPr>
    </w:lvl>
  </w:abstractNum>
  <w:abstractNum w:abstractNumId="4">
    <w:nsid w:val="0000001D"/>
    <w:multiLevelType w:val="singleLevel"/>
    <w:tmpl w:val="0000001D"/>
    <w:lvl w:ilvl="0" w:tentative="0">
      <w:start w:val="1"/>
      <w:numFmt w:val="decimal"/>
      <w:lvlText w:val="%1．"/>
      <w:lvlJc w:val="left"/>
      <w:pPr>
        <w:tabs>
          <w:tab w:val="left" w:pos="570"/>
        </w:tabs>
        <w:ind w:left="570" w:hanging="420"/>
      </w:pPr>
    </w:lvl>
  </w:abstractNum>
  <w:abstractNum w:abstractNumId="5">
    <w:nsid w:val="102D47E0"/>
    <w:multiLevelType w:val="multilevel"/>
    <w:tmpl w:val="102D47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FF91D0A"/>
    <w:multiLevelType w:val="multilevel"/>
    <w:tmpl w:val="2FF91D0A"/>
    <w:lvl w:ilvl="0" w:tentative="0">
      <w:start w:val="1"/>
      <w:numFmt w:val="chineseCountingThousand"/>
      <w:pStyle w:val="6"/>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4D216634"/>
    <w:multiLevelType w:val="singleLevel"/>
    <w:tmpl w:val="4D216634"/>
    <w:lvl w:ilvl="0" w:tentative="0">
      <w:start w:val="3"/>
      <w:numFmt w:val="chineseCounting"/>
      <w:suff w:val="nothing"/>
      <w:lvlText w:val="第%1部分．"/>
      <w:lvlJc w:val="left"/>
      <w:rPr>
        <w:rFonts w:hint="eastAsia"/>
      </w:rPr>
    </w:lvl>
  </w:abstractNum>
  <w:abstractNum w:abstractNumId="8">
    <w:nsid w:val="545470A0"/>
    <w:multiLevelType w:val="multilevel"/>
    <w:tmpl w:val="545470A0"/>
    <w:lvl w:ilvl="0" w:tentative="0">
      <w:start w:val="1"/>
      <w:numFmt w:val="chineseCountingThousand"/>
      <w:suff w:val="nothing"/>
      <w:lvlText w:val="（%1）"/>
      <w:lvlJc w:val="left"/>
      <w:pPr>
        <w:ind w:left="855" w:hanging="855"/>
      </w:pPr>
      <w:rPr>
        <w:rFonts w:hint="eastAsia"/>
      </w:rPr>
    </w:lvl>
    <w:lvl w:ilvl="1" w:tentative="0">
      <w:start w:val="4"/>
      <w:numFmt w:val="decimal"/>
      <w:lvlText w:val="%2."/>
      <w:lvlJc w:val="left"/>
      <w:pPr>
        <w:tabs>
          <w:tab w:val="left" w:pos="1125"/>
        </w:tabs>
        <w:ind w:left="1125" w:hanging="705"/>
      </w:pPr>
      <w:rPr>
        <w:rFonts w:hint="eastAsia"/>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60A17649"/>
    <w:multiLevelType w:val="singleLevel"/>
    <w:tmpl w:val="60A17649"/>
    <w:lvl w:ilvl="0" w:tentative="0">
      <w:start w:val="2"/>
      <w:numFmt w:val="decimal"/>
      <w:suff w:val="nothing"/>
      <w:lvlText w:val="%1）"/>
      <w:lvlJc w:val="left"/>
    </w:lvl>
  </w:abstractNum>
  <w:abstractNum w:abstractNumId="10">
    <w:nsid w:val="630C1BC3"/>
    <w:multiLevelType w:val="multilevel"/>
    <w:tmpl w:val="630C1BC3"/>
    <w:lvl w:ilvl="0" w:tentative="0">
      <w:start w:val="1"/>
      <w:numFmt w:val="decimal"/>
      <w:lvlText w:val="%1."/>
      <w:lvlJc w:val="left"/>
      <w:pPr>
        <w:tabs>
          <w:tab w:val="left" w:pos="510"/>
        </w:tabs>
        <w:ind w:left="510" w:hanging="360"/>
      </w:pPr>
      <w:rPr>
        <w:rFonts w:hint="eastAsia"/>
      </w:rPr>
    </w:lvl>
    <w:lvl w:ilvl="1" w:tentative="0">
      <w:start w:val="1"/>
      <w:numFmt w:val="decimal"/>
      <w:suff w:val="nothing"/>
      <w:lvlText w:val="%2．"/>
      <w:lvlJc w:val="left"/>
      <w:pPr>
        <w:ind w:left="1290"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hint="eastAsia" w:ascii="宋体" w:hAnsi="宋体" w:eastAsia="宋体" w:cs="Times New Roman"/>
      </w:rPr>
    </w:lvl>
    <w:lvl w:ilvl="4" w:tentative="0">
      <w:start w:val="1"/>
      <w:numFmt w:val="decimal"/>
      <w:lvlText w:val="（%5）"/>
      <w:lvlJc w:val="left"/>
      <w:pPr>
        <w:tabs>
          <w:tab w:val="left" w:pos="1129"/>
        </w:tabs>
        <w:ind w:left="1129" w:hanging="420"/>
      </w:pPr>
      <w:rPr>
        <w:rFonts w:hint="eastAsia"/>
        <w:b/>
      </w:rPr>
    </w:lvl>
    <w:lvl w:ilvl="5" w:tentative="0">
      <w:start w:val="1"/>
      <w:numFmt w:val="lowerRoman"/>
      <w:lvlText w:val="%6."/>
      <w:lvlJc w:val="right"/>
      <w:pPr>
        <w:tabs>
          <w:tab w:val="left" w:pos="2670"/>
        </w:tabs>
        <w:ind w:left="2670" w:hanging="420"/>
      </w:pPr>
      <w:rPr>
        <w:rFonts w:hint="eastAsia"/>
      </w:rPr>
    </w:lvl>
    <w:lvl w:ilvl="6" w:tentative="0">
      <w:start w:val="1"/>
      <w:numFmt w:val="decimal"/>
      <w:lvlText w:val="%7."/>
      <w:lvlJc w:val="left"/>
      <w:pPr>
        <w:tabs>
          <w:tab w:val="left" w:pos="3090"/>
        </w:tabs>
        <w:ind w:left="3090" w:hanging="420"/>
      </w:pPr>
      <w:rPr>
        <w:rFonts w:hint="eastAsia"/>
      </w:rPr>
    </w:lvl>
    <w:lvl w:ilvl="7" w:tentative="0">
      <w:start w:val="1"/>
      <w:numFmt w:val="lowerLetter"/>
      <w:lvlText w:val="%8)"/>
      <w:lvlJc w:val="left"/>
      <w:pPr>
        <w:tabs>
          <w:tab w:val="left" w:pos="3510"/>
        </w:tabs>
        <w:ind w:left="3510" w:hanging="420"/>
      </w:pPr>
      <w:rPr>
        <w:rFonts w:hint="eastAsia"/>
      </w:rPr>
    </w:lvl>
    <w:lvl w:ilvl="8" w:tentative="0">
      <w:start w:val="1"/>
      <w:numFmt w:val="lowerRoman"/>
      <w:lvlText w:val="%9."/>
      <w:lvlJc w:val="right"/>
      <w:pPr>
        <w:tabs>
          <w:tab w:val="left" w:pos="3930"/>
        </w:tabs>
        <w:ind w:left="3930" w:hanging="420"/>
      </w:pPr>
      <w:rPr>
        <w:rFonts w:hint="eastAsia"/>
      </w:rPr>
    </w:lvl>
  </w:abstractNum>
  <w:num w:numId="1">
    <w:abstractNumId w:val="6"/>
  </w:num>
  <w:num w:numId="2">
    <w:abstractNumId w:val="8"/>
  </w:num>
  <w:num w:numId="3">
    <w:abstractNumId w:val="3"/>
    <w:lvlOverride w:ilvl="0">
      <w:startOverride w:val="1"/>
    </w:lvlOverride>
  </w:num>
  <w:num w:numId="4">
    <w:abstractNumId w:val="1"/>
  </w:num>
  <w:num w:numId="5">
    <w:abstractNumId w:val="2"/>
  </w:num>
  <w:num w:numId="6">
    <w:abstractNumId w:val="10"/>
  </w:num>
  <w:num w:numId="7">
    <w:abstractNumId w:val="0"/>
  </w:num>
  <w:num w:numId="8">
    <w:abstractNumId w:val="9"/>
  </w:num>
  <w:num w:numId="9">
    <w:abstractNumId w:val="5"/>
  </w:num>
  <w:num w:numId="10">
    <w:abstractNumId w:val="4"/>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OTQ5ZTkyOTZlMjBlYzJmZGMzNDNjMWMyNGU2ZTYifQ=="/>
  </w:docVars>
  <w:rsids>
    <w:rsidRoot w:val="00000000"/>
    <w:rsid w:val="021D7455"/>
    <w:rsid w:val="03991DF6"/>
    <w:rsid w:val="0616597F"/>
    <w:rsid w:val="07B05960"/>
    <w:rsid w:val="081E6D6D"/>
    <w:rsid w:val="08BC43F0"/>
    <w:rsid w:val="0C6D2071"/>
    <w:rsid w:val="0E19425F"/>
    <w:rsid w:val="0F6C5FE1"/>
    <w:rsid w:val="124F64A1"/>
    <w:rsid w:val="12AB56A1"/>
    <w:rsid w:val="1A377809"/>
    <w:rsid w:val="1A5605E9"/>
    <w:rsid w:val="1D573933"/>
    <w:rsid w:val="1E160CF3"/>
    <w:rsid w:val="208C266E"/>
    <w:rsid w:val="255233A1"/>
    <w:rsid w:val="25C74149"/>
    <w:rsid w:val="39A64751"/>
    <w:rsid w:val="3AEE7DE7"/>
    <w:rsid w:val="41E33C60"/>
    <w:rsid w:val="43B540F2"/>
    <w:rsid w:val="49F24A4F"/>
    <w:rsid w:val="4B624AA3"/>
    <w:rsid w:val="4C5051E8"/>
    <w:rsid w:val="4E872543"/>
    <w:rsid w:val="53E47AF0"/>
    <w:rsid w:val="5B3255E5"/>
    <w:rsid w:val="5CAE0EBD"/>
    <w:rsid w:val="5EC02214"/>
    <w:rsid w:val="5EFD1589"/>
    <w:rsid w:val="62145A44"/>
    <w:rsid w:val="625C73EB"/>
    <w:rsid w:val="646D768E"/>
    <w:rsid w:val="690D16FE"/>
    <w:rsid w:val="6A4964A7"/>
    <w:rsid w:val="6E82467D"/>
    <w:rsid w:val="716E53F3"/>
    <w:rsid w:val="77D73344"/>
    <w:rsid w:val="7CB8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6">
    <w:name w:val="heading 1"/>
    <w:basedOn w:val="1"/>
    <w:next w:val="1"/>
    <w:qFormat/>
    <w:uiPriority w:val="0"/>
    <w:pPr>
      <w:keepNext/>
      <w:keepLines/>
      <w:numPr>
        <w:ilvl w:val="0"/>
        <w:numId w:val="1"/>
      </w:numPr>
      <w:spacing w:before="340" w:after="330" w:line="578" w:lineRule="auto"/>
      <w:jc w:val="center"/>
      <w:outlineLvl w:val="0"/>
    </w:pPr>
    <w:rPr>
      <w:rFonts w:ascii="黑体" w:eastAsia="黑体"/>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ascii="黑体" w:eastAsia="黑体"/>
      <w:b/>
      <w:bCs/>
      <w:sz w:val="32"/>
      <w:szCs w:val="32"/>
    </w:rPr>
  </w:style>
  <w:style w:type="paragraph" w:styleId="8">
    <w:name w:val="heading 4"/>
    <w:basedOn w:val="1"/>
    <w:next w:val="1"/>
    <w:qFormat/>
    <w:uiPriority w:val="0"/>
    <w:pPr>
      <w:keepNext/>
      <w:keepLines/>
      <w:spacing w:line="360" w:lineRule="auto"/>
      <w:outlineLvl w:val="3"/>
    </w:pPr>
    <w:rPr>
      <w:rFonts w:ascii="Arial" w:hAnsi="Arial"/>
      <w:b/>
      <w:bCs/>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pPr>
    <w:rPr>
      <w:rFonts w:ascii="仿宋_GB2312" w:eastAsia="仿宋_GB2312"/>
      <w:kern w:val="0"/>
      <w:sz w:val="28"/>
      <w:szCs w:val="20"/>
    </w:rPr>
  </w:style>
  <w:style w:type="paragraph" w:customStyle="1" w:styleId="3">
    <w:name w:val="样式 表格正文 + 两端对齐"/>
    <w:basedOn w:val="1"/>
    <w:next w:val="4"/>
    <w:qFormat/>
    <w:uiPriority w:val="99"/>
    <w:pPr>
      <w:spacing w:line="300" w:lineRule="auto"/>
    </w:pPr>
  </w:style>
  <w:style w:type="paragraph" w:customStyle="1" w:styleId="4">
    <w:name w:val="正文1"/>
    <w:basedOn w:val="5"/>
    <w:next w:val="1"/>
    <w:qFormat/>
    <w:uiPriority w:val="99"/>
    <w:pPr>
      <w:spacing w:line="360" w:lineRule="auto"/>
      <w:ind w:right="1" w:rightChars="1"/>
    </w:pPr>
    <w:rPr>
      <w:rFonts w:ascii="宋体" w:hAnsi="宋体" w:cs="宋体"/>
      <w:color w:val="000000"/>
      <w:sz w:val="24"/>
      <w:szCs w:val="24"/>
    </w:rPr>
  </w:style>
  <w:style w:type="paragraph" w:styleId="5">
    <w:name w:val="Document Map"/>
    <w:basedOn w:val="1"/>
    <w:qFormat/>
    <w:uiPriority w:val="0"/>
    <w:rPr>
      <w:rFonts w:ascii="宋体"/>
      <w:sz w:val="18"/>
      <w:szCs w:val="18"/>
    </w:rPr>
  </w:style>
  <w:style w:type="paragraph" w:styleId="9">
    <w:name w:val="Block Text"/>
    <w:basedOn w:val="1"/>
    <w:qFormat/>
    <w:uiPriority w:val="0"/>
    <w:pPr>
      <w:adjustRightInd w:val="0"/>
      <w:ind w:left="420" w:right="33"/>
      <w:jc w:val="left"/>
      <w:textAlignment w:val="baseline"/>
    </w:pPr>
    <w:rPr>
      <w:kern w:val="0"/>
      <w:sz w:val="24"/>
      <w:szCs w:val="20"/>
    </w:rPr>
  </w:style>
  <w:style w:type="paragraph" w:styleId="10">
    <w:name w:val="index 4"/>
    <w:basedOn w:val="1"/>
    <w:next w:val="1"/>
    <w:qFormat/>
    <w:uiPriority w:val="99"/>
    <w:pPr>
      <w:ind w:left="600" w:leftChars="6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Normal (Web)"/>
    <w:basedOn w:val="1"/>
    <w:qFormat/>
    <w:uiPriority w:val="0"/>
    <w:pPr>
      <w:widowControl/>
      <w:adjustRightInd w:val="0"/>
      <w:spacing w:before="100" w:beforeAutospacing="1" w:after="100" w:afterAutospacing="1" w:line="288" w:lineRule="auto"/>
      <w:ind w:firstLine="420"/>
      <w:jc w:val="left"/>
      <w:textAlignment w:val="baseline"/>
    </w:pPr>
    <w:rPr>
      <w:rFonts w:ascii="宋体" w:hAnsi="宋体"/>
      <w:kern w:val="0"/>
      <w:sz w:val="24"/>
    </w:rPr>
  </w:style>
  <w:style w:type="character" w:styleId="15">
    <w:name w:val="page number"/>
    <w:basedOn w:val="14"/>
    <w:qFormat/>
    <w:uiPriority w:val="0"/>
  </w:style>
  <w:style w:type="paragraph" w:customStyle="1" w:styleId="16">
    <w:name w:val="列表段落1"/>
    <w:basedOn w:val="1"/>
    <w:qFormat/>
    <w:uiPriority w:val="0"/>
    <w:pPr>
      <w:ind w:firstLine="420" w:firstLineChars="200"/>
    </w:pPr>
    <w:rPr>
      <w:rFonts w:ascii="Times New Roman" w:hAnsi="Times New Roman" w:cs="Times New Roman"/>
      <w:szCs w:val="21"/>
    </w:rPr>
  </w:style>
  <w:style w:type="paragraph" w:customStyle="1" w:styleId="17">
    <w:name w:val="列出段落3"/>
    <w:basedOn w:val="1"/>
    <w:qFormat/>
    <w:uiPriority w:val="34"/>
    <w:pPr>
      <w:ind w:firstLine="420" w:firstLineChars="200"/>
    </w:pPr>
    <w:rPr>
      <w:rFonts w:eastAsia="微软雅黑"/>
      <w:szCs w:val="22"/>
    </w:rPr>
  </w:style>
  <w:style w:type="paragraph" w:customStyle="1" w:styleId="18">
    <w:name w:val="_Style 6"/>
    <w:basedOn w:val="6"/>
    <w:next w:val="1"/>
    <w:qFormat/>
    <w:uiPriority w:val="0"/>
    <w:pPr>
      <w:spacing w:line="576" w:lineRule="auto"/>
      <w:ind w:left="0" w:firstLine="0"/>
      <w:jc w:val="both"/>
    </w:pPr>
    <w:rPr>
      <w:rFonts w:ascii="Cambria" w:hAnsi="Cambria" w:eastAsia="华文细黑"/>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99</Pages>
  <Words>45918</Words>
  <Characters>47838</Characters>
  <Lines>0</Lines>
  <Paragraphs>0</Paragraphs>
  <TotalTime>9</TotalTime>
  <ScaleCrop>false</ScaleCrop>
  <LinksUpToDate>false</LinksUpToDate>
  <CharactersWithSpaces>51467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2022-05-29T07:59:00Z</dcterms:created>
  <dc:creator>Administrator</dc:creator>
  <cp:lastModifiedBy>。空</cp:lastModifiedBy>
  <dcterms:modified xsi:type="dcterms:W3CDTF">2022-06-01T06:43:09Z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39B8C4ED54824A7590C408239EF30722</vt:lpwstr>
  </property>
</Properties>
</file>