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660"/>
        <w:rPr>
          <w:rFonts w:ascii="楷体_GB2312" w:eastAsia="楷体_GB2312"/>
          <w:bCs/>
          <w:sz w:val="30"/>
        </w:rPr>
      </w:pPr>
    </w:p>
    <w:p>
      <w:pPr>
        <w:ind w:left="660"/>
        <w:rPr>
          <w:rFonts w:ascii="楷体_GB2312" w:eastAsia="楷体_GB2312"/>
          <w:bCs/>
          <w:sz w:val="30"/>
        </w:rPr>
      </w:pPr>
    </w:p>
    <w:p>
      <w:pPr>
        <w:jc w:val="center"/>
        <w:rPr>
          <w:rFonts w:ascii="黑体" w:hAnsi="华文中宋" w:eastAsia="黑体"/>
          <w:bCs/>
          <w:spacing w:val="20"/>
          <w:sz w:val="72"/>
          <w:szCs w:val="72"/>
        </w:rPr>
      </w:pPr>
      <w:r>
        <w:rPr>
          <w:rFonts w:hint="eastAsia" w:ascii="黑体" w:hAnsi="华文中宋" w:eastAsia="黑体"/>
          <w:bCs/>
          <w:spacing w:val="20"/>
          <w:sz w:val="72"/>
          <w:szCs w:val="72"/>
        </w:rPr>
        <w:t>无锡市梁溪区政府采购</w:t>
      </w: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jc w:val="center"/>
        <w:rPr>
          <w:rFonts w:ascii="黑体" w:hAnsi="华文中宋" w:eastAsia="黑体"/>
          <w:bCs/>
          <w:spacing w:val="20"/>
          <w:w w:val="90"/>
          <w:sz w:val="48"/>
          <w:szCs w:val="48"/>
        </w:rPr>
      </w:pPr>
      <w:r>
        <w:rPr>
          <w:rFonts w:hint="eastAsia" w:ascii="黑体" w:hAnsi="华文中宋" w:eastAsia="黑体"/>
          <w:bCs/>
          <w:spacing w:val="20"/>
          <w:w w:val="90"/>
          <w:sz w:val="48"/>
          <w:szCs w:val="48"/>
        </w:rPr>
        <w:t>公   开</w:t>
      </w:r>
    </w:p>
    <w:p>
      <w:pPr>
        <w:jc w:val="center"/>
        <w:rPr>
          <w:rFonts w:ascii="黑体" w:hAnsi="华文中宋" w:eastAsia="黑体"/>
          <w:bCs/>
          <w:spacing w:val="20"/>
          <w:sz w:val="52"/>
          <w:szCs w:val="52"/>
        </w:rPr>
      </w:pPr>
      <w: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197485</wp:posOffset>
                </wp:positionV>
                <wp:extent cx="635"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pt;margin-top:15.55pt;height:0pt;width:0.05pt;z-index:251659264;mso-width-relative:page;mso-height-relative:page;" filled="f" stroked="t" coordsize="21600,21600" o:allowincell="f" o:gfxdata="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SaT3XAAAACQEAAA8A&#10;AAAAAAAAAQAgAAAAIgAAAGRycy9kb3ducmV2LnhtbFBLAQIUABQAAAAIAIdO4kAw1eWv3wEAAKYD&#10;AAAOAAAAAAAAAAEAIAAAACYBAABkcnMvZTJvRG9jLnhtbFBLBQYAAAAABgAGAFkBAAB3BQAAAAA=&#10;">
                <v:fill on="f" focussize="0,0"/>
                <v:stroke color="#000000" joinstyle="round"/>
                <v:imagedata o:title=""/>
                <o:lock v:ext="edit" aspectratio="f"/>
              </v:line>
            </w:pict>
          </mc:Fallback>
        </mc:AlternateContent>
      </w:r>
      <w:r>
        <w:rPr>
          <w:rFonts w:hint="eastAsia" w:ascii="黑体" w:hAnsi="华文中宋" w:eastAsia="黑体"/>
          <w:bCs/>
          <w:spacing w:val="20"/>
          <w:sz w:val="52"/>
          <w:szCs w:val="52"/>
        </w:rPr>
        <w:t>招  标  文 件</w:t>
      </w:r>
    </w:p>
    <w:p>
      <w:pPr>
        <w:rPr>
          <w:rFonts w:ascii="华文中宋" w:hAnsi="华文中宋" w:eastAsia="华文中宋"/>
          <w:bCs/>
          <w:sz w:val="30"/>
        </w:rPr>
      </w:pPr>
    </w:p>
    <w:p>
      <w:pPr>
        <w:tabs>
          <w:tab w:val="left" w:pos="9921"/>
        </w:tabs>
        <w:jc w:val="center"/>
        <w:rPr>
          <w:rFonts w:ascii="华文中宋" w:hAnsi="华文中宋" w:eastAsia="华文中宋"/>
          <w:bCs/>
          <w:sz w:val="30"/>
        </w:rPr>
      </w:pPr>
    </w:p>
    <w:p>
      <w:pPr>
        <w:jc w:val="left"/>
        <w:rPr>
          <w:rFonts w:ascii="华文中宋" w:hAnsi="华文中宋" w:eastAsia="华文中宋"/>
          <w:bCs/>
          <w:sz w:val="30"/>
        </w:rPr>
      </w:pPr>
    </w:p>
    <w:p>
      <w:pPr>
        <w:ind w:firstLine="2700" w:firstLineChars="900"/>
        <w:rPr>
          <w:rFonts w:hint="eastAsia" w:ascii="黑体" w:hAnsi="华文中宋" w:eastAsia="黑体"/>
          <w:bCs/>
          <w:sz w:val="30"/>
          <w:szCs w:val="30"/>
          <w:lang w:eastAsia="zh-CN"/>
        </w:rPr>
      </w:pPr>
      <w:r>
        <w:rPr>
          <w:rFonts w:hint="eastAsia" w:ascii="黑体" w:hAnsi="华文中宋" w:eastAsia="黑体"/>
          <w:bCs/>
          <w:sz w:val="30"/>
          <w:szCs w:val="30"/>
        </w:rPr>
        <w:t>采购项目编号：</w:t>
      </w:r>
      <w:r>
        <w:rPr>
          <w:rFonts w:hint="eastAsia" w:ascii="黑体" w:hAnsi="华文中宋" w:eastAsia="黑体"/>
          <w:bCs/>
          <w:sz w:val="30"/>
          <w:szCs w:val="30"/>
          <w:lang w:eastAsia="zh-CN"/>
        </w:rPr>
        <w:t>LXZC2021-054</w:t>
      </w:r>
    </w:p>
    <w:p>
      <w:pPr>
        <w:ind w:left="4830" w:leftChars="1300" w:hanging="2100" w:hangingChars="700"/>
        <w:jc w:val="left"/>
        <w:rPr>
          <w:rFonts w:hint="eastAsia" w:ascii="黑体" w:hAnsi="华文中宋" w:eastAsia="黑体"/>
          <w:bCs/>
          <w:sz w:val="30"/>
          <w:szCs w:val="30"/>
          <w:lang w:eastAsia="zh-CN"/>
        </w:rPr>
      </w:pPr>
      <w:r>
        <w:rPr>
          <w:rFonts w:hint="eastAsia" w:ascii="黑体" w:hAnsi="华文中宋" w:eastAsia="黑体"/>
          <w:bCs/>
          <w:sz w:val="30"/>
          <w:szCs w:val="30"/>
        </w:rPr>
        <w:t>采购项目名称：</w:t>
      </w:r>
      <w:r>
        <w:rPr>
          <w:rFonts w:hint="eastAsia" w:ascii="黑体" w:hAnsi="华文中宋" w:eastAsia="黑体"/>
          <w:bCs/>
          <w:sz w:val="30"/>
          <w:szCs w:val="30"/>
          <w:lang w:eastAsia="zh-CN"/>
        </w:rPr>
        <w:t>无锡市康复医院（梁溪区中医医院）信息化建设一体化项目</w:t>
      </w:r>
    </w:p>
    <w:p>
      <w:pPr>
        <w:ind w:firstLine="2700" w:firstLineChars="900"/>
        <w:jc w:val="left"/>
        <w:rPr>
          <w:rFonts w:ascii="黑体" w:hAnsi="华文中宋" w:eastAsia="黑体"/>
          <w:bCs/>
          <w:sz w:val="30"/>
          <w:szCs w:val="30"/>
        </w:rPr>
      </w:pPr>
      <w:r>
        <w:rPr>
          <w:rFonts w:hint="eastAsia" w:ascii="黑体" w:hAnsi="华文中宋" w:eastAsia="黑体"/>
          <w:bCs/>
          <w:sz w:val="30"/>
          <w:szCs w:val="30"/>
        </w:rPr>
        <w:t>集中采购机构：无锡市公共资源交易中心梁溪分中心</w:t>
      </w:r>
    </w:p>
    <w:p>
      <w:pPr>
        <w:rPr>
          <w:rFonts w:ascii="华文中宋" w:hAnsi="华文中宋" w:eastAsia="华文中宋"/>
          <w:bCs/>
          <w:sz w:val="32"/>
        </w:rPr>
      </w:pP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jc w:val="center"/>
        <w:rPr>
          <w:rFonts w:ascii="黑体" w:hAnsi="华文中宋" w:eastAsia="黑体"/>
          <w:bCs/>
          <w:sz w:val="44"/>
          <w:szCs w:val="44"/>
        </w:rPr>
      </w:pPr>
      <w:r>
        <w:rPr>
          <w:rFonts w:hint="eastAsia" w:ascii="黑体" w:hAnsi="华文中宋" w:eastAsia="黑体"/>
          <w:bCs/>
          <w:sz w:val="44"/>
          <w:szCs w:val="44"/>
        </w:rPr>
        <w:t>二○二</w:t>
      </w:r>
      <w:r>
        <w:rPr>
          <w:rFonts w:hint="eastAsia" w:ascii="黑体" w:hAnsi="华文中宋" w:eastAsia="黑体"/>
          <w:bCs/>
          <w:sz w:val="44"/>
          <w:szCs w:val="44"/>
          <w:lang w:val="en-US" w:eastAsia="zh-CN"/>
        </w:rPr>
        <w:t>二</w:t>
      </w:r>
      <w:r>
        <w:rPr>
          <w:rFonts w:hint="eastAsia" w:ascii="黑体" w:hAnsi="华文中宋" w:eastAsia="黑体"/>
          <w:bCs/>
          <w:sz w:val="44"/>
          <w:szCs w:val="44"/>
        </w:rPr>
        <w:t>年</w:t>
      </w:r>
      <w:r>
        <w:rPr>
          <w:rFonts w:hint="eastAsia" w:ascii="黑体" w:hAnsi="华文中宋" w:eastAsia="黑体"/>
          <w:bCs/>
          <w:sz w:val="44"/>
          <w:szCs w:val="44"/>
          <w:lang w:val="en-US" w:eastAsia="zh-CN"/>
        </w:rPr>
        <w:t>一</w:t>
      </w:r>
      <w:r>
        <w:rPr>
          <w:rFonts w:hint="eastAsia" w:ascii="黑体" w:hAnsi="华文中宋" w:eastAsia="黑体"/>
          <w:bCs/>
          <w:sz w:val="44"/>
          <w:szCs w:val="44"/>
        </w:rPr>
        <w:t>月</w:t>
      </w:r>
      <w:r>
        <w:rPr>
          <w:rFonts w:hint="eastAsia" w:ascii="黑体" w:hAnsi="华文中宋" w:eastAsia="黑体"/>
          <w:bCs/>
          <w:sz w:val="44"/>
          <w:szCs w:val="44"/>
          <w:lang w:val="en-US" w:eastAsia="zh-CN"/>
        </w:rPr>
        <w:t>三十</w:t>
      </w:r>
      <w:r>
        <w:rPr>
          <w:rFonts w:hint="eastAsia" w:ascii="黑体" w:hAnsi="华文中宋" w:eastAsia="黑体"/>
          <w:bCs/>
          <w:sz w:val="44"/>
          <w:szCs w:val="44"/>
        </w:rPr>
        <w:t>日</w:t>
      </w:r>
    </w:p>
    <w:p>
      <w:pPr>
        <w:jc w:val="center"/>
        <w:rPr>
          <w:rFonts w:ascii="黑体" w:eastAsia="黑体"/>
          <w:bCs/>
          <w:sz w:val="44"/>
        </w:rPr>
      </w:pPr>
    </w:p>
    <w:p>
      <w:pPr>
        <w:rPr>
          <w:rFonts w:ascii="华文新魏" w:eastAsia="华文新魏"/>
          <w:bCs/>
          <w:sz w:val="44"/>
        </w:rPr>
      </w:pPr>
    </w:p>
    <w:p>
      <w:pPr>
        <w:jc w:val="center"/>
        <w:rPr>
          <w:rFonts w:eastAsia="黑体"/>
          <w:bCs/>
          <w:sz w:val="48"/>
        </w:rPr>
      </w:pPr>
    </w:p>
    <w:p>
      <w:pPr>
        <w:jc w:val="center"/>
        <w:rPr>
          <w:rFonts w:eastAsia="黑体"/>
          <w:bCs/>
          <w:sz w:val="48"/>
        </w:rPr>
      </w:pPr>
    </w:p>
    <w:p>
      <w:pPr>
        <w:jc w:val="center"/>
        <w:rPr>
          <w:rFonts w:eastAsia="黑体"/>
          <w:bCs/>
          <w:sz w:val="48"/>
        </w:rPr>
      </w:pPr>
    </w:p>
    <w:p>
      <w:pPr>
        <w:jc w:val="center"/>
        <w:rPr>
          <w:rFonts w:eastAsia="黑体"/>
          <w:bCs/>
          <w:sz w:val="48"/>
        </w:rPr>
      </w:pPr>
    </w:p>
    <w:p>
      <w:pPr>
        <w:jc w:val="center"/>
        <w:rPr>
          <w:rFonts w:eastAsia="黑体"/>
          <w:bCs/>
          <w:sz w:val="48"/>
        </w:rPr>
      </w:pPr>
      <w:r>
        <w:rPr>
          <w:rFonts w:hint="eastAsia" w:eastAsia="黑体"/>
          <w:bCs/>
          <w:sz w:val="48"/>
        </w:rPr>
        <w:t>目     录</w:t>
      </w:r>
    </w:p>
    <w:p>
      <w:pPr>
        <w:jc w:val="center"/>
        <w:rPr>
          <w:rFonts w:ascii="黑体" w:eastAsia="黑体"/>
          <w:bCs/>
          <w:sz w:val="30"/>
        </w:rPr>
      </w:pPr>
    </w:p>
    <w:p>
      <w:pPr>
        <w:jc w:val="center"/>
        <w:rPr>
          <w:rFonts w:ascii="黑体" w:eastAsia="黑体"/>
          <w:bCs/>
          <w:sz w:val="30"/>
        </w:rPr>
      </w:pPr>
    </w:p>
    <w:p>
      <w:pPr>
        <w:spacing w:line="720" w:lineRule="auto"/>
        <w:ind w:firstLine="450" w:firstLineChars="150"/>
        <w:rPr>
          <w:rFonts w:ascii="宋体" w:hAnsi="宋体"/>
          <w:bCs/>
          <w:sz w:val="30"/>
          <w:szCs w:val="30"/>
        </w:rPr>
      </w:pPr>
      <w:r>
        <w:rPr>
          <w:rFonts w:hint="eastAsia" w:ascii="宋体" w:hAnsi="宋体"/>
          <w:bCs/>
          <w:sz w:val="30"/>
          <w:szCs w:val="30"/>
        </w:rPr>
        <w:t>一．投标</w:t>
      </w:r>
      <w:bookmarkStart w:id="0" w:name="_Hlt529243434"/>
      <w:bookmarkEnd w:id="0"/>
      <w:r>
        <w:rPr>
          <w:rFonts w:hint="eastAsia" w:ascii="宋体" w:hAnsi="宋体"/>
          <w:bCs/>
          <w:sz w:val="30"/>
          <w:szCs w:val="30"/>
        </w:rPr>
        <w:t>邀请函------------------------------------------（2）</w:t>
      </w:r>
    </w:p>
    <w:p>
      <w:pPr>
        <w:spacing w:line="720" w:lineRule="auto"/>
        <w:ind w:firstLine="450" w:firstLineChars="150"/>
        <w:rPr>
          <w:rFonts w:ascii="宋体" w:hAnsi="宋体"/>
          <w:bCs/>
          <w:sz w:val="30"/>
          <w:szCs w:val="30"/>
        </w:rPr>
      </w:pPr>
      <w:r>
        <w:rPr>
          <w:rFonts w:hint="eastAsia" w:ascii="宋体" w:hAnsi="宋体"/>
          <w:bCs/>
          <w:sz w:val="30"/>
          <w:szCs w:val="30"/>
        </w:rPr>
        <w:t>二．投</w:t>
      </w:r>
      <w:bookmarkStart w:id="1" w:name="_Hlt49673248"/>
      <w:r>
        <w:rPr>
          <w:rFonts w:hint="eastAsia" w:ascii="宋体" w:hAnsi="宋体"/>
          <w:bCs/>
          <w:sz w:val="30"/>
          <w:szCs w:val="30"/>
        </w:rPr>
        <w:t>标</w:t>
      </w:r>
      <w:bookmarkEnd w:id="1"/>
      <w:bookmarkStart w:id="2" w:name="_Hlt49764513"/>
      <w:bookmarkStart w:id="3" w:name="_Hlt49764523"/>
      <w:r>
        <w:rPr>
          <w:rFonts w:hint="eastAsia" w:ascii="宋体" w:hAnsi="宋体"/>
          <w:bCs/>
          <w:sz w:val="30"/>
          <w:szCs w:val="30"/>
        </w:rPr>
        <w:t>人</w:t>
      </w:r>
      <w:bookmarkEnd w:id="2"/>
      <w:bookmarkEnd w:id="3"/>
      <w:r>
        <w:rPr>
          <w:rFonts w:hint="eastAsia" w:ascii="宋体" w:hAnsi="宋体"/>
          <w:bCs/>
          <w:sz w:val="30"/>
          <w:szCs w:val="30"/>
        </w:rPr>
        <w:t>须知------------------------------------------（4）</w:t>
      </w:r>
    </w:p>
    <w:p>
      <w:pPr>
        <w:spacing w:line="720" w:lineRule="auto"/>
        <w:ind w:firstLine="450" w:firstLineChars="150"/>
        <w:rPr>
          <w:rFonts w:ascii="宋体" w:hAnsi="宋体"/>
          <w:bCs/>
          <w:sz w:val="30"/>
          <w:szCs w:val="30"/>
        </w:rPr>
      </w:pPr>
      <w:bookmarkStart w:id="4" w:name="_Hlt49764623"/>
      <w:r>
        <w:rPr>
          <w:rFonts w:hint="eastAsia" w:ascii="宋体" w:hAnsi="宋体"/>
          <w:bCs/>
          <w:sz w:val="30"/>
          <w:szCs w:val="30"/>
        </w:rPr>
        <w:t>三．项目要求和</w:t>
      </w:r>
      <w:bookmarkEnd w:id="4"/>
      <w:r>
        <w:rPr>
          <w:rFonts w:hint="eastAsia" w:ascii="宋体" w:hAnsi="宋体"/>
          <w:bCs/>
          <w:sz w:val="30"/>
          <w:szCs w:val="30"/>
        </w:rPr>
        <w:t>有</w:t>
      </w:r>
      <w:bookmarkStart w:id="5" w:name="_Hlt15786849"/>
      <w:bookmarkStart w:id="6" w:name="_Hlt15786850"/>
      <w:r>
        <w:rPr>
          <w:rFonts w:hint="eastAsia" w:ascii="宋体" w:hAnsi="宋体"/>
          <w:bCs/>
          <w:sz w:val="30"/>
          <w:szCs w:val="30"/>
        </w:rPr>
        <w:t>关</w:t>
      </w:r>
      <w:bookmarkEnd w:id="5"/>
      <w:bookmarkEnd w:id="6"/>
      <w:r>
        <w:rPr>
          <w:rFonts w:hint="eastAsia" w:ascii="宋体" w:hAnsi="宋体"/>
          <w:bCs/>
          <w:sz w:val="30"/>
          <w:szCs w:val="30"/>
        </w:rPr>
        <w:t>说</w:t>
      </w:r>
      <w:bookmarkStart w:id="7" w:name="_Hlt529244298"/>
      <w:r>
        <w:rPr>
          <w:rFonts w:hint="eastAsia" w:ascii="宋体" w:hAnsi="宋体"/>
          <w:bCs/>
          <w:sz w:val="30"/>
          <w:szCs w:val="30"/>
        </w:rPr>
        <w:t>明</w:t>
      </w:r>
      <w:bookmarkEnd w:id="7"/>
      <w:r>
        <w:rPr>
          <w:rFonts w:hint="eastAsia" w:ascii="宋体" w:hAnsi="宋体"/>
          <w:bCs/>
          <w:sz w:val="30"/>
          <w:szCs w:val="30"/>
        </w:rPr>
        <w:t>----------------------------------（12）</w:t>
      </w:r>
    </w:p>
    <w:p>
      <w:pPr>
        <w:spacing w:line="720" w:lineRule="auto"/>
        <w:ind w:firstLine="450" w:firstLineChars="150"/>
        <w:rPr>
          <w:rFonts w:ascii="宋体" w:hAnsi="宋体"/>
          <w:bCs/>
          <w:sz w:val="30"/>
          <w:szCs w:val="30"/>
        </w:rPr>
      </w:pPr>
      <w:r>
        <w:rPr>
          <w:rFonts w:hint="eastAsia" w:ascii="宋体" w:hAnsi="宋体"/>
          <w:bCs/>
          <w:sz w:val="30"/>
          <w:szCs w:val="30"/>
        </w:rPr>
        <w:t>四. 合同书（格式文本）----------------------------------（</w:t>
      </w:r>
      <w:r>
        <w:rPr>
          <w:rFonts w:hint="eastAsia" w:ascii="宋体" w:hAnsi="宋体"/>
          <w:bCs/>
          <w:sz w:val="30"/>
          <w:szCs w:val="30"/>
          <w:lang w:val="en-US" w:eastAsia="zh-CN"/>
        </w:rPr>
        <w:t>46</w:t>
      </w:r>
      <w:r>
        <w:rPr>
          <w:rFonts w:hint="eastAsia" w:ascii="宋体" w:hAnsi="宋体"/>
          <w:bCs/>
          <w:sz w:val="30"/>
          <w:szCs w:val="30"/>
        </w:rPr>
        <w:t>）</w:t>
      </w:r>
    </w:p>
    <w:p>
      <w:pPr>
        <w:spacing w:line="720" w:lineRule="auto"/>
        <w:ind w:firstLine="450" w:firstLineChars="150"/>
        <w:rPr>
          <w:rFonts w:ascii="宋体" w:hAnsi="宋体"/>
          <w:bCs/>
          <w:sz w:val="30"/>
          <w:szCs w:val="30"/>
        </w:rPr>
      </w:pPr>
      <w:r>
        <w:rPr>
          <w:rFonts w:hint="eastAsia" w:ascii="宋体" w:hAnsi="宋体"/>
          <w:bCs/>
          <w:sz w:val="30"/>
          <w:szCs w:val="30"/>
        </w:rPr>
        <w:t>五．合</w:t>
      </w:r>
      <w:bookmarkStart w:id="8" w:name="_Hlt29808642"/>
      <w:bookmarkStart w:id="9" w:name="_Hlt15786867"/>
      <w:r>
        <w:rPr>
          <w:rFonts w:hint="eastAsia" w:ascii="宋体" w:hAnsi="宋体"/>
          <w:bCs/>
          <w:sz w:val="30"/>
          <w:szCs w:val="30"/>
        </w:rPr>
        <w:t>同</w:t>
      </w:r>
      <w:bookmarkEnd w:id="8"/>
      <w:bookmarkEnd w:id="9"/>
      <w:bookmarkStart w:id="10" w:name="_Hlt42398776"/>
      <w:bookmarkStart w:id="11" w:name="_Hlt42398777"/>
      <w:r>
        <w:rPr>
          <w:rFonts w:hint="eastAsia" w:ascii="宋体" w:hAnsi="宋体"/>
          <w:bCs/>
          <w:sz w:val="30"/>
          <w:szCs w:val="30"/>
        </w:rPr>
        <w:t>条</w:t>
      </w:r>
      <w:bookmarkEnd w:id="10"/>
      <w:bookmarkEnd w:id="11"/>
      <w:r>
        <w:rPr>
          <w:rFonts w:hint="eastAsia" w:ascii="宋体" w:hAnsi="宋体"/>
          <w:bCs/>
          <w:sz w:val="30"/>
          <w:szCs w:val="30"/>
        </w:rPr>
        <w:t>款（格式）------------------------------------（</w:t>
      </w:r>
      <w:r>
        <w:rPr>
          <w:rFonts w:hint="eastAsia" w:ascii="宋体" w:hAnsi="宋体"/>
          <w:bCs/>
          <w:sz w:val="30"/>
          <w:szCs w:val="30"/>
          <w:lang w:val="en-US" w:eastAsia="zh-CN"/>
        </w:rPr>
        <w:t>48</w:t>
      </w:r>
      <w:r>
        <w:rPr>
          <w:rFonts w:hint="eastAsia" w:ascii="宋体" w:hAnsi="宋体"/>
          <w:bCs/>
          <w:sz w:val="30"/>
          <w:szCs w:val="30"/>
        </w:rPr>
        <w:t>）</w:t>
      </w:r>
    </w:p>
    <w:p>
      <w:pPr>
        <w:spacing w:line="720" w:lineRule="auto"/>
        <w:ind w:firstLine="450" w:firstLineChars="150"/>
        <w:rPr>
          <w:rFonts w:ascii="宋体" w:hAnsi="宋体"/>
          <w:bCs/>
          <w:sz w:val="30"/>
          <w:szCs w:val="30"/>
        </w:rPr>
      </w:pPr>
      <w:r>
        <w:rPr>
          <w:rFonts w:hint="eastAsia" w:ascii="宋体" w:hAnsi="宋体"/>
          <w:bCs/>
          <w:sz w:val="30"/>
          <w:szCs w:val="30"/>
        </w:rPr>
        <w:t>六. 附件（投标文件格式）--------------------------------（</w:t>
      </w:r>
      <w:r>
        <w:rPr>
          <w:rFonts w:hint="eastAsia" w:ascii="宋体" w:hAnsi="宋体"/>
          <w:bCs/>
          <w:sz w:val="30"/>
          <w:szCs w:val="30"/>
          <w:lang w:val="en-US" w:eastAsia="zh-CN"/>
        </w:rPr>
        <w:t>51</w:t>
      </w:r>
      <w:r>
        <w:rPr>
          <w:rFonts w:hint="eastAsia" w:ascii="宋体" w:hAnsi="宋体"/>
          <w:bCs/>
          <w:sz w:val="30"/>
          <w:szCs w:val="30"/>
        </w:rPr>
        <w:t>）</w:t>
      </w:r>
    </w:p>
    <w:p>
      <w:pPr>
        <w:spacing w:line="720" w:lineRule="auto"/>
        <w:rPr>
          <w:rFonts w:ascii="宋体" w:hAnsi="宋体"/>
          <w:bCs/>
          <w:sz w:val="30"/>
        </w:rPr>
      </w:pPr>
    </w:p>
    <w:p>
      <w:pPr>
        <w:spacing w:line="480" w:lineRule="auto"/>
        <w:rPr>
          <w:rFonts w:ascii="宋体" w:hAnsi="宋体"/>
          <w:bCs/>
          <w:sz w:val="30"/>
        </w:rPr>
      </w:pPr>
    </w:p>
    <w:p>
      <w:pPr>
        <w:rPr>
          <w:rFonts w:ascii="宋体" w:hAnsi="宋体"/>
          <w:bCs/>
          <w:sz w:val="28"/>
        </w:rPr>
      </w:pPr>
    </w:p>
    <w:p>
      <w:pPr>
        <w:rPr>
          <w:rFonts w:ascii="宋体" w:hAnsi="宋体"/>
          <w:bCs/>
          <w:sz w:val="28"/>
        </w:rPr>
      </w:pPr>
    </w:p>
    <w:p>
      <w:pPr>
        <w:rPr>
          <w:rFonts w:ascii="宋体" w:hAnsi="宋体"/>
          <w:bCs/>
          <w:sz w:val="28"/>
        </w:rPr>
      </w:pPr>
    </w:p>
    <w:p>
      <w:pPr>
        <w:rPr>
          <w:rFonts w:ascii="宋体" w:hAnsi="宋体"/>
          <w:bCs/>
          <w:sz w:val="32"/>
        </w:rPr>
      </w:pPr>
    </w:p>
    <w:p>
      <w:pPr>
        <w:pStyle w:val="2"/>
      </w:pPr>
    </w:p>
    <w:p>
      <w:pPr>
        <w:jc w:val="center"/>
        <w:rPr>
          <w:rFonts w:ascii="黑体" w:eastAsia="黑体"/>
          <w:bCs/>
          <w:sz w:val="28"/>
          <w:szCs w:val="28"/>
        </w:rPr>
      </w:pPr>
      <w:bookmarkStart w:id="12" w:name="报价方须知前附表"/>
      <w:bookmarkEnd w:id="12"/>
      <w:r>
        <w:rPr>
          <w:rFonts w:hint="eastAsia" w:ascii="黑体" w:eastAsia="黑体"/>
          <w:bCs/>
          <w:sz w:val="28"/>
          <w:szCs w:val="28"/>
        </w:rPr>
        <w:t>一．投标邀请函</w:t>
      </w:r>
    </w:p>
    <w:p>
      <w:pPr>
        <w:spacing w:line="360" w:lineRule="auto"/>
        <w:ind w:firstLine="480" w:firstLineChars="200"/>
        <w:rPr>
          <w:rFonts w:ascii="宋体" w:hAnsi="宋体"/>
          <w:bCs/>
          <w:sz w:val="24"/>
          <w:szCs w:val="24"/>
        </w:rPr>
      </w:pPr>
      <w:r>
        <w:rPr>
          <w:rFonts w:hint="eastAsia" w:ascii="宋体" w:hAnsi="宋体"/>
          <w:bCs/>
          <w:sz w:val="24"/>
          <w:szCs w:val="24"/>
        </w:rPr>
        <w:t>我中心受</w:t>
      </w:r>
      <w:r>
        <w:rPr>
          <w:rFonts w:hint="eastAsia" w:ascii="宋体" w:hAnsi="宋体"/>
          <w:bCs/>
          <w:sz w:val="24"/>
          <w:szCs w:val="24"/>
          <w:lang w:eastAsia="zh-CN"/>
        </w:rPr>
        <w:t>无锡市康复医院（无锡市残疾人康复中心）</w:t>
      </w:r>
      <w:r>
        <w:rPr>
          <w:rFonts w:hint="eastAsia" w:ascii="宋体" w:hAnsi="宋体"/>
          <w:bCs/>
          <w:sz w:val="24"/>
          <w:szCs w:val="24"/>
        </w:rPr>
        <w:t>的委托，对</w:t>
      </w:r>
      <w:r>
        <w:rPr>
          <w:rFonts w:hint="eastAsia" w:ascii="宋体" w:hAnsi="宋体"/>
          <w:bCs/>
          <w:sz w:val="24"/>
          <w:szCs w:val="24"/>
          <w:lang w:eastAsia="zh-CN"/>
        </w:rPr>
        <w:t>无锡市康复医院（梁溪区中医医院）信息化建设一体化项目</w:t>
      </w:r>
      <w:r>
        <w:rPr>
          <w:rFonts w:hint="eastAsia" w:ascii="宋体" w:hAnsi="宋体"/>
          <w:bCs/>
          <w:sz w:val="24"/>
          <w:szCs w:val="24"/>
        </w:rPr>
        <w:t>进行公开招标采购，欢迎符合相关条件的供应商参加投标并提请注意下列相关事项：</w:t>
      </w:r>
    </w:p>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（一）</w:t>
      </w:r>
      <w:r>
        <w:rPr>
          <w:rFonts w:hint="eastAsia" w:ascii="黑体" w:hAnsi="黑体" w:eastAsia="黑体" w:cs="宋体"/>
          <w:kern w:val="0"/>
          <w:sz w:val="24"/>
          <w:szCs w:val="24"/>
        </w:rPr>
        <w:t>招标项目信息</w:t>
      </w:r>
    </w:p>
    <w:p>
      <w:pPr>
        <w:widowControl/>
        <w:shd w:val="clear" w:color="auto" w:fill="FFFFFF"/>
        <w:spacing w:line="360" w:lineRule="auto"/>
        <w:ind w:firstLine="480" w:firstLineChars="200"/>
        <w:jc w:val="left"/>
        <w:rPr>
          <w:rFonts w:hint="eastAsia" w:ascii="宋体" w:hAnsi="宋体" w:eastAsia="宋体" w:cs="宋体"/>
          <w:kern w:val="0"/>
          <w:sz w:val="24"/>
          <w:szCs w:val="24"/>
          <w:lang w:eastAsia="zh-CN"/>
        </w:rPr>
      </w:pPr>
      <w:r>
        <w:rPr>
          <w:rFonts w:hint="eastAsia" w:ascii="宋体" w:hAnsi="宋体" w:cs="宋体"/>
          <w:kern w:val="0"/>
          <w:sz w:val="24"/>
          <w:szCs w:val="24"/>
        </w:rPr>
        <w:t>1.项目名称：</w:t>
      </w:r>
      <w:r>
        <w:rPr>
          <w:rFonts w:hint="eastAsia" w:ascii="宋体" w:hAnsi="宋体"/>
          <w:bCs/>
          <w:sz w:val="24"/>
          <w:szCs w:val="24"/>
          <w:lang w:eastAsia="zh-CN"/>
        </w:rPr>
        <w:t>无锡市康复医院（梁溪区中医医院）信息化建设一体化项目</w:t>
      </w:r>
    </w:p>
    <w:p>
      <w:pPr>
        <w:widowControl/>
        <w:shd w:val="clear" w:color="auto" w:fill="FFFFFF"/>
        <w:spacing w:line="360" w:lineRule="auto"/>
        <w:ind w:firstLine="480" w:firstLineChars="200"/>
        <w:jc w:val="left"/>
        <w:rPr>
          <w:rFonts w:hint="eastAsia" w:ascii="宋体" w:hAnsi="宋体" w:eastAsia="宋体"/>
          <w:bCs/>
          <w:sz w:val="24"/>
          <w:szCs w:val="24"/>
          <w:lang w:eastAsia="zh-CN"/>
        </w:rPr>
      </w:pPr>
      <w:r>
        <w:rPr>
          <w:rFonts w:hint="eastAsia" w:ascii="宋体" w:hAnsi="宋体" w:cs="宋体"/>
          <w:kern w:val="0"/>
          <w:sz w:val="24"/>
          <w:szCs w:val="24"/>
        </w:rPr>
        <w:t>2.项目编号：</w:t>
      </w:r>
      <w:r>
        <w:rPr>
          <w:rFonts w:hint="eastAsia" w:ascii="宋体" w:hAnsi="宋体"/>
          <w:bCs/>
          <w:sz w:val="24"/>
          <w:szCs w:val="24"/>
          <w:lang w:eastAsia="zh-CN"/>
        </w:rPr>
        <w:t>LXZC2021-054</w:t>
      </w:r>
    </w:p>
    <w:p>
      <w:pPr>
        <w:widowControl/>
        <w:shd w:val="clear" w:color="auto" w:fill="FFFFFF"/>
        <w:spacing w:line="360" w:lineRule="auto"/>
        <w:ind w:firstLine="480" w:firstLineChars="200"/>
        <w:jc w:val="left"/>
        <w:rPr>
          <w:rFonts w:ascii="宋体" w:hAnsi="宋体"/>
          <w:bCs/>
          <w:sz w:val="24"/>
          <w:szCs w:val="24"/>
        </w:rPr>
      </w:pPr>
      <w:r>
        <w:rPr>
          <w:rFonts w:hint="eastAsia" w:ascii="宋体" w:hAnsi="宋体"/>
          <w:bCs/>
          <w:sz w:val="24"/>
          <w:szCs w:val="24"/>
        </w:rPr>
        <w:t>3.项目投标报价最高限价：</w:t>
      </w:r>
      <w:r>
        <w:rPr>
          <w:rFonts w:hint="eastAsia" w:ascii="宋体" w:hAnsi="宋体"/>
          <w:bCs/>
          <w:sz w:val="24"/>
          <w:szCs w:val="24"/>
          <w:lang w:val="en-US" w:eastAsia="zh-CN"/>
        </w:rPr>
        <w:t>4000</w:t>
      </w:r>
      <w:r>
        <w:rPr>
          <w:rFonts w:hint="eastAsia" w:ascii="宋体" w:hAnsi="宋体"/>
          <w:bCs/>
          <w:sz w:val="24"/>
          <w:szCs w:val="24"/>
        </w:rPr>
        <w:t>万元</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4.采购方式：公开招标</w:t>
      </w:r>
    </w:p>
    <w:p>
      <w:pPr>
        <w:widowControl/>
        <w:shd w:val="clear" w:color="auto" w:fill="FFFFFF"/>
        <w:spacing w:line="360" w:lineRule="auto"/>
        <w:ind w:firstLine="480" w:firstLineChars="200"/>
        <w:jc w:val="left"/>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rPr>
        <w:t>5.采购人</w:t>
      </w:r>
      <w:r>
        <w:rPr>
          <w:rFonts w:hint="eastAsia" w:ascii="宋体" w:hAnsi="宋体"/>
          <w:bCs/>
          <w:sz w:val="24"/>
          <w:szCs w:val="24"/>
          <w:highlight w:val="none"/>
        </w:rPr>
        <w:t>：</w:t>
      </w:r>
      <w:r>
        <w:rPr>
          <w:rFonts w:hint="eastAsia" w:ascii="宋体" w:hAnsi="宋体"/>
          <w:bCs/>
          <w:sz w:val="24"/>
          <w:szCs w:val="24"/>
          <w:highlight w:val="none"/>
          <w:lang w:eastAsia="zh-CN"/>
        </w:rPr>
        <w:t>无锡市康复医院（无锡市残疾人康复中心）</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6.本项目标的所属行业：</w:t>
      </w:r>
      <w:r>
        <w:rPr>
          <w:rFonts w:ascii="宋体" w:hAnsi="宋体"/>
          <w:bCs/>
          <w:sz w:val="24"/>
          <w:szCs w:val="24"/>
          <w:highlight w:val="none"/>
        </w:rPr>
        <w:t>软件和信息技术服务业</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7.本项目是否专门面向中小企业：否</w:t>
      </w:r>
      <w:r>
        <w:rPr>
          <w:rFonts w:ascii="宋体" w:hAnsi="宋体" w:cs="宋体"/>
          <w:kern w:val="0"/>
          <w:sz w:val="24"/>
          <w:szCs w:val="24"/>
        </w:rPr>
        <w:t xml:space="preserve"> </w:t>
      </w:r>
    </w:p>
    <w:p>
      <w:pPr>
        <w:widowControl/>
        <w:shd w:val="clear" w:color="auto" w:fill="FFFFFF"/>
        <w:spacing w:line="360" w:lineRule="auto"/>
        <w:ind w:firstLine="480" w:firstLineChars="200"/>
        <w:jc w:val="left"/>
        <w:rPr>
          <w:rFonts w:ascii="黑体" w:hAnsi="黑体" w:eastAsia="黑体" w:cs="宋体"/>
          <w:kern w:val="0"/>
          <w:sz w:val="24"/>
          <w:szCs w:val="24"/>
        </w:rPr>
      </w:pPr>
      <w:r>
        <w:rPr>
          <w:rFonts w:hint="eastAsia" w:ascii="黑体" w:hAnsi="黑体" w:eastAsia="黑体" w:cs="宋体"/>
          <w:kern w:val="0"/>
          <w:sz w:val="24"/>
          <w:szCs w:val="24"/>
        </w:rPr>
        <w:t>（二）投标人资格要求</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sz w:val="24"/>
          <w:szCs w:val="24"/>
        </w:rPr>
        <w:t>1.具备《中华人民共和国政府采购法》第二十二条第一款规定的条件；</w:t>
      </w:r>
    </w:p>
    <w:p>
      <w:pPr>
        <w:widowControl/>
        <w:shd w:val="clear" w:color="auto" w:fill="FFFFFF"/>
        <w:spacing w:line="360" w:lineRule="auto"/>
        <w:ind w:firstLine="480" w:firstLineChars="200"/>
        <w:jc w:val="left"/>
        <w:rPr>
          <w:rFonts w:ascii="宋体" w:hAnsi="宋体"/>
          <w:sz w:val="24"/>
          <w:szCs w:val="24"/>
        </w:rPr>
      </w:pPr>
      <w:r>
        <w:rPr>
          <w:rFonts w:hint="eastAsia" w:ascii="宋体" w:hAnsi="宋体"/>
          <w:sz w:val="24"/>
          <w:szCs w:val="24"/>
        </w:rPr>
        <w:t>2.未被“信用中国”网站（</w:t>
      </w:r>
      <w:r>
        <w:fldChar w:fldCharType="begin"/>
      </w:r>
      <w:r>
        <w:instrText xml:space="preserve"> HYPERLINK "http://www.creditchina.gov.cn" </w:instrText>
      </w:r>
      <w:r>
        <w:fldChar w:fldCharType="separate"/>
      </w:r>
      <w:r>
        <w:rPr>
          <w:rFonts w:hint="eastAsia" w:ascii="宋体" w:hAnsi="宋体"/>
          <w:sz w:val="24"/>
          <w:szCs w:val="24"/>
        </w:rPr>
        <w:t>www.creditchina.gov.cn</w:t>
      </w:r>
      <w:r>
        <w:rPr>
          <w:rFonts w:hint="eastAsia" w:ascii="宋体" w:hAnsi="宋体"/>
          <w:sz w:val="24"/>
          <w:szCs w:val="24"/>
        </w:rPr>
        <w:fldChar w:fldCharType="end"/>
      </w:r>
      <w:r>
        <w:rPr>
          <w:rFonts w:hint="eastAsia" w:ascii="宋体" w:hAnsi="宋体"/>
          <w:sz w:val="24"/>
          <w:szCs w:val="24"/>
        </w:rPr>
        <w:t>）、中国政府采购网(www.ccgp.gov.cn)列入失信被执行人、重大税收违法案件当事人名单、政府采购严重违法失信行为记录名单；</w:t>
      </w:r>
    </w:p>
    <w:p>
      <w:pPr>
        <w:widowControl/>
        <w:shd w:val="clear" w:color="auto" w:fill="FFFFFF"/>
        <w:spacing w:line="360" w:lineRule="auto"/>
        <w:ind w:firstLine="480" w:firstLineChars="200"/>
        <w:jc w:val="left"/>
        <w:rPr>
          <w:rFonts w:ascii="宋体" w:hAnsi="宋体"/>
          <w:bCs/>
          <w:sz w:val="24"/>
          <w:szCs w:val="24"/>
        </w:rPr>
      </w:pPr>
      <w:r>
        <w:rPr>
          <w:rFonts w:hint="eastAsia" w:ascii="宋体" w:hAnsi="宋体"/>
          <w:bCs/>
          <w:sz w:val="24"/>
          <w:szCs w:val="24"/>
        </w:rPr>
        <w:t>3.</w:t>
      </w:r>
      <w:r>
        <w:rPr>
          <w:rFonts w:hint="eastAsia" w:ascii="宋体" w:hAnsi="宋体"/>
          <w:sz w:val="24"/>
          <w:szCs w:val="24"/>
        </w:rPr>
        <w:t>具备</w:t>
      </w:r>
      <w:r>
        <w:rPr>
          <w:rFonts w:hint="eastAsia" w:ascii="宋体" w:hAnsi="宋体" w:cs="宋体"/>
          <w:kern w:val="0"/>
          <w:sz w:val="24"/>
          <w:szCs w:val="24"/>
        </w:rPr>
        <w:t>采购人根据招标项目的特殊要求规定的</w:t>
      </w:r>
      <w:r>
        <w:rPr>
          <w:rFonts w:hint="eastAsia" w:ascii="宋体" w:hAnsi="宋体"/>
          <w:sz w:val="24"/>
          <w:szCs w:val="24"/>
        </w:rPr>
        <w:t>以下</w:t>
      </w:r>
      <w:r>
        <w:rPr>
          <w:rFonts w:hint="eastAsia" w:ascii="宋体" w:hAnsi="宋体" w:cs="宋体"/>
          <w:kern w:val="0"/>
          <w:sz w:val="24"/>
          <w:szCs w:val="24"/>
        </w:rPr>
        <w:t>特定条件：</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（1）不接受联合体投标。</w:t>
      </w:r>
    </w:p>
    <w:p>
      <w:pPr>
        <w:widowControl/>
        <w:shd w:val="clear" w:color="auto" w:fill="FFFFFF"/>
        <w:spacing w:line="360" w:lineRule="auto"/>
        <w:ind w:firstLine="480" w:firstLineChars="200"/>
        <w:jc w:val="left"/>
        <w:rPr>
          <w:rFonts w:ascii="黑体" w:hAnsi="黑体" w:eastAsia="黑体" w:cs="宋体"/>
          <w:kern w:val="0"/>
          <w:sz w:val="24"/>
          <w:szCs w:val="24"/>
        </w:rPr>
      </w:pPr>
      <w:r>
        <w:rPr>
          <w:rFonts w:hint="eastAsia" w:ascii="黑体" w:hAnsi="黑体" w:eastAsia="黑体" w:cs="宋体"/>
          <w:kern w:val="0"/>
          <w:sz w:val="24"/>
          <w:szCs w:val="24"/>
        </w:rPr>
        <w:t>（三）投标（报价）确认函</w:t>
      </w:r>
    </w:p>
    <w:p>
      <w:pPr>
        <w:spacing w:line="360" w:lineRule="auto"/>
        <w:ind w:firstLine="600" w:firstLineChars="250"/>
        <w:jc w:val="left"/>
        <w:rPr>
          <w:rFonts w:ascii="宋体" w:hAnsi="宋体"/>
          <w:bCs/>
          <w:sz w:val="24"/>
          <w:szCs w:val="24"/>
        </w:rPr>
      </w:pPr>
      <w:r>
        <w:rPr>
          <w:rFonts w:hint="eastAsia" w:ascii="宋体" w:hAnsi="宋体"/>
          <w:bCs/>
          <w:sz w:val="24"/>
          <w:szCs w:val="24"/>
        </w:rPr>
        <w:t>请有意参加本项目投标的供应商如实填写《供应商参加投标（报价）确认函》（见附件），投标前以邮件形式发送至无锡市公共资源交易中心梁溪分中心政府采购科工作邮箱：wxlxzc@126.com ，并于开标当日提交原件。如投标人未按上述要求操作，未提供《投标（报价）确认函》的投标文件，恕不接受，由此所产生的损失及风险由投标人自行承担。</w:t>
      </w:r>
    </w:p>
    <w:p>
      <w:pPr>
        <w:spacing w:line="360" w:lineRule="auto"/>
        <w:ind w:left="-58" w:leftChars="-28" w:firstLine="480" w:firstLineChars="200"/>
        <w:rPr>
          <w:rFonts w:ascii="黑体" w:hAnsi="黑体" w:eastAsia="黑体" w:cs="宋体"/>
          <w:kern w:val="0"/>
          <w:sz w:val="24"/>
          <w:szCs w:val="24"/>
        </w:rPr>
      </w:pPr>
      <w:r>
        <w:rPr>
          <w:rFonts w:hint="eastAsia" w:ascii="黑体" w:hAnsi="黑体" w:eastAsia="黑体" w:cs="宋体"/>
          <w:kern w:val="0"/>
          <w:sz w:val="24"/>
          <w:szCs w:val="24"/>
        </w:rPr>
        <w:t>（四）公开答疑时间、地点</w:t>
      </w:r>
    </w:p>
    <w:p>
      <w:pPr>
        <w:spacing w:line="360" w:lineRule="auto"/>
        <w:ind w:left="-58" w:leftChars="-28" w:firstLine="480" w:firstLineChars="200"/>
        <w:rPr>
          <w:rFonts w:ascii="黑体" w:hAnsi="黑体" w:eastAsia="黑体" w:cs="宋体"/>
          <w:kern w:val="0"/>
          <w:sz w:val="24"/>
          <w:szCs w:val="24"/>
        </w:rPr>
      </w:pPr>
      <w:r>
        <w:rPr>
          <w:rFonts w:hint="eastAsia" w:ascii="宋体" w:hAnsi="宋体"/>
          <w:bCs/>
          <w:sz w:val="24"/>
          <w:szCs w:val="24"/>
        </w:rPr>
        <w:t>采购人、无锡市公共资源交易中心梁溪分中心将于以下时间、地点对投标人针对招标文件书面提出的要求澄清的问题进行公开答疑。投标人如有需要对招标文件要求澄清的问题，请以书面形式提出“</w:t>
      </w:r>
      <w:r>
        <w:rPr>
          <w:rFonts w:hint="eastAsia" w:ascii="宋体" w:hAnsi="宋体"/>
          <w:bCs/>
          <w:sz w:val="24"/>
          <w:szCs w:val="24"/>
          <w:lang w:eastAsia="zh-CN"/>
        </w:rPr>
        <w:t>LXZC2021-054</w:t>
      </w:r>
      <w:r>
        <w:rPr>
          <w:rFonts w:hint="eastAsia" w:ascii="宋体" w:hAnsi="宋体"/>
          <w:bCs/>
          <w:sz w:val="24"/>
          <w:szCs w:val="24"/>
        </w:rPr>
        <w:t>项目需澄清问题”，并于答疑会前传真项目联系人（答疑会时递交盖章原件）。</w:t>
      </w:r>
    </w:p>
    <w:p>
      <w:pPr>
        <w:spacing w:line="360" w:lineRule="auto"/>
        <w:ind w:firstLine="480" w:firstLineChars="200"/>
        <w:rPr>
          <w:rFonts w:hint="default" w:ascii="宋体" w:eastAsia="宋体"/>
          <w:bCs/>
          <w:color w:val="FF0000"/>
          <w:sz w:val="24"/>
          <w:szCs w:val="24"/>
          <w:lang w:val="en-US" w:eastAsia="zh-CN"/>
        </w:rPr>
      </w:pPr>
      <w:r>
        <w:rPr>
          <w:rFonts w:hint="eastAsia" w:ascii="宋体" w:hAnsi="宋体"/>
          <w:bCs/>
          <w:sz w:val="24"/>
          <w:szCs w:val="24"/>
        </w:rPr>
        <w:t>公开答疑会时间:</w:t>
      </w:r>
      <w:r>
        <w:rPr>
          <w:rFonts w:ascii="宋体" w:hAnsi="宋体"/>
          <w:bCs/>
          <w:color w:val="auto"/>
          <w:sz w:val="24"/>
          <w:szCs w:val="24"/>
        </w:rPr>
        <w:t>20</w:t>
      </w:r>
      <w:r>
        <w:rPr>
          <w:rFonts w:hint="eastAsia" w:ascii="宋体" w:hAnsi="宋体"/>
          <w:bCs/>
          <w:color w:val="auto"/>
          <w:sz w:val="24"/>
          <w:szCs w:val="24"/>
        </w:rPr>
        <w:t>2</w:t>
      </w:r>
      <w:r>
        <w:rPr>
          <w:rFonts w:hint="eastAsia" w:ascii="宋体" w:hAnsi="宋体"/>
          <w:bCs/>
          <w:color w:val="auto"/>
          <w:sz w:val="24"/>
          <w:szCs w:val="24"/>
          <w:lang w:val="en-US" w:eastAsia="zh-CN"/>
        </w:rPr>
        <w:t>2</w:t>
      </w:r>
      <w:r>
        <w:rPr>
          <w:rFonts w:hint="eastAsia" w:ascii="宋体" w:hAnsi="宋体"/>
          <w:bCs/>
          <w:color w:val="auto"/>
          <w:sz w:val="24"/>
          <w:szCs w:val="24"/>
        </w:rPr>
        <w:t>年</w:t>
      </w:r>
      <w:r>
        <w:rPr>
          <w:rFonts w:hint="eastAsia" w:ascii="宋体" w:hAnsi="宋体"/>
          <w:bCs/>
          <w:color w:val="auto"/>
          <w:sz w:val="24"/>
          <w:szCs w:val="24"/>
          <w:lang w:val="en-US" w:eastAsia="zh-CN"/>
        </w:rPr>
        <w:t>2</w:t>
      </w:r>
      <w:r>
        <w:rPr>
          <w:rFonts w:hint="eastAsia" w:ascii="宋体" w:hAnsi="宋体"/>
          <w:bCs/>
          <w:color w:val="auto"/>
          <w:sz w:val="24"/>
          <w:szCs w:val="24"/>
        </w:rPr>
        <w:t>月</w:t>
      </w:r>
      <w:r>
        <w:rPr>
          <w:rFonts w:hint="eastAsia" w:ascii="宋体" w:hAnsi="宋体"/>
          <w:bCs/>
          <w:color w:val="auto"/>
          <w:sz w:val="24"/>
          <w:szCs w:val="24"/>
          <w:lang w:val="en-US" w:eastAsia="zh-CN"/>
        </w:rPr>
        <w:t>14</w:t>
      </w:r>
      <w:r>
        <w:rPr>
          <w:rFonts w:hint="eastAsia" w:ascii="宋体" w:hAnsi="宋体"/>
          <w:bCs/>
          <w:color w:val="auto"/>
          <w:sz w:val="24"/>
          <w:szCs w:val="24"/>
        </w:rPr>
        <w:t>日</w:t>
      </w:r>
      <w:r>
        <w:rPr>
          <w:rFonts w:hint="eastAsia" w:ascii="宋体" w:hAnsi="宋体"/>
          <w:bCs/>
          <w:color w:val="auto"/>
          <w:sz w:val="24"/>
          <w:szCs w:val="24"/>
          <w:lang w:val="en-US" w:eastAsia="zh-CN"/>
        </w:rPr>
        <w:t>13:30</w:t>
      </w:r>
    </w:p>
    <w:p>
      <w:pPr>
        <w:widowControl/>
        <w:shd w:val="clear" w:color="auto" w:fill="FFFFFF"/>
        <w:spacing w:line="360" w:lineRule="auto"/>
        <w:ind w:firstLine="480" w:firstLineChars="200"/>
        <w:jc w:val="left"/>
        <w:rPr>
          <w:rFonts w:ascii="黑体" w:hAnsi="黑体" w:eastAsia="黑体" w:cs="宋体"/>
          <w:kern w:val="0"/>
          <w:sz w:val="24"/>
          <w:szCs w:val="24"/>
        </w:rPr>
      </w:pPr>
      <w:r>
        <w:rPr>
          <w:rFonts w:hint="eastAsia" w:ascii="宋体" w:hAnsi="宋体"/>
          <w:bCs/>
          <w:sz w:val="24"/>
          <w:szCs w:val="24"/>
        </w:rPr>
        <w:t>公开答疑会地点:</w:t>
      </w:r>
      <w:r>
        <w:rPr>
          <w:rFonts w:hint="eastAsia" w:ascii="宋体" w:hAnsi="宋体" w:cs="宋体"/>
          <w:kern w:val="0"/>
          <w:sz w:val="24"/>
          <w:szCs w:val="24"/>
        </w:rPr>
        <w:t xml:space="preserve"> 无锡市公共资源交易中心梁溪分中心开标一室</w:t>
      </w:r>
      <w:r>
        <w:rPr>
          <w:rFonts w:hint="eastAsia" w:ascii="宋体" w:hAnsi="宋体"/>
          <w:bCs/>
          <w:sz w:val="24"/>
          <w:szCs w:val="24"/>
        </w:rPr>
        <w:t>（</w:t>
      </w:r>
      <w:r>
        <w:rPr>
          <w:rFonts w:hint="eastAsia" w:ascii="宋体" w:hAnsi="宋体" w:cs="宋体"/>
          <w:kern w:val="0"/>
          <w:sz w:val="24"/>
          <w:szCs w:val="24"/>
        </w:rPr>
        <w:t>清名路</w:t>
      </w:r>
      <w:r>
        <w:rPr>
          <w:rFonts w:ascii="宋体" w:hAnsi="宋体" w:cs="宋体"/>
          <w:kern w:val="0"/>
          <w:sz w:val="24"/>
          <w:szCs w:val="24"/>
        </w:rPr>
        <w:t>380</w:t>
      </w:r>
      <w:r>
        <w:rPr>
          <w:rFonts w:hint="eastAsia" w:ascii="宋体" w:hAnsi="宋体" w:cs="宋体"/>
          <w:kern w:val="0"/>
          <w:sz w:val="24"/>
          <w:szCs w:val="24"/>
        </w:rPr>
        <w:t>号</w:t>
      </w:r>
      <w:r>
        <w:rPr>
          <w:rFonts w:ascii="宋体" w:hAnsi="宋体" w:cs="宋体"/>
          <w:kern w:val="0"/>
          <w:sz w:val="24"/>
          <w:szCs w:val="24"/>
        </w:rPr>
        <w:t>6</w:t>
      </w:r>
      <w:r>
        <w:rPr>
          <w:rFonts w:hint="eastAsia" w:ascii="宋体" w:hAnsi="宋体" w:cs="宋体"/>
          <w:kern w:val="0"/>
          <w:sz w:val="24"/>
          <w:szCs w:val="24"/>
        </w:rPr>
        <w:t>楼</w:t>
      </w:r>
      <w:r>
        <w:rPr>
          <w:rFonts w:hint="eastAsia" w:ascii="宋体" w:hAnsi="宋体"/>
          <w:bCs/>
          <w:sz w:val="24"/>
          <w:szCs w:val="24"/>
        </w:rPr>
        <w:t>）</w:t>
      </w:r>
    </w:p>
    <w:p>
      <w:pPr>
        <w:widowControl/>
        <w:shd w:val="clear" w:color="auto" w:fill="FFFFFF"/>
        <w:spacing w:line="360" w:lineRule="auto"/>
        <w:ind w:firstLine="480" w:firstLineChars="200"/>
        <w:jc w:val="left"/>
        <w:rPr>
          <w:rFonts w:ascii="黑体" w:hAnsi="黑体" w:eastAsia="黑体" w:cs="宋体"/>
          <w:kern w:val="0"/>
          <w:sz w:val="24"/>
          <w:szCs w:val="24"/>
        </w:rPr>
      </w:pPr>
      <w:r>
        <w:rPr>
          <w:rFonts w:hint="eastAsia" w:ascii="黑体" w:hAnsi="黑体" w:eastAsia="黑体" w:cs="宋体"/>
          <w:kern w:val="0"/>
          <w:sz w:val="24"/>
          <w:szCs w:val="24"/>
        </w:rPr>
        <w:t>（五）投标及开标、定标时间、地点</w:t>
      </w:r>
      <w:r>
        <w:rPr>
          <w:rFonts w:hint="eastAsia" w:ascii="宋体" w:hAnsi="宋体" w:eastAsia="黑体" w:cs="宋体"/>
          <w:kern w:val="0"/>
          <w:sz w:val="24"/>
          <w:szCs w:val="24"/>
        </w:rPr>
        <w:t>   </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投标开始时间:202</w:t>
      </w:r>
      <w:r>
        <w:rPr>
          <w:rFonts w:hint="eastAsia" w:ascii="宋体" w:hAnsi="宋体" w:cs="宋体"/>
          <w:kern w:val="0"/>
          <w:sz w:val="24"/>
          <w:szCs w:val="24"/>
          <w:lang w:val="en-US" w:eastAsia="zh-CN"/>
        </w:rPr>
        <w:t>2</w:t>
      </w:r>
      <w:r>
        <w:rPr>
          <w:rFonts w:hint="eastAsia" w:ascii="宋体" w:hAnsi="宋体" w:cs="宋体"/>
          <w:kern w:val="0"/>
          <w:sz w:val="24"/>
          <w:szCs w:val="24"/>
        </w:rPr>
        <w:t>年</w:t>
      </w:r>
      <w:r>
        <w:rPr>
          <w:rFonts w:hint="eastAsia" w:ascii="宋体" w:hAnsi="宋体" w:cs="宋体"/>
          <w:kern w:val="0"/>
          <w:sz w:val="24"/>
          <w:szCs w:val="24"/>
          <w:lang w:val="en-US" w:eastAsia="zh-CN"/>
        </w:rPr>
        <w:t>3</w:t>
      </w:r>
      <w:r>
        <w:rPr>
          <w:rFonts w:hint="eastAsia" w:ascii="宋体" w:hAnsi="宋体" w:cs="宋体"/>
          <w:kern w:val="0"/>
          <w:sz w:val="24"/>
          <w:szCs w:val="24"/>
        </w:rPr>
        <w:t>月</w:t>
      </w:r>
      <w:r>
        <w:rPr>
          <w:rFonts w:hint="eastAsia" w:ascii="宋体" w:hAnsi="宋体" w:cs="宋体"/>
          <w:kern w:val="0"/>
          <w:sz w:val="24"/>
          <w:szCs w:val="24"/>
          <w:lang w:val="en-US" w:eastAsia="zh-CN"/>
        </w:rPr>
        <w:t>3</w:t>
      </w:r>
      <w:r>
        <w:rPr>
          <w:rFonts w:hint="eastAsia" w:ascii="宋体" w:hAnsi="宋体" w:cs="宋体"/>
          <w:kern w:val="0"/>
          <w:sz w:val="24"/>
          <w:szCs w:val="24"/>
        </w:rPr>
        <w:t>日13:30           </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投标截止时间及开标时间:202</w:t>
      </w:r>
      <w:r>
        <w:rPr>
          <w:rFonts w:hint="eastAsia" w:ascii="宋体" w:hAnsi="宋体" w:cs="宋体"/>
          <w:kern w:val="0"/>
          <w:sz w:val="24"/>
          <w:szCs w:val="24"/>
          <w:lang w:val="en-US" w:eastAsia="zh-CN"/>
        </w:rPr>
        <w:t>2</w:t>
      </w:r>
      <w:r>
        <w:rPr>
          <w:rFonts w:hint="eastAsia" w:ascii="宋体" w:hAnsi="宋体" w:cs="宋体"/>
          <w:kern w:val="0"/>
          <w:sz w:val="24"/>
          <w:szCs w:val="24"/>
        </w:rPr>
        <w:t>年</w:t>
      </w:r>
      <w:r>
        <w:rPr>
          <w:rFonts w:hint="eastAsia" w:ascii="宋体" w:hAnsi="宋体" w:cs="宋体"/>
          <w:kern w:val="0"/>
          <w:sz w:val="24"/>
          <w:szCs w:val="24"/>
          <w:lang w:val="en-US" w:eastAsia="zh-CN"/>
        </w:rPr>
        <w:t>3</w:t>
      </w:r>
      <w:r>
        <w:rPr>
          <w:rFonts w:hint="eastAsia" w:ascii="宋体" w:hAnsi="宋体" w:cs="宋体"/>
          <w:kern w:val="0"/>
          <w:sz w:val="24"/>
          <w:szCs w:val="24"/>
        </w:rPr>
        <w:t>月</w:t>
      </w:r>
      <w:r>
        <w:rPr>
          <w:rFonts w:hint="eastAsia" w:ascii="宋体" w:hAnsi="宋体" w:cs="宋体"/>
          <w:kern w:val="0"/>
          <w:sz w:val="24"/>
          <w:szCs w:val="24"/>
          <w:lang w:val="en-US" w:eastAsia="zh-CN"/>
        </w:rPr>
        <w:t>3</w:t>
      </w:r>
      <w:r>
        <w:rPr>
          <w:rFonts w:hint="eastAsia" w:ascii="宋体" w:hAnsi="宋体" w:cs="宋体"/>
          <w:kern w:val="0"/>
          <w:sz w:val="24"/>
          <w:szCs w:val="24"/>
        </w:rPr>
        <w:t>日14:00，投标</w:t>
      </w:r>
      <w:r>
        <w:rPr>
          <w:rFonts w:hint="eastAsia" w:ascii="宋体" w:hAnsi="宋体"/>
          <w:sz w:val="24"/>
          <w:szCs w:val="24"/>
        </w:rPr>
        <w:t>截止时间后的投标文件恕不接受</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投标及开标地点: 无锡市公共资源交易中心梁溪分中心开标一室</w:t>
      </w:r>
      <w:r>
        <w:rPr>
          <w:rFonts w:hint="eastAsia" w:ascii="宋体" w:hAnsi="宋体"/>
          <w:bCs/>
          <w:sz w:val="24"/>
          <w:szCs w:val="24"/>
        </w:rPr>
        <w:t>（</w:t>
      </w:r>
      <w:r>
        <w:rPr>
          <w:rFonts w:hint="eastAsia" w:ascii="宋体" w:hAnsi="宋体" w:cs="宋体"/>
          <w:kern w:val="0"/>
          <w:sz w:val="24"/>
          <w:szCs w:val="24"/>
        </w:rPr>
        <w:t>清名路</w:t>
      </w:r>
      <w:r>
        <w:rPr>
          <w:rFonts w:ascii="宋体" w:hAnsi="宋体" w:cs="宋体"/>
          <w:kern w:val="0"/>
          <w:sz w:val="24"/>
          <w:szCs w:val="24"/>
        </w:rPr>
        <w:t>380</w:t>
      </w:r>
      <w:r>
        <w:rPr>
          <w:rFonts w:hint="eastAsia" w:ascii="宋体" w:hAnsi="宋体" w:cs="宋体"/>
          <w:kern w:val="0"/>
          <w:sz w:val="24"/>
          <w:szCs w:val="24"/>
        </w:rPr>
        <w:t>号</w:t>
      </w:r>
      <w:r>
        <w:rPr>
          <w:rFonts w:ascii="宋体" w:hAnsi="宋体" w:cs="宋体"/>
          <w:kern w:val="0"/>
          <w:sz w:val="24"/>
          <w:szCs w:val="24"/>
        </w:rPr>
        <w:t>6</w:t>
      </w:r>
      <w:r>
        <w:rPr>
          <w:rFonts w:hint="eastAsia" w:ascii="宋体" w:hAnsi="宋体" w:cs="宋体"/>
          <w:kern w:val="0"/>
          <w:sz w:val="24"/>
          <w:szCs w:val="24"/>
        </w:rPr>
        <w:t>楼</w:t>
      </w:r>
      <w:r>
        <w:rPr>
          <w:rFonts w:hint="eastAsia" w:ascii="宋体" w:hAnsi="宋体"/>
          <w:bCs/>
          <w:sz w:val="24"/>
          <w:szCs w:val="24"/>
        </w:rPr>
        <w:t>）</w:t>
      </w:r>
    </w:p>
    <w:p>
      <w:pPr>
        <w:spacing w:line="360" w:lineRule="auto"/>
        <w:ind w:firstLine="480" w:firstLineChars="200"/>
        <w:rPr>
          <w:rFonts w:ascii="宋体"/>
          <w:bCs/>
          <w:sz w:val="24"/>
          <w:szCs w:val="24"/>
        </w:rPr>
      </w:pPr>
      <w:r>
        <w:rPr>
          <w:rFonts w:hint="eastAsia" w:ascii="宋体" w:hAnsi="宋体"/>
          <w:bCs/>
          <w:sz w:val="24"/>
          <w:szCs w:val="24"/>
        </w:rPr>
        <w:t>定标时间：评标结束</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bCs/>
          <w:sz w:val="24"/>
          <w:szCs w:val="24"/>
        </w:rPr>
        <w:t>定标地点：无锡市公共资源交易中心梁溪分中心</w:t>
      </w:r>
    </w:p>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（六）投标文件份数：</w:t>
      </w:r>
    </w:p>
    <w:p>
      <w:pPr>
        <w:spacing w:line="360" w:lineRule="auto"/>
        <w:ind w:firstLine="480" w:firstLineChars="200"/>
        <w:rPr>
          <w:rFonts w:ascii="宋体" w:hAnsi="宋体"/>
          <w:bCs/>
          <w:sz w:val="24"/>
          <w:szCs w:val="24"/>
        </w:rPr>
      </w:pPr>
      <w:r>
        <w:rPr>
          <w:rFonts w:hint="eastAsia" w:ascii="宋体" w:hAnsi="宋体"/>
          <w:bCs/>
          <w:sz w:val="24"/>
          <w:szCs w:val="24"/>
        </w:rPr>
        <w:t>商务标投标文件一式叁份，正本壹份、副本贰份；</w:t>
      </w:r>
    </w:p>
    <w:p>
      <w:pPr>
        <w:spacing w:line="360" w:lineRule="auto"/>
        <w:ind w:firstLine="480" w:firstLineChars="200"/>
        <w:rPr>
          <w:rFonts w:ascii="黑体" w:hAnsi="黑体" w:eastAsia="黑体"/>
          <w:bCs/>
          <w:sz w:val="24"/>
          <w:szCs w:val="24"/>
        </w:rPr>
      </w:pPr>
      <w:r>
        <w:rPr>
          <w:rFonts w:hint="eastAsia" w:ascii="宋体" w:hAnsi="宋体"/>
          <w:bCs/>
          <w:sz w:val="24"/>
          <w:szCs w:val="24"/>
        </w:rPr>
        <w:t>技术标投标文件一式伍份。</w:t>
      </w:r>
    </w:p>
    <w:p>
      <w:pPr>
        <w:spacing w:line="360" w:lineRule="auto"/>
        <w:ind w:firstLine="480" w:firstLineChars="200"/>
        <w:rPr>
          <w:rFonts w:ascii="宋体"/>
          <w:bCs/>
          <w:sz w:val="24"/>
          <w:szCs w:val="24"/>
        </w:rPr>
      </w:pPr>
      <w:r>
        <w:rPr>
          <w:rFonts w:hint="eastAsia" w:ascii="黑体" w:hAnsi="黑体" w:eastAsia="黑体"/>
          <w:bCs/>
          <w:sz w:val="24"/>
          <w:szCs w:val="24"/>
        </w:rPr>
        <w:t>（七）投标有效期：</w:t>
      </w:r>
      <w:r>
        <w:rPr>
          <w:rFonts w:hint="eastAsia" w:ascii="宋体" w:hAnsi="宋体"/>
          <w:bCs/>
          <w:sz w:val="24"/>
          <w:szCs w:val="24"/>
        </w:rPr>
        <w:t>开标之日起</w:t>
      </w:r>
      <w:r>
        <w:rPr>
          <w:rFonts w:ascii="宋体" w:hAnsi="宋体"/>
          <w:bCs/>
          <w:sz w:val="24"/>
          <w:szCs w:val="24"/>
        </w:rPr>
        <w:t>90</w:t>
      </w:r>
      <w:r>
        <w:rPr>
          <w:rFonts w:hint="eastAsia" w:ascii="宋体" w:hAnsi="宋体"/>
          <w:bCs/>
          <w:sz w:val="24"/>
          <w:szCs w:val="24"/>
        </w:rPr>
        <w:t>天</w:t>
      </w:r>
    </w:p>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（八）其它</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集中采购机构：无锡市公共资源交易中心梁溪分中心       </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地址：无锡市梁溪区</w:t>
      </w:r>
      <w:bookmarkStart w:id="13" w:name="_Hlk11659573"/>
      <w:r>
        <w:rPr>
          <w:rFonts w:hint="eastAsia" w:ascii="宋体" w:hAnsi="宋体" w:cs="宋体"/>
          <w:kern w:val="0"/>
          <w:sz w:val="24"/>
          <w:szCs w:val="24"/>
        </w:rPr>
        <w:t>清名路</w:t>
      </w:r>
      <w:r>
        <w:rPr>
          <w:rFonts w:ascii="宋体" w:hAnsi="宋体" w:cs="宋体"/>
          <w:kern w:val="0"/>
          <w:sz w:val="24"/>
          <w:szCs w:val="24"/>
        </w:rPr>
        <w:t>380</w:t>
      </w:r>
      <w:r>
        <w:rPr>
          <w:rFonts w:hint="eastAsia" w:ascii="宋体" w:hAnsi="宋体" w:cs="宋体"/>
          <w:kern w:val="0"/>
          <w:sz w:val="24"/>
          <w:szCs w:val="24"/>
        </w:rPr>
        <w:t>号</w:t>
      </w:r>
      <w:r>
        <w:rPr>
          <w:rFonts w:ascii="宋体" w:hAnsi="宋体" w:cs="宋体"/>
          <w:kern w:val="0"/>
          <w:sz w:val="24"/>
          <w:szCs w:val="24"/>
        </w:rPr>
        <w:t>6</w:t>
      </w:r>
      <w:r>
        <w:rPr>
          <w:rFonts w:hint="eastAsia" w:ascii="宋体" w:hAnsi="宋体" w:cs="宋体"/>
          <w:kern w:val="0"/>
          <w:sz w:val="24"/>
          <w:szCs w:val="24"/>
        </w:rPr>
        <w:t>楼</w:t>
      </w:r>
      <w:bookmarkEnd w:id="13"/>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项目联系人：王湉湉、</w:t>
      </w:r>
      <w:r>
        <w:rPr>
          <w:rFonts w:hint="eastAsia" w:ascii="宋体" w:hAnsi="宋体" w:cs="宋体"/>
          <w:kern w:val="0"/>
          <w:sz w:val="24"/>
          <w:szCs w:val="24"/>
          <w:lang w:val="en-US" w:eastAsia="zh-CN"/>
        </w:rPr>
        <w:t>刘智</w:t>
      </w:r>
      <w:r>
        <w:rPr>
          <w:rFonts w:hint="eastAsia" w:ascii="宋体" w:hAnsi="宋体" w:cs="宋体"/>
          <w:kern w:val="0"/>
          <w:sz w:val="24"/>
          <w:szCs w:val="24"/>
        </w:rPr>
        <w:t>；电话：0510-85058802；传真：0510-83158170</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综合部：电话0510-83158182  </w:t>
      </w: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rPr>
          <w:rFonts w:ascii="黑体" w:eastAsia="黑体"/>
          <w:bCs/>
          <w:sz w:val="28"/>
          <w:szCs w:val="28"/>
        </w:rPr>
      </w:pPr>
    </w:p>
    <w:p>
      <w:pPr>
        <w:spacing w:line="360" w:lineRule="auto"/>
        <w:rPr>
          <w:rFonts w:ascii="黑体" w:eastAsia="黑体"/>
          <w:bCs/>
          <w:sz w:val="28"/>
          <w:szCs w:val="28"/>
        </w:rPr>
      </w:pPr>
    </w:p>
    <w:p>
      <w:pPr>
        <w:spacing w:line="360" w:lineRule="auto"/>
        <w:rPr>
          <w:rFonts w:ascii="黑体" w:eastAsia="黑体"/>
          <w:bCs/>
          <w:sz w:val="28"/>
          <w:szCs w:val="28"/>
        </w:rPr>
      </w:pPr>
    </w:p>
    <w:p>
      <w:pPr>
        <w:spacing w:line="360" w:lineRule="auto"/>
        <w:rPr>
          <w:rFonts w:ascii="黑体" w:eastAsia="黑体"/>
          <w:bCs/>
          <w:sz w:val="28"/>
          <w:szCs w:val="28"/>
        </w:rPr>
      </w:pPr>
    </w:p>
    <w:p>
      <w:pPr>
        <w:spacing w:line="360" w:lineRule="auto"/>
        <w:jc w:val="center"/>
        <w:rPr>
          <w:rFonts w:ascii="黑体" w:eastAsia="黑体"/>
          <w:bCs/>
          <w:sz w:val="28"/>
          <w:szCs w:val="28"/>
        </w:rPr>
      </w:pPr>
      <w:r>
        <w:rPr>
          <w:rFonts w:hint="eastAsia" w:ascii="黑体" w:eastAsia="黑体"/>
          <w:bCs/>
          <w:sz w:val="28"/>
          <w:szCs w:val="28"/>
        </w:rPr>
        <w:t>二．投标人须知</w:t>
      </w:r>
    </w:p>
    <w:p>
      <w:pPr>
        <w:spacing w:line="360" w:lineRule="auto"/>
        <w:ind w:firstLine="480" w:firstLineChars="200"/>
        <w:rPr>
          <w:rFonts w:ascii="黑体" w:hAnsi="宋体" w:eastAsia="黑体"/>
          <w:bCs/>
          <w:sz w:val="24"/>
          <w:szCs w:val="24"/>
        </w:rPr>
      </w:pPr>
      <w:r>
        <w:rPr>
          <w:rFonts w:hint="eastAsia" w:ascii="黑体" w:hAnsi="宋体" w:eastAsia="黑体"/>
          <w:bCs/>
          <w:sz w:val="24"/>
          <w:szCs w:val="24"/>
        </w:rPr>
        <w:t>（一） 遵循原则：</w:t>
      </w:r>
    </w:p>
    <w:p>
      <w:pPr>
        <w:spacing w:line="360" w:lineRule="auto"/>
        <w:ind w:firstLine="480" w:firstLineChars="200"/>
        <w:rPr>
          <w:rFonts w:ascii="黑体" w:hAnsi="宋体" w:eastAsia="黑体"/>
          <w:bCs/>
          <w:sz w:val="24"/>
          <w:szCs w:val="24"/>
        </w:rPr>
      </w:pPr>
      <w:r>
        <w:rPr>
          <w:rFonts w:hint="eastAsia" w:ascii="宋体" w:hAnsi="宋体"/>
          <w:bCs/>
          <w:sz w:val="24"/>
          <w:szCs w:val="24"/>
        </w:rPr>
        <w:t>公开透明原则、公平竞争原则、公正原则和诚实信用原则。</w:t>
      </w:r>
    </w:p>
    <w:p>
      <w:pPr>
        <w:numPr>
          <w:ilvl w:val="0"/>
          <w:numId w:val="2"/>
        </w:numPr>
        <w:spacing w:line="360" w:lineRule="auto"/>
        <w:rPr>
          <w:rFonts w:ascii="黑体" w:hAnsi="宋体" w:eastAsia="黑体"/>
          <w:bCs/>
          <w:sz w:val="24"/>
          <w:szCs w:val="24"/>
        </w:rPr>
      </w:pPr>
      <w:r>
        <w:rPr>
          <w:rFonts w:hint="eastAsia" w:ascii="黑体" w:hAnsi="宋体" w:eastAsia="黑体"/>
          <w:bCs/>
          <w:sz w:val="24"/>
          <w:szCs w:val="24"/>
        </w:rPr>
        <w:t xml:space="preserve"> 招标文件：</w:t>
      </w:r>
    </w:p>
    <w:p>
      <w:pPr>
        <w:numPr>
          <w:ilvl w:val="0"/>
          <w:numId w:val="3"/>
        </w:numPr>
        <w:tabs>
          <w:tab w:val="left" w:pos="-1260"/>
          <w:tab w:val="left" w:pos="525"/>
          <w:tab w:val="left" w:pos="945"/>
          <w:tab w:val="clear" w:pos="552"/>
        </w:tabs>
        <w:spacing w:line="360" w:lineRule="auto"/>
        <w:ind w:left="0" w:firstLine="523" w:firstLineChars="218"/>
        <w:rPr>
          <w:rFonts w:ascii="宋体" w:hAnsi="宋体"/>
          <w:bCs/>
          <w:sz w:val="24"/>
          <w:szCs w:val="24"/>
        </w:rPr>
      </w:pPr>
      <w:r>
        <w:rPr>
          <w:rFonts w:hint="eastAsia" w:ascii="宋体" w:hAnsi="宋体"/>
          <w:bCs/>
          <w:sz w:val="24"/>
          <w:szCs w:val="24"/>
        </w:rPr>
        <w:t>招标文件包括本文件目录所列全部内容，投标人应仔细阅读，并在投标文件中充分响应招标文件的所有要求。</w:t>
      </w:r>
    </w:p>
    <w:p>
      <w:pPr>
        <w:numPr>
          <w:ilvl w:val="0"/>
          <w:numId w:val="3"/>
        </w:numPr>
        <w:tabs>
          <w:tab w:val="left" w:pos="0"/>
          <w:tab w:val="left" w:pos="525"/>
          <w:tab w:val="left" w:pos="945"/>
          <w:tab w:val="clear" w:pos="552"/>
        </w:tabs>
        <w:spacing w:line="360" w:lineRule="auto"/>
        <w:ind w:left="0" w:firstLine="523" w:firstLineChars="218"/>
        <w:rPr>
          <w:rFonts w:ascii="宋体" w:hAnsi="宋体"/>
          <w:bCs/>
          <w:sz w:val="24"/>
          <w:szCs w:val="24"/>
        </w:rPr>
      </w:pPr>
      <w:r>
        <w:rPr>
          <w:rFonts w:hint="eastAsia" w:ascii="宋体" w:hAnsi="宋体"/>
          <w:bCs/>
          <w:sz w:val="24"/>
          <w:szCs w:val="24"/>
        </w:rPr>
        <w:t>采购文件中的“法定代表人”是指</w:t>
      </w:r>
      <w:r>
        <w:rPr>
          <w:rFonts w:hint="eastAsia" w:ascii="宋体" w:hAnsi="宋体"/>
          <w:bCs/>
          <w:sz w:val="24"/>
          <w:szCs w:val="24"/>
          <w:lang w:val="en-US" w:eastAsia="zh-CN"/>
        </w:rPr>
        <w:t>投标</w:t>
      </w:r>
      <w:r>
        <w:rPr>
          <w:rFonts w:hint="eastAsia" w:ascii="宋体" w:hAnsi="宋体"/>
          <w:bCs/>
          <w:sz w:val="24"/>
          <w:szCs w:val="24"/>
        </w:rPr>
        <w:t>人的营业执照的“法定代表人”或相关部门的登记证明文件中的“负责人”。</w:t>
      </w:r>
    </w:p>
    <w:p>
      <w:pPr>
        <w:numPr>
          <w:ilvl w:val="0"/>
          <w:numId w:val="3"/>
        </w:numPr>
        <w:tabs>
          <w:tab w:val="left" w:pos="0"/>
          <w:tab w:val="left" w:pos="525"/>
          <w:tab w:val="left" w:pos="945"/>
          <w:tab w:val="clear" w:pos="552"/>
        </w:tabs>
        <w:spacing w:line="360" w:lineRule="auto"/>
        <w:ind w:left="0" w:firstLine="523" w:firstLineChars="218"/>
        <w:rPr>
          <w:rFonts w:ascii="宋体" w:hAnsi="宋体"/>
          <w:bCs/>
          <w:sz w:val="24"/>
          <w:szCs w:val="24"/>
        </w:rPr>
      </w:pPr>
      <w:r>
        <w:rPr>
          <w:rFonts w:hint="eastAsia" w:ascii="宋体" w:hAnsi="宋体"/>
          <w:bCs/>
          <w:sz w:val="24"/>
          <w:szCs w:val="24"/>
        </w:rPr>
        <w:t>投标人应在无锡市公共资源交易中心（</w:t>
      </w:r>
      <w:r>
        <w:rPr>
          <w:rFonts w:hint="eastAsia"/>
        </w:rPr>
        <w:t>http://ggzyjy.wuxi.gov.cn/</w:t>
      </w:r>
      <w:r>
        <w:rPr>
          <w:rFonts w:hint="eastAsia" w:ascii="宋体" w:hAnsi="宋体"/>
          <w:bCs/>
          <w:szCs w:val="21"/>
        </w:rPr>
        <w:t>，</w:t>
      </w:r>
      <w:r>
        <w:rPr>
          <w:rFonts w:hint="eastAsia" w:ascii="宋体" w:hAnsi="宋体"/>
          <w:bCs/>
          <w:sz w:val="24"/>
          <w:szCs w:val="24"/>
        </w:rPr>
        <w:t>下同）政府采购专栏下载招标文件及有关资料，按招标文件要求提交全部资料并对招标文件各项内容做出实质性响应，否则投标无效。</w:t>
      </w:r>
    </w:p>
    <w:p>
      <w:pPr>
        <w:numPr>
          <w:ilvl w:val="0"/>
          <w:numId w:val="3"/>
        </w:numPr>
        <w:tabs>
          <w:tab w:val="left" w:pos="0"/>
          <w:tab w:val="left" w:pos="525"/>
          <w:tab w:val="left" w:pos="945"/>
          <w:tab w:val="clear" w:pos="552"/>
        </w:tabs>
        <w:spacing w:line="360" w:lineRule="auto"/>
        <w:ind w:left="0" w:firstLine="523" w:firstLineChars="218"/>
        <w:rPr>
          <w:rFonts w:ascii="宋体" w:hAnsi="宋体"/>
          <w:bCs/>
          <w:sz w:val="24"/>
          <w:szCs w:val="24"/>
        </w:rPr>
      </w:pPr>
      <w:r>
        <w:rPr>
          <w:rFonts w:hint="eastAsia" w:ascii="宋体" w:hAnsi="宋体"/>
          <w:bCs/>
          <w:sz w:val="24"/>
          <w:szCs w:val="24"/>
        </w:rPr>
        <w:t>招标文件仅作为本次招投标使用。</w:t>
      </w:r>
    </w:p>
    <w:p>
      <w:pPr>
        <w:tabs>
          <w:tab w:val="left" w:pos="630"/>
        </w:tabs>
        <w:spacing w:line="360" w:lineRule="auto"/>
        <w:ind w:firstLine="480" w:firstLineChars="200"/>
        <w:rPr>
          <w:rFonts w:ascii="黑体" w:hAnsi="宋体" w:eastAsia="黑体"/>
          <w:bCs/>
          <w:sz w:val="24"/>
          <w:szCs w:val="24"/>
        </w:rPr>
      </w:pPr>
      <w:r>
        <w:rPr>
          <w:rFonts w:hint="eastAsia" w:ascii="黑体" w:hAnsi="宋体" w:eastAsia="黑体"/>
          <w:bCs/>
          <w:sz w:val="24"/>
          <w:szCs w:val="24"/>
        </w:rPr>
        <w:t>（三） 招标文件的解释：</w:t>
      </w:r>
    </w:p>
    <w:p>
      <w:pPr>
        <w:tabs>
          <w:tab w:val="left" w:pos="945"/>
        </w:tabs>
        <w:spacing w:line="360" w:lineRule="auto"/>
        <w:ind w:left="523"/>
        <w:rPr>
          <w:rFonts w:ascii="宋体" w:hAnsi="宋体"/>
          <w:bCs/>
          <w:sz w:val="24"/>
          <w:szCs w:val="24"/>
        </w:rPr>
      </w:pPr>
      <w:r>
        <w:rPr>
          <w:rFonts w:hint="eastAsia" w:ascii="宋体" w:hAnsi="宋体"/>
          <w:bCs/>
          <w:sz w:val="24"/>
          <w:szCs w:val="24"/>
        </w:rPr>
        <w:t>本文件的最终解释权归无锡市公共资源交易中心梁溪分中心。</w:t>
      </w:r>
    </w:p>
    <w:p>
      <w:pPr>
        <w:tabs>
          <w:tab w:val="left" w:pos="945"/>
        </w:tabs>
        <w:spacing w:line="360" w:lineRule="auto"/>
        <w:ind w:firstLine="523" w:firstLineChars="218"/>
        <w:rPr>
          <w:rFonts w:ascii="黑体" w:hAnsi="宋体" w:eastAsia="黑体"/>
          <w:bCs/>
          <w:sz w:val="24"/>
          <w:szCs w:val="24"/>
        </w:rPr>
      </w:pPr>
      <w:r>
        <w:rPr>
          <w:rFonts w:hint="eastAsia" w:ascii="黑体" w:hAnsi="宋体" w:eastAsia="黑体"/>
          <w:bCs/>
          <w:sz w:val="24"/>
          <w:szCs w:val="24"/>
        </w:rPr>
        <w:t xml:space="preserve">（四） 招标文件的补充或修正： </w:t>
      </w:r>
    </w:p>
    <w:p>
      <w:pPr>
        <w:numPr>
          <w:ilvl w:val="0"/>
          <w:numId w:val="4"/>
        </w:numPr>
        <w:tabs>
          <w:tab w:val="left" w:pos="525"/>
          <w:tab w:val="left" w:pos="945"/>
          <w:tab w:val="clear" w:pos="898"/>
        </w:tabs>
        <w:spacing w:line="360" w:lineRule="auto"/>
        <w:ind w:left="1" w:firstLine="523" w:firstLineChars="218"/>
        <w:rPr>
          <w:rFonts w:ascii="宋体" w:hAnsi="宋体"/>
          <w:bCs/>
          <w:sz w:val="24"/>
          <w:szCs w:val="24"/>
        </w:rPr>
      </w:pPr>
      <w:r>
        <w:rPr>
          <w:rFonts w:hint="eastAsia" w:ascii="宋体" w:hAnsi="宋体"/>
          <w:bCs/>
          <w:sz w:val="24"/>
          <w:szCs w:val="24"/>
        </w:rPr>
        <w:t>无锡市公共资源交易中心梁溪分中心可在投标截止时间十五日前对招标文件进行必要的澄清或者修改，不足15日的，将顺延提交投标文件的截止时间。</w:t>
      </w:r>
    </w:p>
    <w:p>
      <w:pPr>
        <w:numPr>
          <w:ilvl w:val="0"/>
          <w:numId w:val="4"/>
        </w:numPr>
        <w:tabs>
          <w:tab w:val="left" w:pos="525"/>
          <w:tab w:val="left" w:pos="945"/>
          <w:tab w:val="clear" w:pos="898"/>
        </w:tabs>
        <w:spacing w:line="360" w:lineRule="auto"/>
        <w:ind w:left="1" w:firstLine="523" w:firstLineChars="218"/>
        <w:rPr>
          <w:rFonts w:ascii="宋体" w:hAnsi="宋体"/>
          <w:bCs/>
          <w:sz w:val="24"/>
          <w:szCs w:val="24"/>
        </w:rPr>
      </w:pPr>
      <w:r>
        <w:rPr>
          <w:rFonts w:hint="eastAsia" w:ascii="宋体" w:hAnsi="宋体"/>
          <w:bCs/>
          <w:sz w:val="24"/>
          <w:szCs w:val="24"/>
        </w:rPr>
        <w:t>如需对招标文件进行澄清或修正，无锡市公共资源交易中心梁溪分中心将在无锡市公共资源交易中心政府采购专栏、无锡政府采购网、江苏政府采购网和中国政府采购网发布更正公告，该澄清或修正的内容为招标文件的组成部分。投标人应在投标截止时间前关注原招标公告媒体上发布的相关更正公告。因投标人未尽注意义务，未及时全面地关注更正公告导致其提交的投标材料不符合无锡市公共资源交易中心梁溪分中心要求，而造成的损失及风险（包括但不限于未中标）由投标人自行承担。</w:t>
      </w:r>
    </w:p>
    <w:p>
      <w:pPr>
        <w:spacing w:line="360" w:lineRule="auto"/>
        <w:ind w:firstLine="480" w:firstLineChars="200"/>
        <w:rPr>
          <w:rFonts w:ascii="黑体" w:hAnsi="宋体" w:eastAsia="黑体"/>
          <w:bCs/>
          <w:sz w:val="24"/>
          <w:szCs w:val="24"/>
        </w:rPr>
      </w:pPr>
      <w:r>
        <w:rPr>
          <w:rFonts w:hint="eastAsia" w:ascii="黑体" w:hAnsi="宋体" w:eastAsia="黑体"/>
          <w:bCs/>
          <w:sz w:val="24"/>
          <w:szCs w:val="24"/>
        </w:rPr>
        <w:t>（五） 投标文件的组成：</w:t>
      </w:r>
    </w:p>
    <w:p>
      <w:pPr>
        <w:spacing w:line="360" w:lineRule="auto"/>
        <w:ind w:firstLine="480" w:firstLineChars="200"/>
        <w:rPr>
          <w:rFonts w:ascii="宋体" w:hAnsi="宋体"/>
          <w:bCs/>
          <w:sz w:val="24"/>
          <w:szCs w:val="24"/>
        </w:rPr>
      </w:pPr>
      <w:r>
        <w:rPr>
          <w:rFonts w:hint="eastAsia" w:ascii="宋体" w:hAnsi="宋体"/>
          <w:bCs/>
          <w:sz w:val="24"/>
          <w:szCs w:val="24"/>
        </w:rPr>
        <w:t>第一部分 商务标</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投标函（</w:t>
      </w:r>
      <w:r>
        <w:rPr>
          <w:rFonts w:hint="eastAsia" w:ascii="宋体" w:hAnsi="宋体"/>
          <w:b/>
          <w:bCs/>
          <w:sz w:val="24"/>
          <w:szCs w:val="24"/>
        </w:rPr>
        <w:t>格式见附件）</w:t>
      </w:r>
    </w:p>
    <w:p>
      <w:pPr>
        <w:numPr>
          <w:ilvl w:val="0"/>
          <w:numId w:val="5"/>
        </w:numPr>
        <w:tabs>
          <w:tab w:val="left" w:pos="525"/>
          <w:tab w:val="left" w:pos="945"/>
          <w:tab w:val="clear" w:pos="630"/>
        </w:tabs>
        <w:spacing w:line="360" w:lineRule="auto"/>
        <w:ind w:left="0" w:firstLine="523" w:firstLineChars="218"/>
        <w:rPr>
          <w:rFonts w:ascii="宋体" w:hAnsi="宋体"/>
          <w:bCs/>
          <w:sz w:val="24"/>
          <w:szCs w:val="24"/>
        </w:rPr>
      </w:pPr>
      <w:r>
        <w:rPr>
          <w:rFonts w:hint="eastAsia" w:ascii="宋体" w:hAnsi="宋体"/>
          <w:bCs/>
          <w:sz w:val="24"/>
          <w:szCs w:val="24"/>
        </w:rPr>
        <w:t>资格、资信证明文件：</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关于资格的声明函（</w:t>
      </w:r>
      <w:r>
        <w:rPr>
          <w:rFonts w:hint="eastAsia" w:ascii="宋体" w:hAnsi="宋体"/>
          <w:b/>
          <w:bCs/>
          <w:sz w:val="24"/>
          <w:szCs w:val="24"/>
        </w:rPr>
        <w:t>格式见附件</w:t>
      </w:r>
      <w:r>
        <w:rPr>
          <w:rFonts w:hint="eastAsia" w:ascii="宋体" w:hAnsi="宋体"/>
          <w:bCs/>
          <w:sz w:val="24"/>
          <w:szCs w:val="24"/>
        </w:rPr>
        <w:t>）；</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具有独立承担民事责任能力的投标人营业执照或相关部门的登记证明文件复印件（投标人如是允许以分支机构身份参加投标的，提供投标人分支机构的营业执照复印件）；</w:t>
      </w:r>
      <w:r>
        <w:rPr>
          <w:rFonts w:ascii="宋体" w:hAnsi="宋体"/>
          <w:bCs/>
          <w:sz w:val="24"/>
          <w:szCs w:val="24"/>
        </w:rPr>
        <w:t xml:space="preserve"> </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投标人法定代表人授权委托书（</w:t>
      </w:r>
      <w:r>
        <w:rPr>
          <w:rFonts w:hint="eastAsia" w:ascii="宋体" w:hAnsi="宋体"/>
          <w:b/>
          <w:bCs/>
          <w:sz w:val="24"/>
          <w:szCs w:val="24"/>
        </w:rPr>
        <w:t>格式见附件，法定代表人亲自参加投标的除外</w:t>
      </w:r>
      <w:r>
        <w:rPr>
          <w:rFonts w:hint="eastAsia" w:ascii="宋体" w:hAnsi="宋体"/>
          <w:bCs/>
          <w:sz w:val="24"/>
          <w:szCs w:val="24"/>
        </w:rPr>
        <w:t>）（投标人如是允许以分支机构身份参加投标的，请自行</w:t>
      </w:r>
      <w:r>
        <w:rPr>
          <w:rFonts w:ascii="宋体" w:hAnsi="宋体"/>
          <w:bCs/>
          <w:sz w:val="24"/>
          <w:szCs w:val="24"/>
        </w:rPr>
        <w:t>将“</w:t>
      </w:r>
      <w:r>
        <w:rPr>
          <w:rFonts w:hint="eastAsia" w:ascii="宋体" w:hAnsi="宋体"/>
          <w:bCs/>
          <w:sz w:val="24"/>
          <w:szCs w:val="24"/>
        </w:rPr>
        <w:t>法定代表人</w:t>
      </w:r>
      <w:r>
        <w:rPr>
          <w:rFonts w:ascii="宋体" w:hAnsi="宋体"/>
          <w:bCs/>
          <w:sz w:val="24"/>
          <w:szCs w:val="24"/>
        </w:rPr>
        <w:t>”</w:t>
      </w:r>
      <w:r>
        <w:rPr>
          <w:rFonts w:hint="eastAsia" w:ascii="宋体" w:hAnsi="宋体"/>
          <w:bCs/>
          <w:sz w:val="24"/>
          <w:szCs w:val="24"/>
        </w:rPr>
        <w:t>更改为</w:t>
      </w:r>
      <w:r>
        <w:rPr>
          <w:rFonts w:ascii="宋体" w:hAnsi="宋体"/>
          <w:bCs/>
          <w:sz w:val="24"/>
          <w:szCs w:val="24"/>
        </w:rPr>
        <w:t>“</w:t>
      </w:r>
      <w:r>
        <w:rPr>
          <w:rFonts w:hint="eastAsia" w:ascii="宋体" w:hAnsi="宋体"/>
          <w:bCs/>
          <w:sz w:val="24"/>
          <w:szCs w:val="24"/>
        </w:rPr>
        <w:t>负责人</w:t>
      </w:r>
      <w:r>
        <w:rPr>
          <w:rFonts w:ascii="宋体" w:hAnsi="宋体"/>
          <w:bCs/>
          <w:sz w:val="24"/>
          <w:szCs w:val="24"/>
        </w:rPr>
        <w:t>”</w:t>
      </w:r>
      <w:r>
        <w:rPr>
          <w:rFonts w:hint="eastAsia" w:ascii="宋体" w:hAnsi="宋体"/>
          <w:bCs/>
          <w:sz w:val="24"/>
          <w:szCs w:val="24"/>
        </w:rPr>
        <w:t>，分支机构投标</w:t>
      </w:r>
      <w:r>
        <w:rPr>
          <w:rFonts w:ascii="宋体" w:hAnsi="宋体"/>
          <w:bCs/>
          <w:sz w:val="24"/>
          <w:szCs w:val="24"/>
        </w:rPr>
        <w:t>时</w:t>
      </w:r>
      <w:r>
        <w:rPr>
          <w:rFonts w:hint="eastAsia" w:ascii="宋体" w:hAnsi="宋体"/>
          <w:bCs/>
          <w:sz w:val="24"/>
          <w:szCs w:val="24"/>
        </w:rPr>
        <w:t>涉及到招标文件</w:t>
      </w:r>
      <w:r>
        <w:rPr>
          <w:rFonts w:ascii="宋体" w:hAnsi="宋体"/>
          <w:bCs/>
          <w:sz w:val="24"/>
          <w:szCs w:val="24"/>
        </w:rPr>
        <w:t>“</w:t>
      </w:r>
      <w:r>
        <w:rPr>
          <w:rFonts w:hint="eastAsia" w:ascii="宋体" w:hAnsi="宋体"/>
          <w:bCs/>
          <w:sz w:val="24"/>
          <w:szCs w:val="24"/>
        </w:rPr>
        <w:t>法定代表人</w:t>
      </w:r>
      <w:r>
        <w:rPr>
          <w:rFonts w:ascii="宋体" w:hAnsi="宋体"/>
          <w:bCs/>
          <w:sz w:val="24"/>
          <w:szCs w:val="24"/>
        </w:rPr>
        <w:t>”</w:t>
      </w:r>
      <w:r>
        <w:rPr>
          <w:rFonts w:hint="eastAsia" w:ascii="宋体" w:hAnsi="宋体"/>
          <w:bCs/>
          <w:sz w:val="24"/>
          <w:szCs w:val="24"/>
        </w:rPr>
        <w:t>要求的部分</w:t>
      </w:r>
      <w:r>
        <w:rPr>
          <w:rFonts w:ascii="宋体" w:hAnsi="宋体"/>
          <w:bCs/>
          <w:sz w:val="24"/>
          <w:szCs w:val="24"/>
        </w:rPr>
        <w:t>，其</w:t>
      </w:r>
      <w:r>
        <w:rPr>
          <w:rFonts w:hint="eastAsia" w:ascii="宋体" w:hAnsi="宋体"/>
          <w:bCs/>
          <w:sz w:val="24"/>
          <w:szCs w:val="24"/>
        </w:rPr>
        <w:t>具体要求</w:t>
      </w:r>
      <w:r>
        <w:rPr>
          <w:rFonts w:ascii="宋体" w:hAnsi="宋体"/>
          <w:bCs/>
          <w:sz w:val="24"/>
          <w:szCs w:val="24"/>
        </w:rPr>
        <w:t>视同本条规定</w:t>
      </w:r>
      <w:r>
        <w:rPr>
          <w:rFonts w:hint="eastAsia" w:ascii="宋体" w:hAnsi="宋体"/>
          <w:bCs/>
          <w:sz w:val="24"/>
          <w:szCs w:val="24"/>
        </w:rPr>
        <w:t>）；</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投标人法定代表人身份证复印件；</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投标人法定代表人授权代表身份证复印件（法定代表人</w:t>
      </w:r>
      <w:r>
        <w:rPr>
          <w:rFonts w:hint="eastAsia" w:ascii="宋体" w:hAnsi="宋体"/>
          <w:b/>
          <w:bCs/>
          <w:sz w:val="24"/>
          <w:szCs w:val="24"/>
        </w:rPr>
        <w:t>亲自参加</w:t>
      </w:r>
      <w:r>
        <w:rPr>
          <w:rFonts w:hint="eastAsia" w:ascii="宋体" w:hAnsi="宋体"/>
          <w:bCs/>
          <w:sz w:val="24"/>
          <w:szCs w:val="24"/>
        </w:rPr>
        <w:t>投标的除外）；</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投标人连续六个月</w:t>
      </w:r>
      <w:r>
        <w:rPr>
          <w:rFonts w:ascii="宋体" w:hAnsi="宋体"/>
          <w:bCs/>
          <w:sz w:val="24"/>
          <w:szCs w:val="24"/>
        </w:rPr>
        <w:t>(</w:t>
      </w:r>
      <w:r>
        <w:rPr>
          <w:rFonts w:hint="eastAsia" w:ascii="宋体" w:hAnsi="宋体"/>
          <w:bCs/>
          <w:sz w:val="24"/>
          <w:szCs w:val="24"/>
        </w:rPr>
        <w:t>至少包含近六个月中任意一个月份</w:t>
      </w:r>
      <w:r>
        <w:rPr>
          <w:rFonts w:ascii="宋体" w:hAnsi="宋体"/>
          <w:bCs/>
          <w:sz w:val="24"/>
          <w:szCs w:val="24"/>
        </w:rPr>
        <w:t>(</w:t>
      </w:r>
      <w:r>
        <w:rPr>
          <w:rFonts w:hint="eastAsia" w:ascii="宋体" w:hAnsi="宋体"/>
          <w:bCs/>
          <w:sz w:val="24"/>
          <w:szCs w:val="24"/>
        </w:rPr>
        <w:t>不含投标当月</w:t>
      </w:r>
      <w:r>
        <w:rPr>
          <w:rFonts w:ascii="宋体" w:hAnsi="宋体"/>
          <w:bCs/>
          <w:sz w:val="24"/>
          <w:szCs w:val="24"/>
        </w:rPr>
        <w:t>))</w:t>
      </w:r>
      <w:r>
        <w:rPr>
          <w:rFonts w:hint="eastAsia" w:ascii="宋体" w:hAnsi="宋体"/>
          <w:bCs/>
          <w:sz w:val="24"/>
          <w:szCs w:val="24"/>
        </w:rPr>
        <w:t>为其法定代表人授权代表缴纳社保的证明复印件（由相关主管部门出具，</w:t>
      </w:r>
      <w:r>
        <w:rPr>
          <w:rFonts w:hint="eastAsia" w:ascii="宋体" w:hAnsi="宋体"/>
          <w:b/>
          <w:bCs/>
          <w:sz w:val="24"/>
          <w:szCs w:val="24"/>
        </w:rPr>
        <w:t>新成立公司除外、法定代表人亲自参加投标的除外</w:t>
      </w:r>
      <w:r>
        <w:rPr>
          <w:rFonts w:hint="eastAsia" w:ascii="宋体" w:hAnsi="宋体"/>
          <w:bCs/>
          <w:sz w:val="24"/>
          <w:szCs w:val="24"/>
        </w:rPr>
        <w:t>）；</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投标人近三个月中任意一个月份(不含投标当月)的财务状况报告（资产负债表和利润表）或由会计师事务所出具的近两年中任意一个年度的审计报告和所附已审财务报告复印件；</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投标人近三个月中任意一个月份(不含投标当月) 的依法缴纳税收的相关材料（提供相关主管部门证明或银行代扣证明）复印件；</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投标人近三个月中任意一个月份(不含投标当月) 的依法</w:t>
      </w:r>
      <w:r>
        <w:rPr>
          <w:rFonts w:ascii="宋体" w:hAnsi="宋体"/>
          <w:bCs/>
          <w:sz w:val="24"/>
          <w:szCs w:val="24"/>
        </w:rPr>
        <w:t>缴纳</w:t>
      </w:r>
      <w:r>
        <w:rPr>
          <w:rFonts w:hint="eastAsia" w:ascii="宋体" w:hAnsi="宋体"/>
          <w:bCs/>
          <w:sz w:val="24"/>
          <w:szCs w:val="24"/>
        </w:rPr>
        <w:t>社会保障资金的相关材料（提供相关主管部门证明或银行代扣证明）复印件；</w:t>
      </w:r>
    </w:p>
    <w:p>
      <w:pPr>
        <w:numPr>
          <w:ilvl w:val="0"/>
          <w:numId w:val="6"/>
        </w:numPr>
        <w:tabs>
          <w:tab w:val="left" w:pos="420"/>
          <w:tab w:val="left" w:pos="945"/>
          <w:tab w:val="left" w:pos="1155"/>
          <w:tab w:val="clear" w:pos="1146"/>
        </w:tabs>
        <w:spacing w:line="360" w:lineRule="auto"/>
        <w:ind w:left="0" w:firstLine="523" w:firstLineChars="218"/>
        <w:rPr>
          <w:rFonts w:ascii="宋体" w:hAnsi="宋体"/>
          <w:bCs/>
          <w:sz w:val="24"/>
          <w:szCs w:val="24"/>
        </w:rPr>
      </w:pPr>
      <w:r>
        <w:rPr>
          <w:rFonts w:hint="eastAsia" w:ascii="宋体" w:hAnsi="宋体"/>
          <w:bCs/>
          <w:sz w:val="24"/>
          <w:szCs w:val="24"/>
        </w:rPr>
        <w:t>承诺书（</w:t>
      </w:r>
      <w:r>
        <w:rPr>
          <w:rFonts w:hint="eastAsia" w:ascii="宋体" w:hAnsi="宋体"/>
          <w:b/>
          <w:bCs/>
          <w:sz w:val="24"/>
          <w:szCs w:val="24"/>
        </w:rPr>
        <w:t>格式见附件</w:t>
      </w:r>
      <w:r>
        <w:rPr>
          <w:rFonts w:hint="eastAsia" w:ascii="宋体" w:hAnsi="宋体"/>
          <w:bCs/>
          <w:sz w:val="24"/>
          <w:szCs w:val="24"/>
        </w:rPr>
        <w:t>）；</w:t>
      </w:r>
    </w:p>
    <w:p>
      <w:pPr>
        <w:numPr>
          <w:ilvl w:val="0"/>
          <w:numId w:val="6"/>
        </w:numPr>
        <w:tabs>
          <w:tab w:val="left" w:pos="420"/>
          <w:tab w:val="left" w:pos="945"/>
          <w:tab w:val="left" w:pos="1155"/>
          <w:tab w:val="clear" w:pos="1146"/>
        </w:tabs>
        <w:spacing w:line="360" w:lineRule="auto"/>
        <w:ind w:left="0" w:firstLine="523" w:firstLineChars="218"/>
        <w:rPr>
          <w:rFonts w:hint="eastAsia" w:ascii="宋体" w:hAnsi="宋体"/>
          <w:bCs/>
          <w:sz w:val="24"/>
          <w:szCs w:val="24"/>
        </w:rPr>
      </w:pPr>
      <w:r>
        <w:rPr>
          <w:rFonts w:hint="eastAsia" w:ascii="宋体" w:hAnsi="宋体"/>
          <w:bCs/>
          <w:sz w:val="24"/>
          <w:szCs w:val="24"/>
        </w:rPr>
        <w:t>采购人要求的特定资质证明（详见“投标邀请函”-“投标人资格要求”之3中要求）。</w:t>
      </w:r>
    </w:p>
    <w:p>
      <w:pPr>
        <w:tabs>
          <w:tab w:val="left" w:pos="420"/>
          <w:tab w:val="left" w:pos="945"/>
          <w:tab w:val="left" w:pos="1155"/>
        </w:tabs>
        <w:spacing w:line="360" w:lineRule="auto"/>
        <w:ind w:firstLine="480" w:firstLineChars="200"/>
        <w:rPr>
          <w:rFonts w:ascii="宋体" w:hAnsi="宋体"/>
          <w:bCs/>
          <w:sz w:val="24"/>
          <w:szCs w:val="24"/>
        </w:rPr>
      </w:pPr>
      <w:r>
        <w:rPr>
          <w:rFonts w:hint="eastAsia" w:ascii="宋体" w:hAnsi="宋体"/>
          <w:bCs/>
          <w:sz w:val="24"/>
          <w:szCs w:val="24"/>
        </w:rPr>
        <w:t>注：按照《政府采购法实施条例释义》，法人的分支机构由于其不能独立承担民事责任，不能以分支机构的身份参加政府采购，只能以法人身份参加。但银行、保险、石油石化、电力、电信等有行业特殊情况的，可以分支机构参加政府采购和签订合同。</w:t>
      </w:r>
    </w:p>
    <w:p>
      <w:pPr>
        <w:numPr>
          <w:ilvl w:val="0"/>
          <w:numId w:val="5"/>
        </w:numPr>
        <w:tabs>
          <w:tab w:val="left" w:pos="525"/>
          <w:tab w:val="left" w:pos="945"/>
          <w:tab w:val="clear" w:pos="630"/>
        </w:tabs>
        <w:spacing w:line="360" w:lineRule="auto"/>
        <w:ind w:left="0" w:firstLine="523" w:firstLineChars="218"/>
        <w:rPr>
          <w:rFonts w:ascii="宋体" w:hAnsi="宋体"/>
          <w:bCs/>
          <w:sz w:val="24"/>
          <w:szCs w:val="24"/>
        </w:rPr>
      </w:pPr>
      <w:r>
        <w:rPr>
          <w:rFonts w:hint="eastAsia" w:ascii="宋体" w:hAnsi="宋体"/>
          <w:bCs/>
          <w:sz w:val="24"/>
          <w:szCs w:val="24"/>
        </w:rPr>
        <w:t>开标一览表</w:t>
      </w:r>
      <w:r>
        <w:rPr>
          <w:rFonts w:hint="eastAsia" w:ascii="宋体" w:hAnsi="宋体"/>
          <w:b/>
          <w:bCs/>
          <w:sz w:val="24"/>
          <w:szCs w:val="24"/>
        </w:rPr>
        <w:t>（格式见附件）</w:t>
      </w:r>
    </w:p>
    <w:p>
      <w:pPr>
        <w:numPr>
          <w:ilvl w:val="0"/>
          <w:numId w:val="5"/>
        </w:numPr>
        <w:tabs>
          <w:tab w:val="left" w:pos="525"/>
          <w:tab w:val="left" w:pos="945"/>
          <w:tab w:val="clear" w:pos="630"/>
        </w:tabs>
        <w:spacing w:line="360" w:lineRule="auto"/>
        <w:ind w:left="0" w:firstLine="523" w:firstLineChars="218"/>
        <w:rPr>
          <w:rFonts w:ascii="宋体" w:hAnsi="宋体"/>
          <w:bCs/>
          <w:sz w:val="24"/>
          <w:szCs w:val="24"/>
        </w:rPr>
      </w:pPr>
      <w:r>
        <w:rPr>
          <w:rFonts w:hint="eastAsia" w:ascii="宋体" w:hAnsi="宋体"/>
          <w:bCs/>
          <w:sz w:val="24"/>
          <w:szCs w:val="24"/>
        </w:rPr>
        <w:t>明细报价表</w:t>
      </w:r>
      <w:r>
        <w:rPr>
          <w:rFonts w:hint="eastAsia" w:ascii="宋体" w:hAnsi="宋体"/>
          <w:b/>
          <w:bCs/>
          <w:sz w:val="24"/>
          <w:szCs w:val="24"/>
        </w:rPr>
        <w:t>（格式见附件）</w:t>
      </w:r>
    </w:p>
    <w:p>
      <w:pPr>
        <w:numPr>
          <w:ilvl w:val="0"/>
          <w:numId w:val="5"/>
        </w:numPr>
        <w:tabs>
          <w:tab w:val="left" w:pos="525"/>
          <w:tab w:val="left" w:pos="945"/>
          <w:tab w:val="clear" w:pos="630"/>
        </w:tabs>
        <w:spacing w:line="360" w:lineRule="auto"/>
        <w:ind w:left="0" w:firstLine="523" w:firstLineChars="218"/>
        <w:rPr>
          <w:rFonts w:ascii="宋体" w:hAnsi="宋体"/>
          <w:bCs/>
          <w:sz w:val="24"/>
          <w:szCs w:val="24"/>
        </w:rPr>
      </w:pPr>
      <w:r>
        <w:rPr>
          <w:rFonts w:hint="eastAsia" w:ascii="宋体" w:hAnsi="宋体"/>
          <w:bCs/>
          <w:sz w:val="24"/>
          <w:szCs w:val="24"/>
        </w:rPr>
        <w:t>项目人员配置清单</w:t>
      </w:r>
      <w:r>
        <w:rPr>
          <w:rFonts w:hint="eastAsia" w:ascii="宋体" w:hAnsi="宋体"/>
          <w:b/>
          <w:bCs/>
          <w:sz w:val="24"/>
          <w:szCs w:val="24"/>
        </w:rPr>
        <w:t>（格式见附件）</w:t>
      </w:r>
    </w:p>
    <w:p>
      <w:pPr>
        <w:numPr>
          <w:ilvl w:val="0"/>
          <w:numId w:val="5"/>
        </w:numPr>
        <w:tabs>
          <w:tab w:val="left" w:pos="525"/>
          <w:tab w:val="left" w:pos="945"/>
          <w:tab w:val="clear" w:pos="630"/>
        </w:tabs>
        <w:spacing w:line="360" w:lineRule="auto"/>
        <w:ind w:left="0" w:firstLine="523" w:firstLineChars="218"/>
        <w:rPr>
          <w:rFonts w:ascii="宋体" w:hAnsi="宋体"/>
          <w:bCs/>
          <w:sz w:val="24"/>
          <w:szCs w:val="24"/>
        </w:rPr>
      </w:pPr>
      <w:r>
        <w:rPr>
          <w:rFonts w:hint="eastAsia" w:ascii="宋体" w:hAnsi="宋体"/>
          <w:bCs/>
          <w:sz w:val="24"/>
          <w:szCs w:val="24"/>
        </w:rPr>
        <w:t>评分标准中对应的其它所需证明材料（</w:t>
      </w:r>
      <w:r>
        <w:rPr>
          <w:rFonts w:hint="eastAsia" w:ascii="宋体" w:hAnsi="宋体"/>
          <w:b/>
          <w:bCs/>
          <w:sz w:val="24"/>
          <w:szCs w:val="24"/>
        </w:rPr>
        <w:t>如有自行添加</w:t>
      </w:r>
      <w:r>
        <w:rPr>
          <w:rFonts w:hint="eastAsia" w:ascii="宋体" w:hAnsi="宋体"/>
          <w:bCs/>
          <w:sz w:val="24"/>
          <w:szCs w:val="24"/>
        </w:rPr>
        <w:t>）</w:t>
      </w:r>
    </w:p>
    <w:p>
      <w:pPr>
        <w:numPr>
          <w:ilvl w:val="0"/>
          <w:numId w:val="5"/>
        </w:numPr>
        <w:tabs>
          <w:tab w:val="left" w:pos="525"/>
          <w:tab w:val="left" w:pos="945"/>
          <w:tab w:val="clear" w:pos="630"/>
        </w:tabs>
        <w:spacing w:line="360" w:lineRule="auto"/>
        <w:ind w:left="0" w:firstLine="523" w:firstLineChars="218"/>
        <w:rPr>
          <w:rFonts w:ascii="宋体" w:hAnsi="宋体"/>
          <w:bCs/>
          <w:sz w:val="24"/>
          <w:szCs w:val="24"/>
        </w:rPr>
      </w:pPr>
      <w:r>
        <w:rPr>
          <w:rFonts w:hint="eastAsia" w:ascii="宋体" w:hAnsi="宋体"/>
          <w:bCs/>
          <w:sz w:val="24"/>
          <w:szCs w:val="24"/>
        </w:rPr>
        <w:t>要求采购人提供的配合（</w:t>
      </w:r>
      <w:r>
        <w:rPr>
          <w:rFonts w:hint="eastAsia" w:ascii="宋体" w:hAnsi="宋体"/>
          <w:b/>
          <w:bCs/>
          <w:sz w:val="24"/>
          <w:szCs w:val="24"/>
        </w:rPr>
        <w:t>如有自拟并自行添加</w:t>
      </w:r>
      <w:r>
        <w:rPr>
          <w:rFonts w:hint="eastAsia" w:ascii="宋体" w:hAnsi="宋体"/>
          <w:bCs/>
          <w:sz w:val="24"/>
          <w:szCs w:val="24"/>
        </w:rPr>
        <w:t>）</w:t>
      </w:r>
    </w:p>
    <w:p>
      <w:pPr>
        <w:numPr>
          <w:ilvl w:val="0"/>
          <w:numId w:val="5"/>
        </w:numPr>
        <w:tabs>
          <w:tab w:val="left" w:pos="525"/>
          <w:tab w:val="left" w:pos="945"/>
          <w:tab w:val="clear" w:pos="630"/>
        </w:tabs>
        <w:spacing w:line="360" w:lineRule="auto"/>
        <w:ind w:left="0" w:firstLine="523" w:firstLineChars="218"/>
        <w:rPr>
          <w:rFonts w:ascii="宋体" w:hAnsi="宋体"/>
          <w:bCs/>
          <w:sz w:val="24"/>
          <w:szCs w:val="24"/>
        </w:rPr>
      </w:pPr>
      <w:r>
        <w:rPr>
          <w:rFonts w:hint="eastAsia" w:ascii="宋体" w:hAnsi="宋体"/>
          <w:bCs/>
          <w:sz w:val="24"/>
          <w:szCs w:val="24"/>
        </w:rPr>
        <w:t>其它（</w:t>
      </w:r>
      <w:r>
        <w:rPr>
          <w:rFonts w:hint="eastAsia" w:ascii="宋体" w:hAnsi="宋体"/>
          <w:b/>
          <w:bCs/>
          <w:sz w:val="24"/>
          <w:szCs w:val="24"/>
        </w:rPr>
        <w:t>投标人认为有必要提供的声明和文件，如有自拟并自行添加</w:t>
      </w:r>
      <w:r>
        <w:rPr>
          <w:rFonts w:hint="eastAsia" w:ascii="宋体" w:hAnsi="宋体"/>
          <w:bCs/>
          <w:sz w:val="24"/>
          <w:szCs w:val="24"/>
        </w:rPr>
        <w:t>）</w:t>
      </w:r>
    </w:p>
    <w:p>
      <w:pPr>
        <w:spacing w:line="360" w:lineRule="auto"/>
        <w:ind w:firstLine="480" w:firstLineChars="200"/>
        <w:rPr>
          <w:rFonts w:ascii="宋体" w:hAnsi="宋体"/>
          <w:bCs/>
          <w:sz w:val="24"/>
          <w:szCs w:val="24"/>
        </w:rPr>
      </w:pPr>
      <w:r>
        <w:rPr>
          <w:rFonts w:hint="eastAsia" w:ascii="宋体" w:hAnsi="宋体"/>
          <w:bCs/>
          <w:sz w:val="24"/>
          <w:szCs w:val="24"/>
        </w:rPr>
        <w:t>上述</w:t>
      </w:r>
      <w:r>
        <w:rPr>
          <w:rFonts w:ascii="宋体" w:hAnsi="宋体"/>
          <w:bCs/>
          <w:sz w:val="24"/>
          <w:szCs w:val="24"/>
        </w:rPr>
        <w:t>1-</w:t>
      </w:r>
      <w:r>
        <w:rPr>
          <w:rFonts w:hint="eastAsia" w:ascii="宋体" w:hAnsi="宋体"/>
          <w:bCs/>
          <w:sz w:val="24"/>
          <w:szCs w:val="24"/>
        </w:rPr>
        <w:t>5项投标人必须按要求全部提供，否则投标文件无效。</w:t>
      </w:r>
      <w:r>
        <w:rPr>
          <w:rFonts w:hint="eastAsia" w:ascii="Tahoma" w:hAnsi="Tahoma" w:cs="Tahoma"/>
          <w:sz w:val="24"/>
          <w:szCs w:val="24"/>
        </w:rPr>
        <w:t>如上述资格证明文件遇年检、换证，则必须提供法定年检、换证单位出具的有效证明复印件。如上述资格证明文件第</w:t>
      </w:r>
      <w:r>
        <w:rPr>
          <w:rFonts w:hint="eastAsia" w:ascii="宋体" w:hAnsi="宋体" w:cs="Tahoma"/>
          <w:sz w:val="24"/>
          <w:szCs w:val="24"/>
        </w:rPr>
        <w:t>（</w:t>
      </w:r>
      <w:r>
        <w:rPr>
          <w:rFonts w:ascii="宋体" w:hAnsi="宋体" w:cs="Tahoma"/>
          <w:sz w:val="24"/>
          <w:szCs w:val="24"/>
        </w:rPr>
        <w:t>6</w:t>
      </w:r>
      <w:r>
        <w:rPr>
          <w:rFonts w:hint="eastAsia" w:ascii="宋体" w:hAnsi="宋体" w:cs="Tahoma"/>
          <w:sz w:val="24"/>
          <w:szCs w:val="24"/>
        </w:rPr>
        <w:t>）（</w:t>
      </w:r>
      <w:r>
        <w:rPr>
          <w:rFonts w:ascii="宋体" w:hAnsi="宋体" w:cs="Tahoma"/>
          <w:sz w:val="24"/>
          <w:szCs w:val="24"/>
        </w:rPr>
        <w:t>7</w:t>
      </w:r>
      <w:r>
        <w:rPr>
          <w:rFonts w:hint="eastAsia" w:ascii="宋体" w:hAnsi="宋体" w:cs="Tahoma"/>
          <w:sz w:val="24"/>
          <w:szCs w:val="24"/>
        </w:rPr>
        <w:t>）（8）（9）</w:t>
      </w:r>
      <w:r>
        <w:rPr>
          <w:rFonts w:hint="eastAsia" w:ascii="Tahoma" w:hAnsi="Tahoma" w:cs="Tahoma"/>
          <w:sz w:val="24"/>
          <w:szCs w:val="24"/>
        </w:rPr>
        <w:t>四项遇有国家相关政策规定可不具备的，必须提供相关政策规定或相关单位出具的有效证明复印件。</w:t>
      </w:r>
      <w:r>
        <w:rPr>
          <w:rFonts w:hint="eastAsia" w:ascii="宋体" w:hAnsi="宋体"/>
          <w:bCs/>
          <w:sz w:val="24"/>
          <w:szCs w:val="24"/>
        </w:rPr>
        <w:t>投标人法定代表人或法定代表人授权代表为外籍、港、澳、台地区人士的，其身份证明须提供有效的护照或港澳同胞来往内地通行证、台湾同胞来往大陆通行证，或其它可在中国大陆有效居留的许可证明。</w:t>
      </w:r>
    </w:p>
    <w:p>
      <w:pPr>
        <w:spacing w:line="360" w:lineRule="auto"/>
        <w:ind w:firstLine="480" w:firstLineChars="200"/>
        <w:rPr>
          <w:rFonts w:ascii="宋体" w:hAnsi="宋体"/>
          <w:bCs/>
          <w:sz w:val="24"/>
          <w:szCs w:val="24"/>
        </w:rPr>
      </w:pPr>
      <w:r>
        <w:rPr>
          <w:rFonts w:hint="eastAsia" w:ascii="宋体" w:hAnsi="宋体"/>
          <w:bCs/>
          <w:sz w:val="24"/>
          <w:szCs w:val="24"/>
        </w:rPr>
        <w:t>第二部分 技术标</w:t>
      </w:r>
    </w:p>
    <w:p>
      <w:pPr>
        <w:numPr>
          <w:ilvl w:val="0"/>
          <w:numId w:val="7"/>
        </w:numPr>
        <w:spacing w:line="360" w:lineRule="auto"/>
        <w:rPr>
          <w:rFonts w:ascii="宋体" w:hAnsi="宋体"/>
          <w:bCs/>
          <w:sz w:val="24"/>
          <w:szCs w:val="24"/>
        </w:rPr>
      </w:pPr>
      <w:r>
        <w:rPr>
          <w:rFonts w:hint="eastAsia" w:ascii="宋体" w:hAnsi="宋体"/>
          <w:bCs/>
          <w:sz w:val="24"/>
          <w:szCs w:val="24"/>
        </w:rPr>
        <w:t>服务偏离表</w:t>
      </w:r>
      <w:r>
        <w:rPr>
          <w:rFonts w:hint="eastAsia" w:ascii="宋体" w:hAnsi="宋体"/>
          <w:b/>
          <w:bCs/>
          <w:sz w:val="24"/>
          <w:szCs w:val="24"/>
        </w:rPr>
        <w:t>（格式见附件）</w:t>
      </w:r>
    </w:p>
    <w:p>
      <w:pPr>
        <w:numPr>
          <w:ilvl w:val="0"/>
          <w:numId w:val="7"/>
        </w:numPr>
        <w:spacing w:line="360" w:lineRule="auto"/>
        <w:rPr>
          <w:rFonts w:ascii="宋体" w:hAnsi="宋体"/>
          <w:bCs/>
          <w:sz w:val="24"/>
          <w:szCs w:val="24"/>
        </w:rPr>
      </w:pPr>
      <w:r>
        <w:rPr>
          <w:rFonts w:hint="eastAsia" w:ascii="宋体" w:hAnsi="宋体"/>
          <w:bCs/>
          <w:sz w:val="24"/>
          <w:szCs w:val="24"/>
        </w:rPr>
        <w:t>服务方案</w:t>
      </w:r>
      <w:r>
        <w:rPr>
          <w:rFonts w:hint="eastAsia" w:ascii="宋体" w:hAnsi="宋体"/>
          <w:b/>
          <w:bCs/>
          <w:sz w:val="24"/>
          <w:szCs w:val="24"/>
        </w:rPr>
        <w:t>（格式见附件）</w:t>
      </w:r>
    </w:p>
    <w:p>
      <w:pPr>
        <w:spacing w:line="360" w:lineRule="auto"/>
        <w:ind w:left="525"/>
        <w:rPr>
          <w:rFonts w:ascii="宋体" w:hAnsi="宋体"/>
          <w:bCs/>
          <w:sz w:val="24"/>
          <w:szCs w:val="24"/>
        </w:rPr>
      </w:pPr>
      <w:r>
        <w:rPr>
          <w:rFonts w:hint="eastAsia" w:ascii="宋体" w:hAnsi="宋体"/>
          <w:bCs/>
          <w:sz w:val="24"/>
          <w:szCs w:val="24"/>
        </w:rPr>
        <w:t>注：上述1-2项投标人必须按要求提供，否则投标文件无效。</w:t>
      </w:r>
    </w:p>
    <w:p>
      <w:pPr>
        <w:spacing w:line="360" w:lineRule="auto"/>
        <w:ind w:firstLine="480" w:firstLineChars="200"/>
        <w:rPr>
          <w:rFonts w:ascii="黑体" w:hAnsi="宋体" w:eastAsia="黑体"/>
          <w:bCs/>
          <w:sz w:val="24"/>
          <w:szCs w:val="24"/>
        </w:rPr>
      </w:pPr>
      <w:r>
        <w:rPr>
          <w:rFonts w:hint="eastAsia" w:ascii="黑体" w:hAnsi="宋体" w:eastAsia="黑体"/>
          <w:bCs/>
          <w:sz w:val="24"/>
          <w:szCs w:val="24"/>
        </w:rPr>
        <w:t>（六）</w:t>
      </w:r>
      <w:r>
        <w:rPr>
          <w:rFonts w:ascii="黑体" w:hAnsi="宋体" w:eastAsia="黑体"/>
          <w:bCs/>
          <w:sz w:val="24"/>
          <w:szCs w:val="24"/>
        </w:rPr>
        <w:t xml:space="preserve"> </w:t>
      </w:r>
      <w:r>
        <w:rPr>
          <w:rFonts w:hint="eastAsia" w:ascii="黑体" w:hAnsi="宋体" w:eastAsia="黑体"/>
          <w:bCs/>
          <w:sz w:val="24"/>
          <w:szCs w:val="24"/>
        </w:rPr>
        <w:t>投标文件的制作：</w:t>
      </w:r>
    </w:p>
    <w:p>
      <w:pPr>
        <w:numPr>
          <w:ilvl w:val="0"/>
          <w:numId w:val="8"/>
        </w:numPr>
        <w:tabs>
          <w:tab w:val="left" w:pos="525"/>
          <w:tab w:val="left" w:pos="945"/>
        </w:tabs>
        <w:spacing w:line="360" w:lineRule="auto"/>
        <w:ind w:left="0" w:firstLine="523" w:firstLineChars="218"/>
        <w:rPr>
          <w:rFonts w:ascii="宋体"/>
          <w:bCs/>
          <w:sz w:val="24"/>
          <w:szCs w:val="24"/>
        </w:rPr>
      </w:pPr>
      <w:r>
        <w:rPr>
          <w:rFonts w:hint="eastAsia" w:ascii="宋体" w:hAnsi="宋体"/>
          <w:bCs/>
          <w:sz w:val="24"/>
          <w:szCs w:val="24"/>
        </w:rPr>
        <w:t>所有文件、往来函件均应使用简体中文（规格、型号辅助符号例外）。</w:t>
      </w:r>
    </w:p>
    <w:p>
      <w:pPr>
        <w:numPr>
          <w:ilvl w:val="0"/>
          <w:numId w:val="8"/>
        </w:numPr>
        <w:tabs>
          <w:tab w:val="left" w:pos="525"/>
          <w:tab w:val="left" w:pos="945"/>
        </w:tabs>
        <w:spacing w:line="360" w:lineRule="auto"/>
        <w:ind w:left="0" w:firstLine="523" w:firstLineChars="218"/>
        <w:rPr>
          <w:rFonts w:ascii="宋体"/>
          <w:bCs/>
          <w:sz w:val="24"/>
          <w:szCs w:val="24"/>
        </w:rPr>
      </w:pPr>
      <w:r>
        <w:rPr>
          <w:rFonts w:hint="eastAsia" w:ascii="宋体"/>
          <w:sz w:val="24"/>
          <w:szCs w:val="24"/>
          <w:lang w:val="zh-CN"/>
        </w:rPr>
        <w:t>如无特别说明，</w:t>
      </w:r>
      <w:r>
        <w:rPr>
          <w:rFonts w:hint="eastAsia" w:ascii="宋体" w:hAnsi="宋体"/>
          <w:bCs/>
          <w:sz w:val="24"/>
          <w:szCs w:val="24"/>
        </w:rPr>
        <w:t>投标人报价一律以人民币为投标结算货币</w:t>
      </w:r>
      <w:r>
        <w:rPr>
          <w:rFonts w:ascii="宋体"/>
          <w:bCs/>
          <w:sz w:val="24"/>
          <w:szCs w:val="24"/>
        </w:rPr>
        <w:t>,</w:t>
      </w:r>
      <w:r>
        <w:rPr>
          <w:rFonts w:hint="eastAsia" w:ascii="宋体" w:hAnsi="宋体"/>
          <w:bCs/>
          <w:sz w:val="24"/>
          <w:szCs w:val="24"/>
        </w:rPr>
        <w:t>结算单位为“元”。</w:t>
      </w:r>
    </w:p>
    <w:p>
      <w:pPr>
        <w:numPr>
          <w:ilvl w:val="0"/>
          <w:numId w:val="8"/>
        </w:numPr>
        <w:tabs>
          <w:tab w:val="left" w:pos="525"/>
          <w:tab w:val="left" w:pos="945"/>
        </w:tabs>
        <w:spacing w:line="360" w:lineRule="auto"/>
        <w:ind w:left="0" w:firstLine="523" w:firstLineChars="218"/>
        <w:rPr>
          <w:rFonts w:ascii="宋体"/>
          <w:bCs/>
          <w:sz w:val="24"/>
          <w:szCs w:val="24"/>
        </w:rPr>
      </w:pPr>
      <w:r>
        <w:rPr>
          <w:rFonts w:hint="eastAsia" w:ascii="宋体" w:hAnsi="宋体"/>
          <w:bCs/>
          <w:sz w:val="24"/>
          <w:szCs w:val="24"/>
        </w:rPr>
        <w:t>投标文件应用不褪色的墨水书写或打印。</w:t>
      </w:r>
    </w:p>
    <w:p>
      <w:pPr>
        <w:numPr>
          <w:ilvl w:val="0"/>
          <w:numId w:val="8"/>
        </w:numPr>
        <w:tabs>
          <w:tab w:val="left" w:pos="525"/>
          <w:tab w:val="left" w:pos="945"/>
          <w:tab w:val="left" w:pos="1146"/>
        </w:tabs>
        <w:spacing w:line="360" w:lineRule="auto"/>
        <w:ind w:left="0" w:firstLine="523" w:firstLineChars="218"/>
        <w:rPr>
          <w:rFonts w:ascii="宋体" w:hAnsi="宋体"/>
          <w:bCs/>
          <w:sz w:val="24"/>
          <w:szCs w:val="24"/>
        </w:rPr>
      </w:pPr>
      <w:r>
        <w:rPr>
          <w:rFonts w:hint="eastAsia" w:ascii="宋体" w:hAnsi="宋体"/>
          <w:bCs/>
          <w:sz w:val="24"/>
          <w:szCs w:val="24"/>
        </w:rPr>
        <w:t>投标文件必须分为明标商务标和暗标技术标两个部分、按照“投标文件的组成”顺序制作,并分别编制目录、页码。商务标和技术标投标文件须各自装订成册，</w:t>
      </w:r>
      <w:r>
        <w:rPr>
          <w:rFonts w:hint="eastAsia" w:ascii="宋体" w:hAnsi="宋体"/>
          <w:bCs/>
          <w:sz w:val="24"/>
        </w:rPr>
        <w:t>密封，并在密封袋外注明投标人名称。</w:t>
      </w:r>
    </w:p>
    <w:p>
      <w:pPr>
        <w:numPr>
          <w:ilvl w:val="0"/>
          <w:numId w:val="8"/>
        </w:numPr>
        <w:tabs>
          <w:tab w:val="left" w:pos="525"/>
          <w:tab w:val="left" w:pos="945"/>
          <w:tab w:val="left" w:pos="1146"/>
        </w:tabs>
        <w:spacing w:line="360" w:lineRule="auto"/>
        <w:ind w:left="0" w:firstLine="523" w:firstLineChars="218"/>
        <w:rPr>
          <w:rFonts w:ascii="宋体" w:hAnsi="宋体"/>
          <w:bCs/>
          <w:sz w:val="24"/>
          <w:szCs w:val="24"/>
        </w:rPr>
      </w:pPr>
      <w:r>
        <w:rPr>
          <w:rFonts w:hint="eastAsia" w:ascii="宋体" w:hAnsi="宋体"/>
          <w:bCs/>
          <w:sz w:val="24"/>
          <w:szCs w:val="24"/>
        </w:rPr>
        <w:t>商务标投标文件由投标人按要求参考给定格式如实填写（编写），须有投标人（盖章）、法定代表人或法定代表人授权代表签字或盖章，方为有效，未尽事宜可自行补充。</w:t>
      </w:r>
    </w:p>
    <w:p>
      <w:pPr>
        <w:numPr>
          <w:ilvl w:val="0"/>
          <w:numId w:val="8"/>
        </w:numPr>
        <w:tabs>
          <w:tab w:val="left" w:pos="525"/>
          <w:tab w:val="left" w:pos="945"/>
          <w:tab w:val="left" w:pos="1146"/>
        </w:tabs>
        <w:spacing w:line="360" w:lineRule="auto"/>
        <w:ind w:left="0" w:firstLine="523" w:firstLineChars="218"/>
        <w:rPr>
          <w:rFonts w:ascii="宋体" w:hAnsi="宋体"/>
          <w:bCs/>
          <w:sz w:val="24"/>
          <w:szCs w:val="24"/>
        </w:rPr>
      </w:pPr>
      <w:r>
        <w:rPr>
          <w:rFonts w:hint="eastAsia" w:ascii="宋体" w:hAnsi="宋体"/>
          <w:bCs/>
          <w:sz w:val="24"/>
          <w:szCs w:val="24"/>
        </w:rPr>
        <w:t>投标文件商务标不应有涂改、潦草之处，如有必须修改时，修改处必须有投标人盖章、法定代表人或法定代表人授权代表的签字。</w:t>
      </w:r>
    </w:p>
    <w:p>
      <w:pPr>
        <w:numPr>
          <w:ilvl w:val="0"/>
          <w:numId w:val="8"/>
        </w:numPr>
        <w:tabs>
          <w:tab w:val="left" w:pos="525"/>
          <w:tab w:val="left" w:pos="945"/>
          <w:tab w:val="left" w:pos="1146"/>
        </w:tabs>
        <w:spacing w:line="360" w:lineRule="auto"/>
        <w:ind w:left="0" w:firstLine="523" w:firstLineChars="218"/>
        <w:rPr>
          <w:rFonts w:ascii="宋体" w:hAnsi="宋体"/>
          <w:bCs/>
          <w:sz w:val="24"/>
          <w:szCs w:val="24"/>
        </w:rPr>
      </w:pPr>
      <w:r>
        <w:rPr>
          <w:rFonts w:hint="eastAsia" w:ascii="宋体" w:hAnsi="宋体"/>
          <w:bCs/>
          <w:sz w:val="24"/>
          <w:szCs w:val="24"/>
        </w:rPr>
        <w:t>商务标投标文件一式叁份，正本一份，副本两份，并注明“正本”、“副本”字样；技术标投标文件一式伍份。</w:t>
      </w:r>
    </w:p>
    <w:p>
      <w:pPr>
        <w:numPr>
          <w:ilvl w:val="0"/>
          <w:numId w:val="8"/>
        </w:numPr>
        <w:tabs>
          <w:tab w:val="left" w:pos="525"/>
          <w:tab w:val="left" w:pos="945"/>
          <w:tab w:val="left" w:pos="1146"/>
        </w:tabs>
        <w:spacing w:line="360" w:lineRule="auto"/>
        <w:ind w:left="0" w:firstLine="523" w:firstLineChars="218"/>
        <w:rPr>
          <w:rFonts w:ascii="宋体" w:hAnsi="宋体"/>
          <w:bCs/>
          <w:sz w:val="24"/>
          <w:szCs w:val="24"/>
        </w:rPr>
      </w:pPr>
      <w:r>
        <w:rPr>
          <w:rFonts w:hint="eastAsia" w:ascii="宋体" w:hAnsi="宋体"/>
          <w:bCs/>
          <w:sz w:val="24"/>
          <w:szCs w:val="24"/>
        </w:rPr>
        <w:t>技术标的投标文件制作要求：</w:t>
      </w:r>
    </w:p>
    <w:p>
      <w:pPr>
        <w:numPr>
          <w:ilvl w:val="0"/>
          <w:numId w:val="9"/>
        </w:numPr>
        <w:tabs>
          <w:tab w:val="left" w:pos="945"/>
        </w:tabs>
        <w:spacing w:line="360" w:lineRule="auto"/>
        <w:rPr>
          <w:rFonts w:ascii="宋体" w:hAnsi="宋体"/>
          <w:bCs/>
          <w:sz w:val="24"/>
          <w:szCs w:val="24"/>
        </w:rPr>
      </w:pPr>
      <w:r>
        <w:rPr>
          <w:rFonts w:hint="eastAsia" w:ascii="宋体" w:hAnsi="宋体"/>
          <w:bCs/>
          <w:sz w:val="24"/>
          <w:szCs w:val="24"/>
        </w:rPr>
        <w:t>技术标投标文件应按招标文件规定的格式制作、不得更改，不得在其中涂改、标注或做任何可以辨认投标人及所属人员身份的名称、印章、商标、装订错误等标记；</w:t>
      </w:r>
    </w:p>
    <w:p>
      <w:pPr>
        <w:numPr>
          <w:ilvl w:val="0"/>
          <w:numId w:val="9"/>
        </w:numPr>
        <w:tabs>
          <w:tab w:val="left" w:pos="945"/>
        </w:tabs>
        <w:spacing w:line="360" w:lineRule="auto"/>
        <w:rPr>
          <w:rFonts w:ascii="宋体" w:hAnsi="宋体"/>
          <w:bCs/>
          <w:sz w:val="24"/>
          <w:szCs w:val="24"/>
        </w:rPr>
      </w:pPr>
      <w:r>
        <w:rPr>
          <w:rFonts w:hint="eastAsia" w:ascii="宋体" w:hAnsi="宋体"/>
          <w:bCs/>
          <w:sz w:val="24"/>
          <w:szCs w:val="24"/>
        </w:rPr>
        <w:t>纸张大小和颜色：A4白纸(无花纹)；</w:t>
      </w:r>
    </w:p>
    <w:p>
      <w:pPr>
        <w:numPr>
          <w:ilvl w:val="0"/>
          <w:numId w:val="9"/>
        </w:numPr>
        <w:tabs>
          <w:tab w:val="left" w:pos="945"/>
        </w:tabs>
        <w:spacing w:line="360" w:lineRule="auto"/>
        <w:rPr>
          <w:rFonts w:ascii="宋体" w:hAnsi="宋体"/>
          <w:bCs/>
          <w:sz w:val="24"/>
          <w:szCs w:val="24"/>
        </w:rPr>
      </w:pPr>
      <w:r>
        <w:rPr>
          <w:rFonts w:hint="eastAsia" w:ascii="宋体" w:hAnsi="宋体"/>
          <w:bCs/>
          <w:sz w:val="24"/>
          <w:szCs w:val="24"/>
        </w:rPr>
        <w:t xml:space="preserve">封面封底：白底(无花纹)黑字，封面格式按附件； </w:t>
      </w:r>
    </w:p>
    <w:p>
      <w:pPr>
        <w:numPr>
          <w:ilvl w:val="0"/>
          <w:numId w:val="9"/>
        </w:numPr>
        <w:tabs>
          <w:tab w:val="left" w:pos="945"/>
        </w:tabs>
        <w:spacing w:line="360" w:lineRule="auto"/>
        <w:rPr>
          <w:rFonts w:ascii="宋体" w:hAnsi="宋体"/>
          <w:bCs/>
          <w:sz w:val="24"/>
          <w:szCs w:val="24"/>
        </w:rPr>
      </w:pPr>
      <w:r>
        <w:rPr>
          <w:rFonts w:hint="eastAsia" w:ascii="宋体" w:hAnsi="宋体"/>
          <w:bCs/>
          <w:sz w:val="24"/>
          <w:szCs w:val="24"/>
        </w:rPr>
        <w:t>装订要求：左侧</w:t>
      </w:r>
      <w:r>
        <w:rPr>
          <w:rFonts w:ascii="宋体" w:hAnsi="宋体"/>
          <w:bCs/>
          <w:sz w:val="24"/>
          <w:szCs w:val="24"/>
        </w:rPr>
        <w:t>无线软面胶装</w:t>
      </w:r>
      <w:r>
        <w:rPr>
          <w:rFonts w:hint="eastAsia" w:ascii="宋体" w:hAnsi="宋体"/>
          <w:bCs/>
          <w:sz w:val="24"/>
          <w:szCs w:val="24"/>
        </w:rPr>
        <w:t>；</w:t>
      </w:r>
    </w:p>
    <w:p>
      <w:pPr>
        <w:numPr>
          <w:ilvl w:val="0"/>
          <w:numId w:val="9"/>
        </w:numPr>
        <w:tabs>
          <w:tab w:val="left" w:pos="945"/>
        </w:tabs>
        <w:spacing w:line="360" w:lineRule="auto"/>
        <w:rPr>
          <w:rFonts w:ascii="宋体" w:hAnsi="宋体"/>
          <w:bCs/>
          <w:sz w:val="24"/>
          <w:szCs w:val="24"/>
        </w:rPr>
      </w:pPr>
      <w:r>
        <w:rPr>
          <w:rFonts w:hint="eastAsia" w:ascii="宋体" w:hAnsi="宋体"/>
          <w:bCs/>
          <w:sz w:val="24"/>
          <w:szCs w:val="24"/>
        </w:rPr>
        <w:t>投标人自拟的正文部分：</w:t>
      </w:r>
    </w:p>
    <w:p>
      <w:pPr>
        <w:tabs>
          <w:tab w:val="left" w:pos="945"/>
        </w:tabs>
        <w:spacing w:line="360" w:lineRule="auto"/>
        <w:ind w:firstLine="840" w:firstLineChars="350"/>
        <w:rPr>
          <w:rFonts w:ascii="宋体" w:hAnsi="宋体"/>
          <w:bCs/>
          <w:sz w:val="24"/>
          <w:szCs w:val="24"/>
        </w:rPr>
      </w:pPr>
      <w:r>
        <w:rPr>
          <w:rFonts w:hint="eastAsia" w:ascii="宋体" w:hAnsi="宋体"/>
          <w:bCs/>
          <w:sz w:val="24"/>
          <w:szCs w:val="24"/>
        </w:rPr>
        <w:t>字体：黑色、小四号宋体字，1.5倍行间距、字间距标准、每段段前空两字；</w:t>
      </w:r>
    </w:p>
    <w:p>
      <w:pPr>
        <w:tabs>
          <w:tab w:val="left" w:pos="945"/>
        </w:tabs>
        <w:spacing w:line="360" w:lineRule="auto"/>
        <w:ind w:firstLine="480"/>
        <w:rPr>
          <w:rFonts w:ascii="宋体" w:hAnsi="宋体"/>
          <w:bCs/>
          <w:sz w:val="24"/>
          <w:szCs w:val="24"/>
        </w:rPr>
      </w:pPr>
      <w:r>
        <w:rPr>
          <w:rFonts w:hint="eastAsia" w:ascii="宋体" w:hAnsi="宋体"/>
          <w:bCs/>
          <w:sz w:val="24"/>
          <w:szCs w:val="24"/>
        </w:rPr>
        <w:t xml:space="preserve">   页码：页码居中，格式为阿拉伯数字，</w:t>
      </w:r>
      <w:r>
        <w:rPr>
          <w:rFonts w:ascii="宋体" w:hAnsi="宋体"/>
          <w:bCs/>
          <w:sz w:val="24"/>
          <w:szCs w:val="24"/>
        </w:rPr>
        <w:t>Times New Roman</w:t>
      </w:r>
      <w:r>
        <w:rPr>
          <w:rFonts w:hint="eastAsia" w:ascii="宋体" w:hAnsi="宋体"/>
          <w:bCs/>
          <w:sz w:val="24"/>
          <w:szCs w:val="24"/>
        </w:rPr>
        <w:t>，小五号字体；</w:t>
      </w:r>
    </w:p>
    <w:p>
      <w:pPr>
        <w:tabs>
          <w:tab w:val="left" w:pos="945"/>
        </w:tabs>
        <w:spacing w:line="360" w:lineRule="auto"/>
        <w:ind w:firstLine="840" w:firstLineChars="350"/>
        <w:rPr>
          <w:rFonts w:ascii="宋体" w:hAnsi="宋体"/>
          <w:bCs/>
          <w:sz w:val="24"/>
          <w:szCs w:val="24"/>
        </w:rPr>
      </w:pPr>
      <w:r>
        <w:rPr>
          <w:rFonts w:hint="eastAsia" w:ascii="宋体" w:hAnsi="宋体"/>
          <w:bCs/>
          <w:sz w:val="24"/>
          <w:szCs w:val="24"/>
        </w:rPr>
        <w:t xml:space="preserve">除页码外不得设置其他页眉页脚。 </w:t>
      </w:r>
    </w:p>
    <w:p>
      <w:pPr>
        <w:numPr>
          <w:ilvl w:val="0"/>
          <w:numId w:val="8"/>
        </w:numPr>
        <w:tabs>
          <w:tab w:val="left" w:pos="525"/>
          <w:tab w:val="left" w:pos="945"/>
          <w:tab w:val="left" w:pos="1146"/>
          <w:tab w:val="clear" w:pos="898"/>
        </w:tabs>
        <w:spacing w:line="360" w:lineRule="auto"/>
        <w:ind w:left="0" w:firstLine="523" w:firstLineChars="218"/>
        <w:rPr>
          <w:rFonts w:ascii="宋体" w:hAnsi="宋体"/>
          <w:bCs/>
          <w:sz w:val="24"/>
          <w:szCs w:val="24"/>
        </w:rPr>
      </w:pPr>
      <w:r>
        <w:rPr>
          <w:rFonts w:hint="eastAsia" w:ascii="宋体" w:hAnsi="宋体"/>
          <w:bCs/>
          <w:sz w:val="24"/>
          <w:szCs w:val="24"/>
        </w:rPr>
        <w:t>投标费用自理。</w:t>
      </w:r>
    </w:p>
    <w:p>
      <w:pPr>
        <w:tabs>
          <w:tab w:val="left" w:pos="945"/>
        </w:tabs>
        <w:spacing w:line="360" w:lineRule="auto"/>
        <w:ind w:firstLine="480" w:firstLineChars="200"/>
        <w:rPr>
          <w:rFonts w:ascii="黑体" w:hAnsi="宋体" w:eastAsia="黑体"/>
          <w:bCs/>
          <w:sz w:val="24"/>
          <w:szCs w:val="24"/>
        </w:rPr>
      </w:pPr>
      <w:r>
        <w:rPr>
          <w:rFonts w:hint="eastAsia" w:ascii="黑体" w:hAnsi="宋体" w:eastAsia="黑体"/>
          <w:bCs/>
          <w:sz w:val="24"/>
          <w:szCs w:val="24"/>
        </w:rPr>
        <w:t>（七） 无效投标文件的确认：</w:t>
      </w:r>
    </w:p>
    <w:p>
      <w:pPr>
        <w:tabs>
          <w:tab w:val="left" w:pos="945"/>
        </w:tabs>
        <w:spacing w:line="360" w:lineRule="auto"/>
        <w:ind w:firstLine="480" w:firstLineChars="200"/>
        <w:rPr>
          <w:rFonts w:ascii="黑体" w:hAnsi="宋体" w:eastAsia="黑体"/>
          <w:bCs/>
          <w:sz w:val="24"/>
          <w:szCs w:val="24"/>
        </w:rPr>
      </w:pPr>
      <w:r>
        <w:rPr>
          <w:rFonts w:hint="eastAsia" w:ascii="宋体" w:hAnsi="宋体"/>
          <w:bCs/>
          <w:sz w:val="24"/>
          <w:szCs w:val="24"/>
        </w:rPr>
        <w:t>投标人有下列情况之一者，投标文件无效：</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投标文件未按规定的期限、地点送达的；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投标文件未按要求密封、签署、盖章的；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投标人的法定代表人授权代表，无法定代表人授权委托书的；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不具备招标文件中规定的资格要求或未按招标文件规定的要求提供资格、资信证明文件的；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sz w:val="24"/>
          <w:szCs w:val="24"/>
        </w:rPr>
        <w:t>被“信用中国”网站（</w:t>
      </w:r>
      <w:r>
        <w:fldChar w:fldCharType="begin"/>
      </w:r>
      <w:r>
        <w:instrText xml:space="preserve"> HYPERLINK "http://www.creditchina.gov.cn" </w:instrText>
      </w:r>
      <w:r>
        <w:fldChar w:fldCharType="separate"/>
      </w:r>
      <w:r>
        <w:rPr>
          <w:rFonts w:hint="eastAsia" w:ascii="宋体" w:hAnsi="宋体"/>
          <w:sz w:val="24"/>
          <w:szCs w:val="24"/>
        </w:rPr>
        <w:t>www.creditchina.gov.cn</w:t>
      </w:r>
      <w:r>
        <w:rPr>
          <w:rFonts w:hint="eastAsia" w:ascii="宋体" w:hAnsi="宋体"/>
          <w:sz w:val="24"/>
          <w:szCs w:val="24"/>
        </w:rPr>
        <w:fldChar w:fldCharType="end"/>
      </w:r>
      <w:r>
        <w:rPr>
          <w:rFonts w:hint="eastAsia" w:ascii="宋体" w:hAnsi="宋体"/>
          <w:sz w:val="24"/>
          <w:szCs w:val="24"/>
        </w:rPr>
        <w:t>）列入失信被执行人、重大税收违法案件当事人名单、政府采购严重违法失信行为记录名单的；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投标文件未按招标文件规定的内容和要求填写的；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投标文件书写潦草、字迹模糊不清、无法辨认的；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投标人技术标投标文件未按招标文件要求制作的；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投标文件中有招标文件未允许提供的选择性内容；</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ascii="宋体" w:hAnsi="宋体"/>
          <w:bCs/>
          <w:sz w:val="24"/>
          <w:szCs w:val="24"/>
        </w:rPr>
        <w:t>不同投标人委托同一单位或者个人办理投标事宜</w:t>
      </w:r>
      <w:r>
        <w:rPr>
          <w:rFonts w:hint="eastAsia" w:ascii="宋体" w:hAnsi="宋体"/>
          <w:bCs/>
          <w:sz w:val="24"/>
          <w:szCs w:val="24"/>
        </w:rPr>
        <w:t>的</w:t>
      </w:r>
      <w:r>
        <w:rPr>
          <w:rFonts w:ascii="宋体" w:hAnsi="宋体"/>
          <w:bCs/>
          <w:sz w:val="24"/>
          <w:szCs w:val="24"/>
        </w:rPr>
        <w:t>；</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不同投标人的单位负责人为同一人或者存在直接控股、管理关系的；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不同投标人的投标文件的装订形式、纸张情况、目录序号、排版格式、文字风格等存在明显的相似性或一致性，特征显示由同一单位或者同一个人编制的；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不同投标人投标文件内容存在非正常一致、项目组成员出现同一人、投标文件中错误（或异常）一致或雷同、电子文档信息一致或雷同的、投标报价呈规律性差异的；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不同投标人的投标资料相互混装、不同投标人的委托代理人、项目负责人以及其他相关人员有在同一个单位缴纳社会保险、同一投标文件中单位名称落款与公章不是同一单位的；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提供虚假材料的（包括工商营业执照、财务报表、资格证明文件等）；</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项目（标段）投标总价超过本项目（标段）预算或最高限价的；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投标文件含有采购人不能接受的附加条件的；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除单一来源采购项目外，为采购项目提供整体设计、规范编制或者项目管理、监理、检测等服务的；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投标文件内容不全或不符合招标文件中规定的其它实质性要求的；</w:t>
      </w:r>
    </w:p>
    <w:p>
      <w:pPr>
        <w:numPr>
          <w:ilvl w:val="0"/>
          <w:numId w:val="10"/>
        </w:numPr>
        <w:tabs>
          <w:tab w:val="left" w:pos="525"/>
          <w:tab w:val="left" w:pos="636"/>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法律法规和招标文件规定的其它无效情形。</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（八） 开标、评标：</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开标时由无锡市公共资源交易中心梁溪分中心邀请公证机构或投标人代表查验投标文件的密封情况，经确认无误后，无锡市公共资源交易中心梁溪分中心工作人员当众拆封，宣读、记录各投标人《开标一览表》。如有争议最终由评标委员会认定。</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开标时，投标文件中开标一览表</w:t>
      </w:r>
      <w:r>
        <w:rPr>
          <w:rFonts w:ascii="宋体" w:hAnsi="宋体"/>
          <w:bCs/>
          <w:sz w:val="24"/>
          <w:szCs w:val="24"/>
        </w:rPr>
        <w:t>内容与</w:t>
      </w:r>
      <w:r>
        <w:rPr>
          <w:rFonts w:hint="eastAsia" w:ascii="宋体" w:hAnsi="宋体"/>
          <w:bCs/>
          <w:sz w:val="24"/>
          <w:szCs w:val="24"/>
        </w:rPr>
        <w:t>投标文件中</w:t>
      </w:r>
      <w:r>
        <w:rPr>
          <w:rFonts w:ascii="宋体" w:hAnsi="宋体"/>
          <w:bCs/>
          <w:sz w:val="24"/>
          <w:szCs w:val="24"/>
        </w:rPr>
        <w:t>明细表内容不一致的，以</w:t>
      </w:r>
      <w:r>
        <w:rPr>
          <w:rFonts w:hint="eastAsia" w:ascii="宋体" w:hAnsi="宋体"/>
          <w:bCs/>
          <w:sz w:val="24"/>
          <w:szCs w:val="24"/>
        </w:rPr>
        <w:t>开标一览表</w:t>
      </w:r>
      <w:r>
        <w:rPr>
          <w:rFonts w:ascii="宋体" w:hAnsi="宋体"/>
          <w:bCs/>
          <w:sz w:val="24"/>
          <w:szCs w:val="24"/>
        </w:rPr>
        <w:t>为准</w:t>
      </w:r>
      <w:r>
        <w:rPr>
          <w:rFonts w:hint="eastAsia" w:ascii="宋体" w:hAnsi="宋体"/>
          <w:bCs/>
          <w:sz w:val="24"/>
          <w:szCs w:val="24"/>
        </w:rPr>
        <w:t>。</w:t>
      </w:r>
    </w:p>
    <w:p>
      <w:pPr>
        <w:tabs>
          <w:tab w:val="left" w:pos="945"/>
        </w:tabs>
        <w:spacing w:line="360" w:lineRule="auto"/>
        <w:ind w:left="1" w:firstLine="480" w:firstLineChars="200"/>
        <w:rPr>
          <w:rFonts w:ascii="宋体" w:hAnsi="宋体"/>
          <w:bCs/>
          <w:sz w:val="24"/>
          <w:szCs w:val="24"/>
        </w:rPr>
      </w:pPr>
      <w:r>
        <w:rPr>
          <w:rFonts w:hint="eastAsia" w:ascii="宋体" w:hAnsi="宋体"/>
          <w:bCs/>
          <w:sz w:val="24"/>
          <w:szCs w:val="24"/>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正本与副本不符，以正本为准。</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投标人未参加开标的，视同认可开标结果。</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投标文件技术标编号</w:t>
      </w:r>
    </w:p>
    <w:p>
      <w:pPr>
        <w:tabs>
          <w:tab w:val="left" w:pos="945"/>
        </w:tabs>
        <w:spacing w:line="360" w:lineRule="auto"/>
        <w:ind w:left="1"/>
        <w:rPr>
          <w:rFonts w:ascii="宋体" w:hAnsi="宋体"/>
          <w:bCs/>
          <w:sz w:val="24"/>
          <w:szCs w:val="24"/>
        </w:rPr>
      </w:pPr>
      <w:r>
        <w:rPr>
          <w:rFonts w:hint="eastAsia" w:ascii="宋体" w:hAnsi="宋体"/>
          <w:bCs/>
          <w:sz w:val="24"/>
          <w:szCs w:val="24"/>
        </w:rPr>
        <w:t xml:space="preserve">    </w:t>
      </w:r>
      <w:r>
        <w:rPr>
          <w:rFonts w:ascii="宋体" w:hAnsi="宋体"/>
          <w:bCs/>
          <w:sz w:val="24"/>
          <w:szCs w:val="24"/>
        </w:rPr>
        <w:t>由</w:t>
      </w:r>
      <w:r>
        <w:rPr>
          <w:rFonts w:hint="eastAsia" w:ascii="宋体" w:hAnsi="宋体"/>
          <w:bCs/>
          <w:sz w:val="24"/>
          <w:szCs w:val="24"/>
        </w:rPr>
        <w:t>招标工作人员</w:t>
      </w:r>
      <w:r>
        <w:rPr>
          <w:rFonts w:ascii="宋体" w:hAnsi="宋体"/>
          <w:bCs/>
          <w:sz w:val="24"/>
          <w:szCs w:val="24"/>
        </w:rPr>
        <w:t>对所有</w:t>
      </w:r>
      <w:r>
        <w:rPr>
          <w:rFonts w:hint="eastAsia" w:ascii="宋体" w:hAnsi="宋体"/>
          <w:bCs/>
          <w:sz w:val="24"/>
          <w:szCs w:val="24"/>
        </w:rPr>
        <w:t>投标文件的</w:t>
      </w:r>
      <w:r>
        <w:rPr>
          <w:rFonts w:ascii="宋体" w:hAnsi="宋体"/>
          <w:bCs/>
          <w:sz w:val="24"/>
          <w:szCs w:val="24"/>
        </w:rPr>
        <w:t>技术标进行拆封、</w:t>
      </w:r>
      <w:r>
        <w:rPr>
          <w:rFonts w:hint="eastAsia" w:ascii="宋体" w:hAnsi="宋体"/>
          <w:bCs/>
          <w:sz w:val="24"/>
          <w:szCs w:val="24"/>
        </w:rPr>
        <w:t>随机</w:t>
      </w:r>
      <w:r>
        <w:rPr>
          <w:rFonts w:ascii="宋体" w:hAnsi="宋体"/>
          <w:bCs/>
          <w:sz w:val="24"/>
          <w:szCs w:val="24"/>
        </w:rPr>
        <w:t>编号、封存</w:t>
      </w:r>
      <w:r>
        <w:rPr>
          <w:rFonts w:hint="eastAsia" w:ascii="宋体" w:hAnsi="宋体"/>
          <w:bCs/>
          <w:sz w:val="24"/>
          <w:szCs w:val="24"/>
        </w:rPr>
        <w:t>投标人对应表，在不透露投标人身份的前提下将投标文件技术标交给评标委员会。</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ascii="宋体" w:hAnsi="宋体"/>
          <w:bCs/>
          <w:sz w:val="24"/>
          <w:szCs w:val="24"/>
        </w:rPr>
        <w:t>评标程序</w:t>
      </w:r>
    </w:p>
    <w:p>
      <w:pPr>
        <w:tabs>
          <w:tab w:val="left" w:pos="945"/>
        </w:tabs>
        <w:spacing w:line="360" w:lineRule="auto"/>
        <w:ind w:firstLine="523" w:firstLineChars="218"/>
        <w:rPr>
          <w:rFonts w:ascii="宋体" w:hAnsi="宋体"/>
          <w:bCs/>
          <w:sz w:val="24"/>
          <w:szCs w:val="24"/>
        </w:rPr>
      </w:pPr>
      <w:r>
        <w:rPr>
          <w:rFonts w:hint="eastAsia" w:ascii="宋体" w:hAnsi="宋体"/>
          <w:bCs/>
          <w:sz w:val="24"/>
          <w:szCs w:val="24"/>
        </w:rPr>
        <w:t>评标工作由无锡市公共资源交易中心梁溪分中心负责组织，具体评标事务由依法组建的评标委员会负责。</w:t>
      </w:r>
    </w:p>
    <w:p>
      <w:pPr>
        <w:numPr>
          <w:ilvl w:val="0"/>
          <w:numId w:val="12"/>
        </w:numPr>
        <w:tabs>
          <w:tab w:val="left" w:pos="630"/>
          <w:tab w:val="left" w:pos="945"/>
          <w:tab w:val="left" w:pos="1155"/>
          <w:tab w:val="clear" w:pos="1104"/>
        </w:tabs>
        <w:spacing w:line="360" w:lineRule="auto"/>
        <w:ind w:left="0" w:firstLine="523" w:firstLineChars="218"/>
        <w:rPr>
          <w:rFonts w:ascii="宋体" w:hAnsi="宋体"/>
          <w:bCs/>
          <w:sz w:val="24"/>
          <w:szCs w:val="24"/>
        </w:rPr>
      </w:pPr>
      <w:r>
        <w:rPr>
          <w:rFonts w:ascii="宋体" w:hAnsi="宋体"/>
          <w:bCs/>
          <w:sz w:val="24"/>
        </w:rPr>
        <w:t>投标文件初审。初审分为资格性检查和符合性检查</w:t>
      </w:r>
      <w:r>
        <w:rPr>
          <w:rFonts w:hint="eastAsia" w:ascii="宋体" w:hAnsi="宋体"/>
          <w:bCs/>
          <w:sz w:val="24"/>
        </w:rPr>
        <w:t>。</w:t>
      </w:r>
    </w:p>
    <w:p>
      <w:pPr>
        <w:numPr>
          <w:ilvl w:val="0"/>
          <w:numId w:val="13"/>
        </w:numPr>
        <w:tabs>
          <w:tab w:val="left" w:pos="525"/>
          <w:tab w:val="left" w:pos="630"/>
          <w:tab w:val="left" w:pos="945"/>
          <w:tab w:val="left" w:pos="1365"/>
          <w:tab w:val="clear" w:pos="881"/>
        </w:tabs>
        <w:spacing w:line="360" w:lineRule="auto"/>
        <w:ind w:left="0" w:firstLine="523" w:firstLineChars="218"/>
        <w:rPr>
          <w:rFonts w:ascii="宋体" w:hAnsi="宋体"/>
          <w:bCs/>
          <w:sz w:val="24"/>
        </w:rPr>
      </w:pPr>
      <w:r>
        <w:rPr>
          <w:rFonts w:ascii="宋体" w:hAnsi="宋体"/>
          <w:bCs/>
          <w:sz w:val="24"/>
        </w:rPr>
        <w:t>资格性检查。</w:t>
      </w:r>
      <w:r>
        <w:rPr>
          <w:rFonts w:hint="eastAsia" w:ascii="宋体" w:hAnsi="宋体"/>
          <w:bCs/>
          <w:sz w:val="24"/>
        </w:rPr>
        <w:t>采购人</w:t>
      </w:r>
      <w:r>
        <w:rPr>
          <w:rFonts w:ascii="宋体" w:hAnsi="宋体"/>
          <w:bCs/>
          <w:sz w:val="24"/>
        </w:rPr>
        <w:t>依据法律法规和招标文件的规定，对投标文件中的资格证明</w:t>
      </w:r>
      <w:r>
        <w:rPr>
          <w:rFonts w:hint="eastAsia" w:ascii="宋体" w:hAnsi="宋体"/>
          <w:bCs/>
          <w:sz w:val="24"/>
        </w:rPr>
        <w:t>文件</w:t>
      </w:r>
      <w:r>
        <w:rPr>
          <w:rFonts w:ascii="宋体" w:hAnsi="宋体"/>
          <w:bCs/>
          <w:sz w:val="24"/>
        </w:rPr>
        <w:t>进行审查</w:t>
      </w:r>
      <w:r>
        <w:rPr>
          <w:rFonts w:hint="eastAsia" w:ascii="宋体" w:hAnsi="宋体"/>
          <w:bCs/>
          <w:sz w:val="24"/>
        </w:rPr>
        <w:t>；</w:t>
      </w:r>
      <w:r>
        <w:rPr>
          <w:rFonts w:hint="eastAsia" w:ascii="宋体" w:hAnsi="宋体"/>
          <w:bCs/>
          <w:sz w:val="24"/>
          <w:szCs w:val="24"/>
        </w:rPr>
        <w:t>通过“信用中国”网站（</w:t>
      </w:r>
      <w:r>
        <w:fldChar w:fldCharType="begin"/>
      </w:r>
      <w:r>
        <w:instrText xml:space="preserve"> HYPERLINK "http://www.creditchina.gov.cn" </w:instrText>
      </w:r>
      <w:r>
        <w:fldChar w:fldCharType="separate"/>
      </w:r>
      <w:r>
        <w:rPr>
          <w:rFonts w:hint="eastAsia" w:ascii="宋体" w:hAnsi="宋体"/>
          <w:bCs/>
          <w:sz w:val="24"/>
          <w:szCs w:val="24"/>
        </w:rPr>
        <w:t>www.creditchina.gov.cn</w:t>
      </w:r>
      <w:r>
        <w:rPr>
          <w:rFonts w:hint="eastAsia" w:ascii="宋体" w:hAnsi="宋体"/>
          <w:bCs/>
          <w:sz w:val="24"/>
          <w:szCs w:val="24"/>
        </w:rPr>
        <w:fldChar w:fldCharType="end"/>
      </w:r>
      <w:r>
        <w:rPr>
          <w:rFonts w:hint="eastAsia" w:ascii="宋体" w:hAnsi="宋体"/>
          <w:bCs/>
          <w:sz w:val="24"/>
          <w:szCs w:val="24"/>
        </w:rPr>
        <w:t>）查询投标供应商在投标截止时间之前，是否被列入</w:t>
      </w:r>
      <w:r>
        <w:rPr>
          <w:rFonts w:hint="eastAsia" w:ascii="宋体" w:hAnsi="宋体"/>
          <w:sz w:val="24"/>
          <w:szCs w:val="24"/>
        </w:rPr>
        <w:t>失信被执行人、重大税收违法案件当事人名单、政府采购严重违法失信行为记录名单，</w:t>
      </w:r>
      <w:r>
        <w:rPr>
          <w:rFonts w:hint="eastAsia" w:ascii="宋体" w:hAnsi="宋体"/>
          <w:bCs/>
          <w:sz w:val="24"/>
        </w:rPr>
        <w:t>以确定投标供应商是否具备投标资格。</w:t>
      </w:r>
    </w:p>
    <w:p>
      <w:pPr>
        <w:numPr>
          <w:ilvl w:val="0"/>
          <w:numId w:val="13"/>
        </w:numPr>
        <w:tabs>
          <w:tab w:val="left" w:pos="525"/>
          <w:tab w:val="left" w:pos="630"/>
          <w:tab w:val="left" w:pos="945"/>
          <w:tab w:val="left" w:pos="1365"/>
          <w:tab w:val="clear" w:pos="881"/>
        </w:tabs>
        <w:spacing w:line="360" w:lineRule="auto"/>
        <w:ind w:left="0" w:firstLine="523" w:firstLineChars="218"/>
        <w:rPr>
          <w:rFonts w:ascii="宋体" w:hAnsi="宋体"/>
          <w:bCs/>
          <w:sz w:val="24"/>
        </w:rPr>
      </w:pPr>
      <w:r>
        <w:rPr>
          <w:rFonts w:ascii="宋体" w:hAnsi="宋体"/>
          <w:bCs/>
          <w:sz w:val="24"/>
        </w:rPr>
        <w:t>符合性检查。</w:t>
      </w:r>
      <w:r>
        <w:rPr>
          <w:rFonts w:hint="eastAsia" w:ascii="宋体" w:hAnsi="宋体"/>
          <w:bCs/>
          <w:sz w:val="24"/>
        </w:rPr>
        <w:t>评标委员会</w:t>
      </w:r>
      <w:r>
        <w:rPr>
          <w:rFonts w:ascii="宋体" w:hAnsi="宋体"/>
          <w:bCs/>
          <w:sz w:val="24"/>
        </w:rPr>
        <w:t>依据招标文件的规定，从投标文件的有效性、完整性和对招标文件的响应程度进行审查，以确定是否对招标文件的实质性要求作出响应</w:t>
      </w:r>
      <w:r>
        <w:rPr>
          <w:rFonts w:hint="eastAsia" w:ascii="宋体" w:hAnsi="宋体"/>
          <w:bCs/>
          <w:sz w:val="24"/>
        </w:rPr>
        <w:t>。</w:t>
      </w:r>
    </w:p>
    <w:p>
      <w:pPr>
        <w:numPr>
          <w:ilvl w:val="0"/>
          <w:numId w:val="12"/>
        </w:numPr>
        <w:tabs>
          <w:tab w:val="left" w:pos="525"/>
          <w:tab w:val="left" w:pos="945"/>
          <w:tab w:val="left" w:pos="1155"/>
          <w:tab w:val="clear" w:pos="1104"/>
        </w:tabs>
        <w:spacing w:line="360" w:lineRule="auto"/>
        <w:ind w:left="0" w:firstLine="523" w:firstLineChars="218"/>
        <w:rPr>
          <w:rFonts w:ascii="宋体" w:hAnsi="宋体"/>
          <w:bCs/>
          <w:sz w:val="24"/>
          <w:szCs w:val="24"/>
        </w:rPr>
      </w:pPr>
      <w:r>
        <w:rPr>
          <w:rFonts w:ascii="宋体" w:hAnsi="宋体"/>
          <w:bCs/>
          <w:sz w:val="24"/>
        </w:rPr>
        <w:t>澄清有关问题。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w:t>
      </w:r>
      <w:r>
        <w:rPr>
          <w:rFonts w:hint="eastAsia" w:ascii="宋体" w:hAnsi="宋体"/>
          <w:bCs/>
          <w:sz w:val="24"/>
        </w:rPr>
        <w:t>涉及到商务标的，</w:t>
      </w:r>
      <w:r>
        <w:rPr>
          <w:rFonts w:ascii="宋体" w:hAnsi="宋体"/>
          <w:bCs/>
          <w:sz w:val="24"/>
        </w:rPr>
        <w:t>由其授权的代表签字，</w:t>
      </w:r>
      <w:r>
        <w:rPr>
          <w:rFonts w:hint="eastAsia" w:ascii="宋体" w:hAnsi="宋体"/>
          <w:bCs/>
          <w:sz w:val="24"/>
        </w:rPr>
        <w:t>涉及到技术标的，由其授权代表的手印代替签字，</w:t>
      </w:r>
      <w:r>
        <w:rPr>
          <w:rFonts w:ascii="宋体" w:hAnsi="宋体"/>
          <w:bCs/>
          <w:sz w:val="24"/>
        </w:rPr>
        <w:t>并不得超出投标文件的范围或者改变投标文件的实质性内容</w:t>
      </w:r>
      <w:r>
        <w:rPr>
          <w:rFonts w:hint="eastAsia" w:ascii="宋体" w:hAnsi="宋体"/>
          <w:bCs/>
          <w:sz w:val="24"/>
          <w:szCs w:val="24"/>
        </w:rPr>
        <w:t>。</w:t>
      </w:r>
    </w:p>
    <w:p>
      <w:pPr>
        <w:numPr>
          <w:ilvl w:val="0"/>
          <w:numId w:val="12"/>
        </w:numPr>
        <w:tabs>
          <w:tab w:val="left" w:pos="945"/>
          <w:tab w:val="left" w:pos="1155"/>
          <w:tab w:val="left" w:pos="1365"/>
          <w:tab w:val="clear" w:pos="1104"/>
        </w:tabs>
        <w:spacing w:line="360" w:lineRule="auto"/>
        <w:ind w:left="0" w:firstLine="523" w:firstLineChars="218"/>
        <w:rPr>
          <w:rFonts w:ascii="宋体" w:hAnsi="宋体"/>
          <w:bCs/>
          <w:sz w:val="24"/>
          <w:szCs w:val="24"/>
        </w:rPr>
      </w:pPr>
      <w:r>
        <w:rPr>
          <w:rFonts w:ascii="宋体" w:hAnsi="宋体"/>
          <w:bCs/>
          <w:sz w:val="24"/>
        </w:rPr>
        <w:t>比较与评价。按招标文件中规定的评标方法和标准，对资格性检查和符合性检查合格的投标文件</w:t>
      </w:r>
      <w:r>
        <w:rPr>
          <w:rFonts w:hint="eastAsia" w:ascii="宋体" w:hAnsi="宋体"/>
          <w:bCs/>
          <w:sz w:val="24"/>
        </w:rPr>
        <w:t>分别</w:t>
      </w:r>
      <w:r>
        <w:rPr>
          <w:rFonts w:ascii="宋体" w:hAnsi="宋体"/>
          <w:bCs/>
          <w:sz w:val="24"/>
        </w:rPr>
        <w:t>进行商务和技术评估，综合比较与评价</w:t>
      </w:r>
      <w:r>
        <w:rPr>
          <w:rFonts w:hint="eastAsia" w:ascii="宋体" w:hAnsi="宋体"/>
          <w:bCs/>
          <w:sz w:val="24"/>
          <w:szCs w:val="24"/>
        </w:rPr>
        <w:t>。</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评标方法</w:t>
      </w:r>
    </w:p>
    <w:p>
      <w:pPr>
        <w:tabs>
          <w:tab w:val="left" w:pos="945"/>
        </w:tabs>
        <w:spacing w:line="360" w:lineRule="auto"/>
        <w:ind w:firstLine="523" w:firstLineChars="218"/>
        <w:rPr>
          <w:rFonts w:ascii="宋体" w:hAnsi="宋体"/>
          <w:bCs/>
          <w:sz w:val="24"/>
          <w:szCs w:val="24"/>
        </w:rPr>
      </w:pPr>
      <w:r>
        <w:rPr>
          <w:rFonts w:hint="eastAsia" w:ascii="宋体" w:hAnsi="宋体"/>
          <w:bCs/>
          <w:sz w:val="24"/>
          <w:szCs w:val="24"/>
        </w:rPr>
        <w:t>投标人通过初审的，方可进入</w:t>
      </w:r>
      <w:r>
        <w:rPr>
          <w:rFonts w:ascii="宋体" w:hAnsi="宋体"/>
          <w:bCs/>
          <w:sz w:val="24"/>
        </w:rPr>
        <w:t>比较与评价</w:t>
      </w:r>
      <w:r>
        <w:rPr>
          <w:rFonts w:hint="eastAsia" w:ascii="宋体" w:hAnsi="宋体"/>
          <w:bCs/>
          <w:sz w:val="24"/>
        </w:rPr>
        <w:t>程序</w:t>
      </w:r>
      <w:r>
        <w:rPr>
          <w:rFonts w:hint="eastAsia" w:ascii="宋体" w:hAnsi="宋体"/>
          <w:bCs/>
          <w:sz w:val="24"/>
          <w:szCs w:val="24"/>
        </w:rPr>
        <w:t>。</w:t>
      </w:r>
    </w:p>
    <w:p>
      <w:pPr>
        <w:tabs>
          <w:tab w:val="left" w:pos="945"/>
        </w:tabs>
        <w:spacing w:line="360" w:lineRule="auto"/>
        <w:ind w:firstLine="523" w:firstLineChars="218"/>
        <w:rPr>
          <w:rFonts w:ascii="宋体" w:hAnsi="宋体"/>
          <w:bCs/>
          <w:sz w:val="24"/>
          <w:szCs w:val="24"/>
        </w:rPr>
      </w:pPr>
      <w:r>
        <w:rPr>
          <w:rFonts w:ascii="宋体" w:hAnsi="宋体"/>
          <w:bCs/>
          <w:sz w:val="24"/>
        </w:rPr>
        <w:t>比较与评价</w:t>
      </w:r>
      <w:r>
        <w:rPr>
          <w:rFonts w:hint="eastAsia" w:ascii="宋体" w:hAnsi="宋体"/>
          <w:bCs/>
          <w:sz w:val="24"/>
          <w:szCs w:val="24"/>
        </w:rPr>
        <w:t>采用综合评分法。</w:t>
      </w:r>
    </w:p>
    <w:p>
      <w:pPr>
        <w:tabs>
          <w:tab w:val="left" w:pos="945"/>
        </w:tabs>
        <w:spacing w:line="360" w:lineRule="auto"/>
        <w:ind w:firstLine="523" w:firstLineChars="218"/>
        <w:rPr>
          <w:rFonts w:ascii="宋体" w:hAnsi="宋体"/>
          <w:bCs/>
          <w:sz w:val="24"/>
          <w:szCs w:val="24"/>
        </w:rPr>
      </w:pPr>
      <w:r>
        <w:rPr>
          <w:rFonts w:hint="eastAsia" w:ascii="宋体" w:hAnsi="宋体"/>
          <w:bCs/>
          <w:sz w:val="24"/>
          <w:szCs w:val="24"/>
        </w:rPr>
        <w:t>评标委员会遵循公平、公正、择优原则，独立按照评分标准分别评定投标人的商务标分值和技术标分值，在拆封投标人对应表后，将各投标人的两部分得分合计，各投标人的评审后得分为各评委所评定合计分值的平均值，并按高低顺序排列，得分相同的，按投标报价由低到高顺序排列，得分且投标报价相同的并列。投标文件满足招标文件全部实质性要求，且按照评审因素的量化指标评审得分最高的投标人排名第一，为中标单位。</w:t>
      </w:r>
    </w:p>
    <w:p>
      <w:pPr>
        <w:numPr>
          <w:ilvl w:val="1"/>
          <w:numId w:val="11"/>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评分标准</w:t>
      </w:r>
    </w:p>
    <w:p>
      <w:pPr>
        <w:tabs>
          <w:tab w:val="left" w:pos="945"/>
        </w:tabs>
        <w:spacing w:line="380" w:lineRule="exact"/>
        <w:ind w:left="1"/>
        <w:rPr>
          <w:rFonts w:ascii="宋体" w:hAnsi="宋体"/>
          <w:sz w:val="24"/>
          <w:szCs w:val="24"/>
        </w:rPr>
      </w:pPr>
      <w:r>
        <w:rPr>
          <w:rFonts w:hint="eastAsia" w:ascii="宋体" w:hAnsi="宋体"/>
          <w:bCs/>
          <w:sz w:val="24"/>
          <w:szCs w:val="24"/>
        </w:rPr>
        <w:t xml:space="preserve">    详见附件。</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（九） 定标：</w:t>
      </w:r>
    </w:p>
    <w:p>
      <w:pPr>
        <w:numPr>
          <w:ilvl w:val="0"/>
          <w:numId w:val="14"/>
        </w:numPr>
        <w:tabs>
          <w:tab w:val="left" w:pos="525"/>
          <w:tab w:val="left" w:pos="945"/>
          <w:tab w:val="left" w:pos="1155"/>
          <w:tab w:val="clear" w:pos="552"/>
        </w:tabs>
        <w:spacing w:line="360" w:lineRule="auto"/>
        <w:ind w:left="0" w:firstLine="523" w:firstLineChars="218"/>
        <w:rPr>
          <w:rFonts w:ascii="宋体" w:hAnsi="宋体"/>
          <w:bCs/>
          <w:sz w:val="24"/>
          <w:szCs w:val="24"/>
        </w:rPr>
      </w:pPr>
      <w:r>
        <w:rPr>
          <w:rFonts w:hint="eastAsia" w:ascii="宋体" w:hAnsi="宋体"/>
          <w:bCs/>
          <w:sz w:val="24"/>
          <w:szCs w:val="24"/>
        </w:rPr>
        <w:t>评标委员会根据招标文件规定的评标方法和评标标准进行评审，按招标文件的要求依法确定中标供应商。无锡市公共资源交易中心梁溪分中心将在无锡市公共资源交易中心政府采购专栏、无锡政府采购网、江苏政府采购网和中国政府采购网发布中标公告。如有质疑，应在</w:t>
      </w:r>
      <w:r>
        <w:rPr>
          <w:rFonts w:ascii="宋体" w:hAnsi="宋体"/>
          <w:bCs/>
          <w:sz w:val="24"/>
          <w:szCs w:val="24"/>
        </w:rPr>
        <w:t>法定质疑期限</w:t>
      </w:r>
      <w:r>
        <w:rPr>
          <w:rFonts w:hint="eastAsia" w:ascii="宋体" w:hAnsi="宋体"/>
          <w:bCs/>
          <w:sz w:val="24"/>
          <w:szCs w:val="24"/>
        </w:rPr>
        <w:t>内，即</w:t>
      </w:r>
      <w:r>
        <w:rPr>
          <w:rFonts w:hint="eastAsia" w:ascii="宋体" w:hAnsi="宋体"/>
          <w:sz w:val="24"/>
          <w:szCs w:val="24"/>
        </w:rPr>
        <w:t>中标公告</w:t>
      </w:r>
      <w:r>
        <w:rPr>
          <w:rFonts w:hint="eastAsia" w:ascii="宋体" w:hAnsi="宋体" w:cs="宋体"/>
          <w:bCs/>
          <w:kern w:val="0"/>
          <w:sz w:val="24"/>
        </w:rPr>
        <w:t>期限届满之日</w:t>
      </w:r>
      <w:r>
        <w:rPr>
          <w:rFonts w:hint="eastAsia" w:ascii="宋体" w:hAnsi="宋体"/>
          <w:sz w:val="24"/>
          <w:szCs w:val="24"/>
        </w:rPr>
        <w:t>起</w:t>
      </w:r>
      <w:r>
        <w:rPr>
          <w:rFonts w:ascii="宋体" w:hAnsi="宋体"/>
          <w:sz w:val="24"/>
          <w:szCs w:val="24"/>
        </w:rPr>
        <w:t>7</w:t>
      </w:r>
      <w:r>
        <w:rPr>
          <w:rFonts w:hint="eastAsia" w:ascii="宋体" w:hAnsi="宋体"/>
          <w:sz w:val="24"/>
          <w:szCs w:val="24"/>
        </w:rPr>
        <w:t>个工作日</w:t>
      </w:r>
      <w:r>
        <w:rPr>
          <w:rFonts w:hint="eastAsia" w:ascii="宋体" w:hAnsi="宋体"/>
          <w:bCs/>
          <w:sz w:val="24"/>
          <w:szCs w:val="24"/>
        </w:rPr>
        <w:t>内，以书面形式送达无锡市公共资源交易中心梁溪分中心。并且</w:t>
      </w:r>
      <w:r>
        <w:rPr>
          <w:rFonts w:ascii="宋体" w:hAnsi="宋体"/>
          <w:bCs/>
          <w:sz w:val="24"/>
          <w:szCs w:val="24"/>
        </w:rPr>
        <w:t>针对同一采购程序环节的质疑</w:t>
      </w:r>
      <w:r>
        <w:rPr>
          <w:rFonts w:hint="eastAsia" w:ascii="宋体" w:hAnsi="宋体"/>
          <w:bCs/>
          <w:sz w:val="24"/>
          <w:szCs w:val="24"/>
        </w:rPr>
        <w:t>，须</w:t>
      </w:r>
      <w:r>
        <w:rPr>
          <w:rFonts w:ascii="宋体" w:hAnsi="宋体"/>
          <w:bCs/>
          <w:sz w:val="24"/>
          <w:szCs w:val="24"/>
        </w:rPr>
        <w:t>在法定质疑期内一次性提出</w:t>
      </w:r>
      <w:r>
        <w:rPr>
          <w:rFonts w:hint="eastAsia" w:ascii="宋体" w:hAnsi="宋体"/>
          <w:bCs/>
          <w:sz w:val="24"/>
          <w:szCs w:val="24"/>
        </w:rPr>
        <w:t>。质疑函的质疑事项应具体、明确，并有必要的事实依据和法律依据（格式详见中国政府采购网《</w:t>
      </w:r>
      <w:r>
        <w:fldChar w:fldCharType="begin"/>
      </w:r>
      <w:r>
        <w:instrText xml:space="preserve"> HYPERLINK "http://download.ccgp.gov.cn/2018/zhiyihanfanben.zip" \t "_blank" </w:instrText>
      </w:r>
      <w:r>
        <w:fldChar w:fldCharType="separate"/>
      </w:r>
      <w:r>
        <w:rPr>
          <w:rFonts w:hint="eastAsia" w:ascii="宋体" w:hAnsi="宋体"/>
          <w:bCs/>
          <w:sz w:val="24"/>
          <w:szCs w:val="24"/>
        </w:rPr>
        <w:t>政府采购供应商质疑函范本</w:t>
      </w:r>
      <w:r>
        <w:rPr>
          <w:rFonts w:hint="eastAsia" w:ascii="宋体" w:hAnsi="宋体"/>
          <w:bCs/>
          <w:sz w:val="24"/>
          <w:szCs w:val="24"/>
        </w:rPr>
        <w:fldChar w:fldCharType="end"/>
      </w:r>
      <w:r>
        <w:rPr>
          <w:rFonts w:hint="eastAsia" w:ascii="宋体" w:hAnsi="宋体"/>
          <w:bCs/>
          <w:sz w:val="24"/>
          <w:szCs w:val="24"/>
        </w:rPr>
        <w:t>》）。无锡市公共资源交易中心梁溪分中心将在收到符合上述要求的书面质疑后七个工作日内，对质疑内容做出答复。投标人在</w:t>
      </w:r>
      <w:r>
        <w:rPr>
          <w:rFonts w:ascii="宋体" w:hAnsi="宋体"/>
          <w:bCs/>
          <w:sz w:val="24"/>
          <w:szCs w:val="24"/>
        </w:rPr>
        <w:t>法定质疑期限</w:t>
      </w:r>
      <w:r>
        <w:rPr>
          <w:rFonts w:hint="eastAsia" w:ascii="宋体" w:hAnsi="宋体"/>
          <w:bCs/>
          <w:sz w:val="24"/>
          <w:szCs w:val="24"/>
        </w:rPr>
        <w:t>外送达的质疑函或</w:t>
      </w:r>
      <w:r>
        <w:rPr>
          <w:rFonts w:ascii="宋体" w:hAnsi="宋体"/>
          <w:bCs/>
          <w:sz w:val="24"/>
          <w:szCs w:val="24"/>
        </w:rPr>
        <w:t>法定质疑期限</w:t>
      </w:r>
      <w:r>
        <w:rPr>
          <w:rFonts w:hint="eastAsia" w:ascii="宋体" w:hAnsi="宋体"/>
          <w:bCs/>
          <w:sz w:val="24"/>
          <w:szCs w:val="24"/>
        </w:rPr>
        <w:t>内送达的</w:t>
      </w:r>
      <w:r>
        <w:rPr>
          <w:rFonts w:ascii="宋体" w:hAnsi="宋体"/>
          <w:bCs/>
          <w:sz w:val="24"/>
          <w:szCs w:val="24"/>
        </w:rPr>
        <w:t>质疑函</w:t>
      </w:r>
      <w:r>
        <w:rPr>
          <w:rFonts w:hint="eastAsia" w:ascii="宋体" w:hAnsi="宋体"/>
          <w:bCs/>
          <w:sz w:val="24"/>
          <w:szCs w:val="24"/>
        </w:rPr>
        <w:t>不符合上述要求</w:t>
      </w:r>
      <w:r>
        <w:rPr>
          <w:rFonts w:ascii="宋体" w:hAnsi="宋体"/>
          <w:bCs/>
          <w:sz w:val="24"/>
          <w:szCs w:val="24"/>
        </w:rPr>
        <w:t>的</w:t>
      </w:r>
      <w:r>
        <w:rPr>
          <w:rFonts w:hint="eastAsia" w:ascii="宋体" w:hAnsi="宋体"/>
          <w:bCs/>
          <w:sz w:val="24"/>
          <w:szCs w:val="24"/>
        </w:rPr>
        <w:t>均</w:t>
      </w:r>
      <w:r>
        <w:rPr>
          <w:rFonts w:ascii="宋体" w:hAnsi="宋体"/>
          <w:bCs/>
          <w:sz w:val="24"/>
          <w:szCs w:val="24"/>
        </w:rPr>
        <w:t>为无效质疑</w:t>
      </w:r>
      <w:r>
        <w:rPr>
          <w:rFonts w:hint="eastAsia" w:ascii="宋体" w:hAnsi="宋体"/>
          <w:bCs/>
          <w:sz w:val="24"/>
          <w:szCs w:val="24"/>
        </w:rPr>
        <w:t>，无锡市公共资源交易中心梁溪分中心对无效质疑不予受理。如质疑</w:t>
      </w:r>
      <w:r>
        <w:rPr>
          <w:rFonts w:ascii="宋体" w:hAnsi="宋体"/>
          <w:bCs/>
          <w:sz w:val="24"/>
          <w:szCs w:val="24"/>
        </w:rPr>
        <w:t>查无实据</w:t>
      </w:r>
      <w:r>
        <w:rPr>
          <w:rFonts w:hint="eastAsia" w:ascii="宋体" w:hAnsi="宋体"/>
          <w:bCs/>
          <w:sz w:val="24"/>
          <w:szCs w:val="24"/>
        </w:rPr>
        <w:t>或投标人</w:t>
      </w:r>
      <w:r>
        <w:rPr>
          <w:rFonts w:ascii="宋体" w:hAnsi="宋体"/>
          <w:bCs/>
          <w:sz w:val="24"/>
          <w:szCs w:val="24"/>
        </w:rPr>
        <w:t>捏造事实</w:t>
      </w:r>
      <w:r>
        <w:rPr>
          <w:rFonts w:hint="eastAsia" w:ascii="宋体" w:hAnsi="宋体"/>
          <w:bCs/>
          <w:sz w:val="24"/>
          <w:szCs w:val="24"/>
        </w:rPr>
        <w:t>，</w:t>
      </w:r>
      <w:r>
        <w:rPr>
          <w:rFonts w:ascii="宋体" w:hAnsi="宋体"/>
          <w:bCs/>
          <w:sz w:val="24"/>
          <w:szCs w:val="24"/>
        </w:rPr>
        <w:t>提供虚假材料进行恶意举报</w:t>
      </w:r>
      <w:r>
        <w:rPr>
          <w:rFonts w:hint="eastAsia" w:ascii="宋体" w:hAnsi="宋体"/>
          <w:bCs/>
          <w:sz w:val="24"/>
          <w:szCs w:val="24"/>
        </w:rPr>
        <w:t>，</w:t>
      </w:r>
      <w:r>
        <w:rPr>
          <w:rFonts w:ascii="宋体" w:hAnsi="宋体"/>
          <w:bCs/>
          <w:sz w:val="24"/>
          <w:szCs w:val="24"/>
        </w:rPr>
        <w:t>不配合或采用不正当手段干扰政府采购质疑的</w:t>
      </w:r>
      <w:r>
        <w:rPr>
          <w:rFonts w:hint="eastAsia" w:ascii="宋体" w:hAnsi="宋体"/>
          <w:bCs/>
          <w:sz w:val="24"/>
          <w:szCs w:val="24"/>
        </w:rPr>
        <w:t>，将记入投标人在江苏省和无锡市的政府采购“供应商</w:t>
      </w:r>
      <w:r>
        <w:rPr>
          <w:rFonts w:ascii="宋体" w:hAnsi="宋体"/>
          <w:bCs/>
          <w:sz w:val="24"/>
          <w:szCs w:val="24"/>
        </w:rPr>
        <w:t>诚信</w:t>
      </w:r>
      <w:r>
        <w:rPr>
          <w:rFonts w:hint="eastAsia" w:ascii="宋体" w:hAnsi="宋体"/>
          <w:bCs/>
          <w:sz w:val="24"/>
          <w:szCs w:val="24"/>
        </w:rPr>
        <w:t>记录”，并按相关规定处理。</w:t>
      </w:r>
    </w:p>
    <w:p>
      <w:pPr>
        <w:numPr>
          <w:ilvl w:val="0"/>
          <w:numId w:val="14"/>
        </w:numPr>
        <w:tabs>
          <w:tab w:val="left" w:pos="525"/>
          <w:tab w:val="left" w:pos="945"/>
          <w:tab w:val="left" w:pos="1155"/>
          <w:tab w:val="clear" w:pos="552"/>
        </w:tabs>
        <w:spacing w:line="360" w:lineRule="auto"/>
        <w:ind w:left="0" w:firstLine="523" w:firstLineChars="218"/>
        <w:rPr>
          <w:rFonts w:ascii="宋体" w:hAnsi="宋体"/>
          <w:bCs/>
          <w:sz w:val="24"/>
          <w:szCs w:val="24"/>
        </w:rPr>
      </w:pPr>
      <w:r>
        <w:rPr>
          <w:rFonts w:hint="eastAsia" w:ascii="宋体" w:hAnsi="宋体"/>
          <w:bCs/>
          <w:sz w:val="24"/>
          <w:szCs w:val="24"/>
        </w:rPr>
        <w:t>无锡市公共资源交易中心梁溪分中心向中标供应商发中标通知书。</w:t>
      </w:r>
    </w:p>
    <w:p>
      <w:pPr>
        <w:numPr>
          <w:ilvl w:val="0"/>
          <w:numId w:val="14"/>
        </w:numPr>
        <w:tabs>
          <w:tab w:val="left" w:pos="525"/>
          <w:tab w:val="left" w:pos="945"/>
          <w:tab w:val="left" w:pos="1155"/>
          <w:tab w:val="clear" w:pos="552"/>
        </w:tabs>
        <w:spacing w:line="360" w:lineRule="auto"/>
        <w:ind w:left="0" w:firstLine="523" w:firstLineChars="218"/>
        <w:rPr>
          <w:rFonts w:ascii="宋体" w:hAnsi="宋体"/>
          <w:bCs/>
          <w:sz w:val="24"/>
          <w:szCs w:val="24"/>
        </w:rPr>
      </w:pPr>
      <w:r>
        <w:rPr>
          <w:rFonts w:hint="eastAsia" w:ascii="宋体" w:hAnsi="宋体"/>
          <w:bCs/>
          <w:sz w:val="24"/>
          <w:szCs w:val="24"/>
        </w:rPr>
        <w:t>未中标供应商的商务标投标文件正本及一份技术标投标文件、中标供应商的商务标投标文件正本、副本及三份技术标投标文件留存，其余投标文件副本和原件退还各投标供应商。</w:t>
      </w:r>
    </w:p>
    <w:p>
      <w:pPr>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 废标的确认：</w:t>
      </w:r>
    </w:p>
    <w:p>
      <w:pPr>
        <w:spacing w:line="360" w:lineRule="auto"/>
        <w:ind w:firstLine="480" w:firstLineChars="200"/>
        <w:rPr>
          <w:rFonts w:ascii="宋体" w:hAnsi="宋体"/>
          <w:bCs/>
          <w:sz w:val="24"/>
          <w:szCs w:val="24"/>
        </w:rPr>
      </w:pPr>
      <w:r>
        <w:rPr>
          <w:rFonts w:hint="eastAsia" w:ascii="宋体" w:hAnsi="宋体"/>
          <w:bCs/>
          <w:sz w:val="24"/>
          <w:szCs w:val="24"/>
        </w:rPr>
        <w:t>在招标采购中，出现下列情况之一的，应予废标：</w:t>
      </w:r>
    </w:p>
    <w:p>
      <w:pPr>
        <w:numPr>
          <w:ilvl w:val="0"/>
          <w:numId w:val="15"/>
        </w:numPr>
        <w:tabs>
          <w:tab w:val="left" w:pos="525"/>
          <w:tab w:val="left" w:pos="945"/>
          <w:tab w:val="left" w:pos="1260"/>
          <w:tab w:val="clear" w:pos="570"/>
        </w:tabs>
        <w:spacing w:line="360" w:lineRule="auto"/>
        <w:ind w:left="0" w:firstLine="525"/>
        <w:rPr>
          <w:rFonts w:ascii="宋体" w:hAnsi="宋体"/>
          <w:bCs/>
          <w:sz w:val="24"/>
          <w:szCs w:val="24"/>
        </w:rPr>
      </w:pPr>
      <w:r>
        <w:rPr>
          <w:rFonts w:hint="eastAsia" w:ascii="宋体" w:hAnsi="宋体"/>
          <w:bCs/>
          <w:sz w:val="24"/>
          <w:szCs w:val="24"/>
        </w:rPr>
        <w:t>符合专业条件的投标人或者对招标文件作出实质性响应的投标人不足三家；</w:t>
      </w:r>
    </w:p>
    <w:p>
      <w:pPr>
        <w:numPr>
          <w:ilvl w:val="0"/>
          <w:numId w:val="15"/>
        </w:numPr>
        <w:tabs>
          <w:tab w:val="left" w:pos="525"/>
          <w:tab w:val="left" w:pos="945"/>
          <w:tab w:val="left" w:pos="1260"/>
          <w:tab w:val="clear" w:pos="570"/>
        </w:tabs>
        <w:spacing w:line="360" w:lineRule="auto"/>
        <w:ind w:left="0" w:firstLine="525"/>
        <w:rPr>
          <w:rFonts w:ascii="宋体" w:hAnsi="宋体"/>
          <w:bCs/>
          <w:sz w:val="24"/>
          <w:szCs w:val="24"/>
        </w:rPr>
      </w:pPr>
      <w:r>
        <w:rPr>
          <w:rFonts w:hint="eastAsia" w:ascii="宋体" w:hAnsi="宋体"/>
          <w:bCs/>
          <w:sz w:val="24"/>
          <w:szCs w:val="24"/>
        </w:rPr>
        <w:t>出现影响采购公正的违法、违规行为；</w:t>
      </w:r>
    </w:p>
    <w:p>
      <w:pPr>
        <w:numPr>
          <w:ilvl w:val="0"/>
          <w:numId w:val="15"/>
        </w:numPr>
        <w:tabs>
          <w:tab w:val="left" w:pos="525"/>
          <w:tab w:val="left" w:pos="945"/>
          <w:tab w:val="left" w:pos="1260"/>
          <w:tab w:val="clear" w:pos="570"/>
        </w:tabs>
        <w:spacing w:line="360" w:lineRule="auto"/>
        <w:ind w:left="0" w:firstLine="525"/>
        <w:rPr>
          <w:rFonts w:ascii="宋体" w:hAnsi="宋体"/>
          <w:bCs/>
          <w:sz w:val="24"/>
          <w:szCs w:val="24"/>
        </w:rPr>
      </w:pPr>
      <w:r>
        <w:rPr>
          <w:rFonts w:hint="eastAsia" w:ascii="宋体" w:hAnsi="宋体"/>
          <w:bCs/>
          <w:sz w:val="24"/>
          <w:szCs w:val="24"/>
        </w:rPr>
        <w:t>投标人的报价均超过采购预算，采购人不能支付的；</w:t>
      </w:r>
    </w:p>
    <w:p>
      <w:pPr>
        <w:numPr>
          <w:ilvl w:val="0"/>
          <w:numId w:val="15"/>
        </w:numPr>
        <w:tabs>
          <w:tab w:val="right" w:pos="180"/>
          <w:tab w:val="left" w:pos="525"/>
          <w:tab w:val="left" w:pos="945"/>
          <w:tab w:val="left" w:pos="1260"/>
          <w:tab w:val="clear" w:pos="570"/>
        </w:tabs>
        <w:spacing w:line="360" w:lineRule="auto"/>
        <w:ind w:left="0" w:firstLine="525"/>
        <w:rPr>
          <w:rFonts w:ascii="宋体" w:hAnsi="宋体"/>
          <w:bCs/>
          <w:sz w:val="24"/>
          <w:szCs w:val="24"/>
        </w:rPr>
      </w:pPr>
      <w:r>
        <w:rPr>
          <w:rFonts w:hint="eastAsia" w:ascii="宋体" w:hAnsi="宋体"/>
          <w:bCs/>
          <w:sz w:val="24"/>
          <w:szCs w:val="24"/>
        </w:rPr>
        <w:t>因重大变故，采购任务取消。</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（十一）中标无效的确认：</w:t>
      </w:r>
    </w:p>
    <w:p>
      <w:pPr>
        <w:numPr>
          <w:ilvl w:val="0"/>
          <w:numId w:val="16"/>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提供虚假材料谋取中标的；</w:t>
      </w:r>
    </w:p>
    <w:p>
      <w:pPr>
        <w:numPr>
          <w:ilvl w:val="0"/>
          <w:numId w:val="16"/>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采取不正当手段诋毁、排挤其他投标人的；</w:t>
      </w:r>
    </w:p>
    <w:p>
      <w:pPr>
        <w:numPr>
          <w:ilvl w:val="0"/>
          <w:numId w:val="16"/>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与招标采购单位、其他投标人恶意串通的；</w:t>
      </w:r>
    </w:p>
    <w:p>
      <w:pPr>
        <w:numPr>
          <w:ilvl w:val="0"/>
          <w:numId w:val="16"/>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向招标采购单位行贿或者提供其他不正当利益的；</w:t>
      </w:r>
    </w:p>
    <w:p>
      <w:pPr>
        <w:numPr>
          <w:ilvl w:val="0"/>
          <w:numId w:val="16"/>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在招标过程中与招标采购单位进行协商谈判、不按照招标文件和中标供应商的投标文件订立合同，或者与采购人另行订立背离合同实质性内容的协议的；</w:t>
      </w:r>
    </w:p>
    <w:p>
      <w:pPr>
        <w:numPr>
          <w:ilvl w:val="0"/>
          <w:numId w:val="16"/>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拒绝有关部门监督检查或者提供虚假情况的。</w:t>
      </w:r>
    </w:p>
    <w:p>
      <w:pPr>
        <w:tabs>
          <w:tab w:val="left" w:pos="945"/>
        </w:tabs>
        <w:spacing w:line="360" w:lineRule="auto"/>
        <w:ind w:firstLine="480" w:firstLineChars="200"/>
        <w:rPr>
          <w:rFonts w:ascii="宋体" w:hAnsi="宋体"/>
          <w:bCs/>
          <w:sz w:val="24"/>
          <w:szCs w:val="24"/>
        </w:rPr>
      </w:pPr>
      <w:r>
        <w:rPr>
          <w:rFonts w:hint="eastAsia" w:ascii="宋体" w:hAnsi="宋体"/>
          <w:bCs/>
          <w:sz w:val="24"/>
          <w:szCs w:val="24"/>
        </w:rPr>
        <w:t>投标人有上述（1）至（5）项情形之一的，中标无效。有上述（1）至（6）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（十二）签订</w:t>
      </w:r>
      <w:r>
        <w:rPr>
          <w:rFonts w:hint="eastAsia" w:ascii="黑体" w:hAnsi="宋体" w:eastAsia="黑体"/>
          <w:b/>
          <w:sz w:val="24"/>
          <w:szCs w:val="24"/>
        </w:rPr>
        <w:t>、履行</w:t>
      </w:r>
      <w:r>
        <w:rPr>
          <w:rFonts w:hint="eastAsia" w:ascii="黑体" w:hAnsi="宋体" w:eastAsia="黑体"/>
          <w:bCs/>
          <w:sz w:val="24"/>
          <w:szCs w:val="24"/>
        </w:rPr>
        <w:t>合同：</w:t>
      </w:r>
    </w:p>
    <w:p>
      <w:pPr>
        <w:numPr>
          <w:ilvl w:val="0"/>
          <w:numId w:val="17"/>
        </w:numPr>
        <w:tabs>
          <w:tab w:val="left" w:pos="525"/>
          <w:tab w:val="left" w:pos="945"/>
          <w:tab w:val="left" w:pos="1050"/>
          <w:tab w:val="clear" w:pos="552"/>
        </w:tabs>
        <w:spacing w:line="360" w:lineRule="auto"/>
        <w:ind w:left="0" w:firstLine="525"/>
        <w:rPr>
          <w:rFonts w:ascii="宋体" w:hAnsi="宋体"/>
          <w:bCs/>
          <w:sz w:val="24"/>
          <w:szCs w:val="24"/>
        </w:rPr>
      </w:pPr>
      <w:r>
        <w:rPr>
          <w:rFonts w:ascii="宋体" w:hAnsi="宋体"/>
          <w:bCs/>
          <w:sz w:val="24"/>
          <w:szCs w:val="24"/>
        </w:rPr>
        <w:t>采购人应当自中标通知书发出之日起三十日内</w:t>
      </w:r>
      <w:r>
        <w:rPr>
          <w:rFonts w:hint="eastAsia" w:ascii="宋体" w:hAnsi="宋体"/>
          <w:bCs/>
          <w:sz w:val="24"/>
          <w:szCs w:val="24"/>
        </w:rPr>
        <w:t>（</w:t>
      </w:r>
      <w:r>
        <w:rPr>
          <w:rFonts w:ascii="宋体" w:hAnsi="宋体"/>
          <w:sz w:val="24"/>
          <w:szCs w:val="24"/>
        </w:rPr>
        <w:t>到新冠疫情应急响应解除之日</w:t>
      </w:r>
      <w:r>
        <w:rPr>
          <w:rFonts w:hint="eastAsia" w:ascii="宋体" w:hAnsi="宋体"/>
          <w:sz w:val="24"/>
          <w:szCs w:val="24"/>
        </w:rPr>
        <w:t>前缩短至十五日内</w:t>
      </w:r>
      <w:r>
        <w:rPr>
          <w:rFonts w:hint="eastAsia" w:ascii="宋体" w:hAnsi="宋体"/>
          <w:bCs/>
          <w:sz w:val="24"/>
          <w:szCs w:val="24"/>
        </w:rPr>
        <w:t>）</w:t>
      </w:r>
      <w:r>
        <w:rPr>
          <w:rFonts w:ascii="宋体" w:hAnsi="宋体"/>
          <w:bCs/>
          <w:sz w:val="24"/>
          <w:szCs w:val="24"/>
        </w:rPr>
        <w:t>，按照招标文件和中标供应商投标文件的约定，与中标供应商签订书面合同</w:t>
      </w:r>
      <w:r>
        <w:rPr>
          <w:rFonts w:hint="eastAsia" w:ascii="宋体" w:hAnsi="宋体"/>
          <w:bCs/>
          <w:sz w:val="24"/>
          <w:szCs w:val="24"/>
        </w:rPr>
        <w:t>。</w:t>
      </w:r>
      <w:r>
        <w:rPr>
          <w:rFonts w:ascii="宋体" w:hAnsi="宋体"/>
          <w:bCs/>
          <w:sz w:val="24"/>
          <w:szCs w:val="24"/>
        </w:rPr>
        <w:t>所签订的合同不得对招标文件和中标供应商投标文件作实质性修改。</w:t>
      </w:r>
      <w:r>
        <w:rPr>
          <w:rFonts w:hint="eastAsia" w:ascii="宋体" w:hAnsi="宋体"/>
          <w:bCs/>
          <w:sz w:val="24"/>
          <w:szCs w:val="24"/>
        </w:rPr>
        <w:t>采购人</w:t>
      </w:r>
      <w:r>
        <w:rPr>
          <w:rFonts w:ascii="宋体" w:hAnsi="宋体"/>
          <w:bCs/>
          <w:sz w:val="24"/>
          <w:szCs w:val="24"/>
        </w:rPr>
        <w:t>不得向中标供应商提出任何不合理的要求，作为签订合同的条件，不得与中标供应商私下订立背离合同实质性内容的协议。</w:t>
      </w:r>
      <w:r>
        <w:rPr>
          <w:rFonts w:hint="eastAsia" w:ascii="宋体" w:hAnsi="宋体"/>
          <w:bCs/>
          <w:sz w:val="24"/>
          <w:szCs w:val="24"/>
        </w:rPr>
        <w:t>合同经无锡市公共资源交易中心梁溪分中心见证后生效。</w:t>
      </w:r>
    </w:p>
    <w:p>
      <w:pPr>
        <w:numPr>
          <w:ilvl w:val="0"/>
          <w:numId w:val="17"/>
        </w:numPr>
        <w:tabs>
          <w:tab w:val="left" w:pos="525"/>
          <w:tab w:val="left" w:pos="945"/>
          <w:tab w:val="left" w:pos="1050"/>
          <w:tab w:val="clear" w:pos="552"/>
        </w:tabs>
        <w:spacing w:line="360" w:lineRule="auto"/>
        <w:ind w:left="0" w:firstLine="525"/>
        <w:rPr>
          <w:rFonts w:ascii="宋体" w:hAnsi="宋体"/>
          <w:bCs/>
          <w:sz w:val="24"/>
          <w:szCs w:val="24"/>
        </w:rPr>
      </w:pPr>
      <w:r>
        <w:rPr>
          <w:rFonts w:hint="eastAsia" w:ascii="宋体" w:hAnsi="宋体"/>
          <w:bCs/>
          <w:sz w:val="24"/>
          <w:szCs w:val="24"/>
        </w:rPr>
        <w:t>中标方非因不可抗力未履行招、投标文件和合同规定的义务，一经查实，政府采购中心将根据具体情况提请政府采购管理部门作出相应处理。</w:t>
      </w:r>
    </w:p>
    <w:p>
      <w:pPr>
        <w:numPr>
          <w:ilvl w:val="0"/>
          <w:numId w:val="17"/>
        </w:numPr>
        <w:tabs>
          <w:tab w:val="left" w:pos="525"/>
          <w:tab w:val="left" w:pos="945"/>
          <w:tab w:val="left" w:pos="1050"/>
          <w:tab w:val="clear" w:pos="552"/>
        </w:tabs>
        <w:spacing w:line="360" w:lineRule="auto"/>
        <w:ind w:left="0" w:firstLine="525"/>
        <w:rPr>
          <w:rFonts w:ascii="宋体" w:hAnsi="宋体"/>
          <w:bCs/>
          <w:sz w:val="24"/>
          <w:szCs w:val="24"/>
        </w:rPr>
      </w:pPr>
      <w:r>
        <w:rPr>
          <w:rFonts w:hint="eastAsia" w:ascii="宋体" w:hAnsi="宋体"/>
          <w:bCs/>
          <w:sz w:val="24"/>
          <w:szCs w:val="24"/>
        </w:rPr>
        <w:t>中标供应商向采购人缴纳的履约保证金不超过政府采购合同金额的10%。</w:t>
      </w:r>
      <w:r>
        <w:rPr>
          <w:rFonts w:hint="eastAsia" w:ascii="宋体" w:hAnsi="宋体"/>
          <w:bCs/>
          <w:sz w:val="24"/>
        </w:rPr>
        <w:t>收取履约保证金的，采购人应当</w:t>
      </w:r>
      <w:r>
        <w:rPr>
          <w:rFonts w:hint="eastAsia" w:ascii="宋体"/>
          <w:bCs/>
          <w:sz w:val="24"/>
        </w:rPr>
        <w:t>允许</w:t>
      </w:r>
      <w:r>
        <w:rPr>
          <w:rFonts w:ascii="宋体"/>
          <w:bCs/>
          <w:sz w:val="24"/>
          <w:szCs w:val="24"/>
        </w:rPr>
        <w:t>供应商自主选择以支票、 汇票、 本票、 保函等非现金形式缴纳或提交，</w:t>
      </w:r>
      <w:r>
        <w:rPr>
          <w:rFonts w:hint="eastAsia" w:ascii="宋体"/>
          <w:bCs/>
          <w:sz w:val="24"/>
          <w:szCs w:val="24"/>
        </w:rPr>
        <w:t>并</w:t>
      </w:r>
      <w:r>
        <w:rPr>
          <w:rFonts w:hint="eastAsia" w:ascii="宋体" w:hAnsi="宋体"/>
          <w:bCs/>
          <w:sz w:val="24"/>
        </w:rPr>
        <w:t>与中标供应商在采购合同中约定履约保证金退还的方式、时间、条件和不予退还的情形，明确逾期退还履约保证金的违约责任。</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（十三）注意事项：</w:t>
      </w:r>
    </w:p>
    <w:p>
      <w:pPr>
        <w:tabs>
          <w:tab w:val="left" w:pos="945"/>
        </w:tabs>
        <w:spacing w:line="360" w:lineRule="auto"/>
        <w:ind w:firstLine="480" w:firstLineChars="200"/>
        <w:rPr>
          <w:rFonts w:ascii="宋体" w:hAnsi="宋体"/>
          <w:bCs/>
          <w:sz w:val="24"/>
          <w:szCs w:val="24"/>
        </w:rPr>
      </w:pPr>
      <w:r>
        <w:rPr>
          <w:rFonts w:hint="eastAsia" w:ascii="宋体" w:hAnsi="宋体"/>
          <w:bCs/>
          <w:sz w:val="24"/>
          <w:szCs w:val="24"/>
        </w:rPr>
        <w:t>中标供应商有下列情形之一的，情节严重的，由财政部门将其列入不良行为记录名单，在一至三年内禁止参加政府采购活动，并予以通报：</w:t>
      </w:r>
    </w:p>
    <w:p>
      <w:pPr>
        <w:numPr>
          <w:ilvl w:val="3"/>
          <w:numId w:val="18"/>
        </w:numPr>
        <w:tabs>
          <w:tab w:val="left" w:pos="735"/>
          <w:tab w:val="left" w:pos="945"/>
          <w:tab w:val="left" w:pos="1155"/>
        </w:tabs>
        <w:spacing w:line="360" w:lineRule="auto"/>
        <w:ind w:left="0" w:firstLine="523" w:firstLineChars="218"/>
        <w:rPr>
          <w:rFonts w:ascii="宋体" w:hAnsi="宋体"/>
          <w:bCs/>
          <w:sz w:val="24"/>
          <w:szCs w:val="24"/>
        </w:rPr>
      </w:pPr>
      <w:r>
        <w:rPr>
          <w:rFonts w:hint="eastAsia" w:ascii="宋体" w:hAnsi="宋体"/>
          <w:bCs/>
          <w:sz w:val="24"/>
          <w:szCs w:val="24"/>
        </w:rPr>
        <w:t>中标后无正当理由不与采购人签订合同的；</w:t>
      </w:r>
    </w:p>
    <w:p>
      <w:pPr>
        <w:numPr>
          <w:ilvl w:val="3"/>
          <w:numId w:val="18"/>
        </w:numPr>
        <w:tabs>
          <w:tab w:val="left" w:pos="735"/>
          <w:tab w:val="left" w:pos="945"/>
          <w:tab w:val="left" w:pos="1155"/>
        </w:tabs>
        <w:spacing w:line="360" w:lineRule="auto"/>
        <w:ind w:left="0" w:firstLine="523" w:firstLineChars="218"/>
        <w:rPr>
          <w:rFonts w:ascii="宋体" w:hAnsi="宋体"/>
          <w:bCs/>
          <w:sz w:val="24"/>
          <w:szCs w:val="24"/>
        </w:rPr>
      </w:pPr>
      <w:r>
        <w:rPr>
          <w:rFonts w:hint="eastAsia" w:ascii="宋体" w:hAnsi="宋体"/>
          <w:bCs/>
          <w:sz w:val="24"/>
          <w:szCs w:val="24"/>
        </w:rPr>
        <w:t>将中标项目转让给他人，或者在投标文件中未说明，且未经过采购人同意，将中标项目分包给他人的；</w:t>
      </w:r>
    </w:p>
    <w:p>
      <w:pPr>
        <w:numPr>
          <w:ilvl w:val="3"/>
          <w:numId w:val="18"/>
        </w:numPr>
        <w:tabs>
          <w:tab w:val="left" w:pos="735"/>
          <w:tab w:val="left" w:pos="945"/>
          <w:tab w:val="left" w:pos="1155"/>
        </w:tabs>
        <w:spacing w:line="360" w:lineRule="auto"/>
        <w:ind w:left="0" w:firstLine="523" w:firstLineChars="218"/>
        <w:rPr>
          <w:rFonts w:ascii="宋体" w:hAnsi="宋体"/>
          <w:bCs/>
          <w:sz w:val="24"/>
          <w:szCs w:val="24"/>
        </w:rPr>
      </w:pPr>
      <w:r>
        <w:rPr>
          <w:rFonts w:hint="eastAsia" w:ascii="宋体" w:hAnsi="宋体"/>
          <w:bCs/>
          <w:sz w:val="24"/>
          <w:szCs w:val="24"/>
        </w:rPr>
        <w:t>拒绝履行合同义务的。</w:t>
      </w:r>
    </w:p>
    <w:p>
      <w:pPr>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（十四）中标服务费：</w:t>
      </w:r>
    </w:p>
    <w:p>
      <w:pPr>
        <w:spacing w:line="360" w:lineRule="auto"/>
        <w:ind w:firstLine="480"/>
        <w:jc w:val="center"/>
        <w:rPr>
          <w:rFonts w:ascii="宋体" w:hAnsi="宋体"/>
          <w:bCs/>
          <w:sz w:val="24"/>
          <w:szCs w:val="24"/>
        </w:rPr>
      </w:pPr>
      <w:r>
        <w:rPr>
          <w:rFonts w:hint="eastAsia" w:ascii="宋体" w:hAnsi="宋体"/>
          <w:bCs/>
          <w:sz w:val="24"/>
          <w:szCs w:val="24"/>
        </w:rPr>
        <w:t>本次招标，无锡市公共资源交易中心梁溪分中心为中标供应商提供免费服务，不收取中标</w:t>
      </w:r>
    </w:p>
    <w:p>
      <w:pPr>
        <w:spacing w:line="360" w:lineRule="auto"/>
        <w:rPr>
          <w:rFonts w:ascii="黑体" w:eastAsia="黑体"/>
          <w:bCs/>
          <w:sz w:val="30"/>
          <w:szCs w:val="30"/>
        </w:rPr>
      </w:pPr>
      <w:r>
        <w:rPr>
          <w:rFonts w:hint="eastAsia" w:ascii="宋体" w:hAnsi="宋体"/>
          <w:bCs/>
          <w:sz w:val="24"/>
          <w:szCs w:val="24"/>
        </w:rPr>
        <w:t>服务费。</w:t>
      </w: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spacing w:line="360" w:lineRule="auto"/>
        <w:jc w:val="center"/>
        <w:rPr>
          <w:rFonts w:hint="eastAsia" w:ascii="黑体" w:eastAsia="黑体"/>
          <w:bCs/>
          <w:sz w:val="30"/>
          <w:szCs w:val="30"/>
        </w:rPr>
      </w:pPr>
    </w:p>
    <w:p>
      <w:pPr>
        <w:pStyle w:val="2"/>
        <w:rPr>
          <w:rFonts w:hint="eastAsia"/>
        </w:rPr>
      </w:pPr>
    </w:p>
    <w:p>
      <w:pPr>
        <w:spacing w:line="360" w:lineRule="auto"/>
        <w:jc w:val="center"/>
        <w:rPr>
          <w:rFonts w:hint="eastAsia" w:ascii="黑体" w:eastAsia="黑体"/>
          <w:bCs/>
          <w:sz w:val="30"/>
          <w:szCs w:val="30"/>
        </w:rPr>
      </w:pPr>
    </w:p>
    <w:p>
      <w:pPr>
        <w:spacing w:line="360" w:lineRule="auto"/>
        <w:jc w:val="center"/>
        <w:rPr>
          <w:rFonts w:ascii="黑体" w:eastAsia="黑体"/>
          <w:b/>
          <w:sz w:val="30"/>
          <w:szCs w:val="30"/>
        </w:rPr>
      </w:pPr>
      <w:r>
        <w:rPr>
          <w:rFonts w:hint="eastAsia" w:ascii="黑体" w:eastAsia="黑体"/>
          <w:bCs/>
          <w:sz w:val="30"/>
          <w:szCs w:val="30"/>
        </w:rPr>
        <w:t>三．</w:t>
      </w:r>
      <w:r>
        <w:rPr>
          <w:rFonts w:hint="eastAsia" w:ascii="黑体" w:eastAsia="黑体"/>
          <w:b/>
          <w:sz w:val="30"/>
          <w:szCs w:val="30"/>
        </w:rPr>
        <w:t>项目要求和有关说明</w:t>
      </w:r>
    </w:p>
    <w:p>
      <w:pPr>
        <w:spacing w:line="360" w:lineRule="auto"/>
        <w:ind w:firstLine="480" w:firstLineChars="200"/>
        <w:jc w:val="left"/>
        <w:rPr>
          <w:rFonts w:ascii="宋体" w:hAnsi="宋体"/>
          <w:sz w:val="24"/>
          <w:szCs w:val="24"/>
        </w:rPr>
      </w:pPr>
      <w:r>
        <w:rPr>
          <w:rFonts w:hint="eastAsia" w:ascii="宋体" w:hAnsi="宋体"/>
          <w:sz w:val="24"/>
          <w:szCs w:val="24"/>
        </w:rPr>
        <w:t>本项目为</w:t>
      </w:r>
      <w:r>
        <w:rPr>
          <w:rFonts w:hint="eastAsia" w:ascii="宋体" w:hAnsi="宋体"/>
          <w:sz w:val="24"/>
          <w:szCs w:val="24"/>
          <w:lang w:eastAsia="zh-CN"/>
        </w:rPr>
        <w:t>无锡市康复医院（梁溪区中医医院）信息化建设一体化项目</w:t>
      </w:r>
      <w:r>
        <w:rPr>
          <w:rFonts w:hint="eastAsia" w:ascii="宋体" w:hAnsi="宋体"/>
          <w:sz w:val="24"/>
          <w:szCs w:val="24"/>
        </w:rPr>
        <w:t>。项目具体要求如下，投标人所投内容必须满足以下要求，不得有负偏离。</w:t>
      </w:r>
    </w:p>
    <w:p>
      <w:pPr>
        <w:spacing w:line="360" w:lineRule="auto"/>
        <w:jc w:val="left"/>
        <w:rPr>
          <w:rFonts w:ascii="黑体" w:hAnsi="黑体" w:eastAsia="黑体" w:cs="黑体"/>
          <w:b/>
          <w:bCs/>
          <w:sz w:val="24"/>
          <w:szCs w:val="24"/>
        </w:rPr>
      </w:pPr>
      <w:r>
        <w:rPr>
          <w:rFonts w:hint="eastAsia" w:ascii="宋体" w:hAnsi="宋体"/>
          <w:sz w:val="24"/>
          <w:szCs w:val="24"/>
        </w:rPr>
        <w:t xml:space="preserve">    </w:t>
      </w:r>
      <w:r>
        <w:rPr>
          <w:rFonts w:hint="eastAsia" w:ascii="黑体" w:eastAsia="黑体"/>
          <w:sz w:val="24"/>
          <w:szCs w:val="24"/>
          <w:u w:color="000000"/>
        </w:rPr>
        <w:t>（一） 项目要求：</w:t>
      </w:r>
      <w:bookmarkStart w:id="14" w:name="_Toc72487147"/>
      <w:bookmarkEnd w:id="14"/>
      <w:bookmarkStart w:id="15" w:name="_Toc72504632"/>
      <w:bookmarkEnd w:id="15"/>
      <w:bookmarkStart w:id="16" w:name="_Toc72487137"/>
      <w:bookmarkEnd w:id="16"/>
      <w:bookmarkStart w:id="17" w:name="_Toc72487148"/>
      <w:bookmarkEnd w:id="17"/>
      <w:bookmarkStart w:id="18" w:name="_Toc72487142"/>
      <w:bookmarkEnd w:id="18"/>
      <w:bookmarkStart w:id="19" w:name="_Toc72504615"/>
      <w:bookmarkEnd w:id="19"/>
      <w:bookmarkStart w:id="20" w:name="_Toc72504626"/>
      <w:bookmarkEnd w:id="20"/>
      <w:bookmarkStart w:id="21" w:name="_Toc72487123"/>
      <w:bookmarkEnd w:id="21"/>
      <w:bookmarkStart w:id="22" w:name="_Toc72487154"/>
      <w:bookmarkEnd w:id="22"/>
      <w:bookmarkStart w:id="23" w:name="_Toc72504625"/>
      <w:bookmarkEnd w:id="23"/>
      <w:bookmarkStart w:id="24" w:name="_Toc72487146"/>
      <w:bookmarkEnd w:id="24"/>
      <w:bookmarkStart w:id="25" w:name="_Toc72504631"/>
      <w:bookmarkEnd w:id="25"/>
      <w:bookmarkStart w:id="26" w:name="_Toc72504637"/>
      <w:bookmarkEnd w:id="26"/>
      <w:bookmarkStart w:id="27" w:name="_Toc72487160"/>
      <w:bookmarkEnd w:id="27"/>
      <w:bookmarkStart w:id="28" w:name="_Toc72504649"/>
      <w:bookmarkEnd w:id="28"/>
      <w:bookmarkStart w:id="29" w:name="_Toc72487162"/>
      <w:bookmarkEnd w:id="29"/>
      <w:bookmarkStart w:id="30" w:name="_Toc72487122"/>
      <w:bookmarkEnd w:id="30"/>
      <w:bookmarkStart w:id="31" w:name="_Toc72487140"/>
      <w:bookmarkEnd w:id="31"/>
      <w:bookmarkStart w:id="32" w:name="_Toc72487135"/>
      <w:bookmarkEnd w:id="32"/>
      <w:bookmarkStart w:id="33" w:name="_Toc72487166"/>
      <w:bookmarkEnd w:id="33"/>
      <w:bookmarkStart w:id="34" w:name="bookmark64"/>
      <w:bookmarkEnd w:id="34"/>
      <w:bookmarkStart w:id="35" w:name="_Toc72504656"/>
      <w:bookmarkEnd w:id="35"/>
      <w:bookmarkStart w:id="36" w:name="_Toc72487134"/>
      <w:bookmarkEnd w:id="36"/>
      <w:bookmarkStart w:id="37" w:name="_Toc72504639"/>
      <w:bookmarkEnd w:id="37"/>
      <w:bookmarkStart w:id="38" w:name="_Toc72487158"/>
      <w:bookmarkEnd w:id="38"/>
      <w:bookmarkStart w:id="39" w:name="_Toc72504622"/>
      <w:bookmarkEnd w:id="39"/>
      <w:bookmarkStart w:id="40" w:name="_Toc72504636"/>
      <w:bookmarkEnd w:id="40"/>
      <w:bookmarkStart w:id="41" w:name="_Toc72487124"/>
      <w:bookmarkEnd w:id="41"/>
      <w:bookmarkStart w:id="42" w:name="_Toc72487130"/>
      <w:bookmarkEnd w:id="42"/>
      <w:bookmarkStart w:id="43" w:name="_Toc72487139"/>
      <w:bookmarkEnd w:id="43"/>
      <w:bookmarkStart w:id="44" w:name="_Toc72487151"/>
      <w:bookmarkEnd w:id="44"/>
      <w:bookmarkStart w:id="45" w:name="bookmark61"/>
      <w:bookmarkEnd w:id="45"/>
      <w:bookmarkStart w:id="46" w:name="_Toc72487149"/>
      <w:bookmarkEnd w:id="46"/>
      <w:bookmarkStart w:id="47" w:name="_Toc72504611"/>
      <w:bookmarkEnd w:id="47"/>
      <w:bookmarkStart w:id="48" w:name="_Toc72487152"/>
      <w:bookmarkEnd w:id="48"/>
      <w:bookmarkStart w:id="49" w:name="_Toc72487150"/>
      <w:bookmarkEnd w:id="49"/>
      <w:bookmarkStart w:id="50" w:name="_Toc72504606"/>
      <w:bookmarkEnd w:id="50"/>
      <w:bookmarkStart w:id="51" w:name="_Toc72504638"/>
      <w:bookmarkEnd w:id="51"/>
      <w:bookmarkStart w:id="52" w:name="_Toc72504648"/>
      <w:bookmarkEnd w:id="52"/>
      <w:bookmarkStart w:id="53" w:name="_Toc72504609"/>
      <w:bookmarkEnd w:id="53"/>
      <w:bookmarkStart w:id="54" w:name="_Toc72504633"/>
      <w:bookmarkEnd w:id="54"/>
      <w:bookmarkStart w:id="55" w:name="_Toc72487120"/>
      <w:bookmarkEnd w:id="55"/>
      <w:bookmarkStart w:id="56" w:name="_Toc72487121"/>
      <w:bookmarkEnd w:id="56"/>
      <w:bookmarkStart w:id="57" w:name="_Toc72487136"/>
      <w:bookmarkEnd w:id="57"/>
      <w:bookmarkStart w:id="58" w:name="_Toc72487128"/>
      <w:bookmarkEnd w:id="58"/>
      <w:bookmarkStart w:id="59" w:name="_Toc72487117"/>
      <w:bookmarkEnd w:id="59"/>
      <w:bookmarkStart w:id="60" w:name="_Toc72487144"/>
      <w:bookmarkEnd w:id="60"/>
      <w:bookmarkStart w:id="61" w:name="_Toc72504608"/>
      <w:bookmarkEnd w:id="61"/>
      <w:bookmarkStart w:id="62" w:name="_Toc72487145"/>
      <w:bookmarkEnd w:id="62"/>
      <w:bookmarkStart w:id="63" w:name="_Toc72487129"/>
      <w:bookmarkEnd w:id="63"/>
      <w:bookmarkStart w:id="64" w:name="_Toc72487143"/>
      <w:bookmarkEnd w:id="64"/>
      <w:bookmarkStart w:id="65" w:name="_Toc72504643"/>
      <w:bookmarkEnd w:id="65"/>
      <w:bookmarkStart w:id="66" w:name="_Toc72487127"/>
      <w:bookmarkEnd w:id="66"/>
      <w:bookmarkStart w:id="67" w:name="_Toc72504614"/>
      <w:bookmarkEnd w:id="67"/>
      <w:bookmarkStart w:id="68" w:name="_Toc72487141"/>
      <w:bookmarkEnd w:id="68"/>
      <w:bookmarkStart w:id="69" w:name="_Toc72504655"/>
      <w:bookmarkEnd w:id="69"/>
      <w:bookmarkStart w:id="70" w:name="_Toc72504650"/>
      <w:bookmarkEnd w:id="70"/>
      <w:bookmarkStart w:id="71" w:name="_Toc72487155"/>
      <w:bookmarkEnd w:id="71"/>
      <w:bookmarkStart w:id="72" w:name="_Toc72504617"/>
      <w:bookmarkEnd w:id="72"/>
      <w:bookmarkStart w:id="73" w:name="_Toc72504627"/>
      <w:bookmarkEnd w:id="73"/>
      <w:bookmarkStart w:id="74" w:name="_Toc72504612"/>
      <w:bookmarkEnd w:id="74"/>
      <w:bookmarkStart w:id="75" w:name="_Toc72504641"/>
      <w:bookmarkEnd w:id="75"/>
      <w:bookmarkStart w:id="76" w:name="_Toc72504646"/>
      <w:bookmarkEnd w:id="76"/>
      <w:bookmarkStart w:id="77" w:name="_Toc72504613"/>
      <w:bookmarkEnd w:id="77"/>
      <w:bookmarkStart w:id="78" w:name="_Toc72487132"/>
      <w:bookmarkEnd w:id="78"/>
      <w:bookmarkStart w:id="79" w:name="_Toc72504620"/>
      <w:bookmarkEnd w:id="79"/>
      <w:bookmarkStart w:id="80" w:name="_Toc72504657"/>
      <w:bookmarkEnd w:id="80"/>
      <w:bookmarkStart w:id="81" w:name="_Toc72504644"/>
      <w:bookmarkEnd w:id="81"/>
      <w:bookmarkStart w:id="82" w:name="_Toc72504630"/>
      <w:bookmarkEnd w:id="82"/>
      <w:bookmarkStart w:id="83" w:name="_Toc72487159"/>
      <w:bookmarkEnd w:id="83"/>
      <w:bookmarkStart w:id="84" w:name="_Toc72487153"/>
      <w:bookmarkEnd w:id="84"/>
      <w:bookmarkStart w:id="85" w:name="_Toc72487168"/>
      <w:bookmarkEnd w:id="85"/>
      <w:bookmarkStart w:id="86" w:name="_Toc72504623"/>
      <w:bookmarkEnd w:id="86"/>
      <w:bookmarkStart w:id="87" w:name="_Toc72504634"/>
      <w:bookmarkEnd w:id="87"/>
      <w:bookmarkStart w:id="88" w:name="_Toc72487164"/>
      <w:bookmarkEnd w:id="88"/>
      <w:bookmarkStart w:id="89" w:name="_Toc72504607"/>
      <w:bookmarkEnd w:id="89"/>
      <w:bookmarkStart w:id="90" w:name="_Toc72487119"/>
      <w:bookmarkEnd w:id="90"/>
      <w:bookmarkStart w:id="91" w:name="_Toc72487118"/>
      <w:bookmarkEnd w:id="91"/>
      <w:bookmarkStart w:id="92" w:name="_Toc72487125"/>
      <w:bookmarkEnd w:id="92"/>
      <w:bookmarkStart w:id="93" w:name="_Toc72504610"/>
      <w:bookmarkEnd w:id="93"/>
      <w:bookmarkStart w:id="94" w:name="_Toc72504618"/>
      <w:bookmarkEnd w:id="94"/>
      <w:bookmarkStart w:id="95" w:name="_Toc72504629"/>
      <w:bookmarkEnd w:id="95"/>
      <w:bookmarkStart w:id="96" w:name="bookmark62"/>
      <w:bookmarkEnd w:id="96"/>
      <w:bookmarkStart w:id="97" w:name="_Toc72487165"/>
      <w:bookmarkEnd w:id="97"/>
      <w:bookmarkStart w:id="98" w:name="_Toc72487157"/>
      <w:bookmarkEnd w:id="98"/>
      <w:bookmarkStart w:id="99" w:name="_Toc72487161"/>
      <w:bookmarkEnd w:id="99"/>
      <w:bookmarkStart w:id="100" w:name="_Toc72487133"/>
      <w:bookmarkEnd w:id="100"/>
      <w:bookmarkStart w:id="101" w:name="_Toc72487131"/>
      <w:bookmarkEnd w:id="101"/>
      <w:bookmarkStart w:id="102" w:name="_Toc72504628"/>
      <w:bookmarkEnd w:id="102"/>
      <w:bookmarkStart w:id="103" w:name="_Toc72487163"/>
      <w:bookmarkEnd w:id="103"/>
      <w:bookmarkStart w:id="104" w:name="_Toc72504651"/>
      <w:bookmarkEnd w:id="104"/>
      <w:bookmarkStart w:id="105" w:name="_Toc72504640"/>
      <w:bookmarkEnd w:id="105"/>
      <w:bookmarkStart w:id="106" w:name="_Toc72504624"/>
      <w:bookmarkEnd w:id="106"/>
      <w:bookmarkStart w:id="107" w:name="_Toc72504647"/>
      <w:bookmarkEnd w:id="107"/>
      <w:bookmarkStart w:id="108" w:name="_Toc72504653"/>
      <w:bookmarkEnd w:id="108"/>
      <w:bookmarkStart w:id="109" w:name="_Toc72504645"/>
      <w:bookmarkEnd w:id="109"/>
      <w:bookmarkStart w:id="110" w:name="_Toc72504619"/>
      <w:bookmarkEnd w:id="110"/>
      <w:bookmarkStart w:id="111" w:name="_Toc72487156"/>
      <w:bookmarkEnd w:id="111"/>
      <w:bookmarkStart w:id="112" w:name="_Toc72487167"/>
      <w:bookmarkEnd w:id="112"/>
      <w:bookmarkStart w:id="113" w:name="_Toc72504635"/>
      <w:bookmarkEnd w:id="113"/>
      <w:bookmarkStart w:id="114" w:name="bookmark63"/>
      <w:bookmarkEnd w:id="114"/>
      <w:bookmarkStart w:id="115" w:name="_Toc72504616"/>
      <w:bookmarkEnd w:id="115"/>
      <w:bookmarkStart w:id="116" w:name="_Toc72504621"/>
      <w:bookmarkEnd w:id="116"/>
      <w:bookmarkStart w:id="117" w:name="_Toc72504654"/>
      <w:bookmarkEnd w:id="117"/>
      <w:bookmarkStart w:id="118" w:name="_Toc72504652"/>
      <w:bookmarkEnd w:id="118"/>
      <w:bookmarkStart w:id="119" w:name="_Toc72504642"/>
      <w:bookmarkEnd w:id="119"/>
      <w:bookmarkStart w:id="120" w:name="_Toc72487138"/>
      <w:bookmarkEnd w:id="120"/>
      <w:bookmarkStart w:id="121" w:name="_Toc72487126"/>
      <w:bookmarkEnd w:id="121"/>
      <w:r>
        <w:rPr>
          <w:rFonts w:ascii="黑体" w:hAnsi="黑体" w:eastAsia="黑体" w:cs="黑体"/>
          <w:b/>
          <w:bCs/>
          <w:sz w:val="24"/>
          <w:szCs w:val="24"/>
        </w:rPr>
        <w:t xml:space="preserve"> </w:t>
      </w:r>
    </w:p>
    <w:p>
      <w:pPr>
        <w:keepNext/>
        <w:keepLines/>
        <w:numPr>
          <w:ilvl w:val="1"/>
          <w:numId w:val="19"/>
        </w:numPr>
        <w:spacing w:before="0" w:beforeLines="0" w:beforeAutospacing="0" w:after="0" w:afterLines="0" w:afterAutospacing="0" w:line="360" w:lineRule="auto"/>
        <w:ind w:left="576" w:hanging="576"/>
        <w:outlineLvl w:val="1"/>
        <w:rPr>
          <w:rFonts w:hint="eastAsia" w:ascii="宋体" w:hAnsi="宋体" w:eastAsia="宋体" w:cs="Times New Roman"/>
          <w:b/>
          <w:bCs w:val="0"/>
          <w:kern w:val="20"/>
          <w:sz w:val="24"/>
          <w:szCs w:val="24"/>
          <w:lang w:val="zh-CN" w:eastAsia="zh-CN" w:bidi="ar-SA"/>
        </w:rPr>
      </w:pPr>
      <w:r>
        <w:rPr>
          <w:rFonts w:hint="eastAsia" w:ascii="宋体" w:hAnsi="宋体" w:eastAsia="宋体" w:cs="Times New Roman"/>
          <w:b/>
          <w:bCs w:val="0"/>
          <w:kern w:val="20"/>
          <w:sz w:val="24"/>
          <w:szCs w:val="24"/>
          <w:lang w:val="zh-CN" w:eastAsia="zh-CN" w:bidi="ar-SA"/>
        </w:rPr>
        <w:t>项目名称和预算</w:t>
      </w:r>
      <w:r>
        <w:rPr>
          <w:rFonts w:hint="eastAsia" w:ascii="宋体" w:hAnsi="宋体" w:eastAsia="宋体" w:cs="Times New Roman"/>
          <w:b/>
          <w:bCs w:val="0"/>
          <w:kern w:val="20"/>
          <w:sz w:val="24"/>
          <w:szCs w:val="24"/>
          <w:lang w:val="en-US" w:eastAsia="zh-CN" w:bidi="ar-SA"/>
        </w:rPr>
        <w:t>需求</w:t>
      </w:r>
    </w:p>
    <w:p>
      <w:pPr>
        <w:widowControl/>
        <w:spacing w:beforeAutospacing="0" w:line="360" w:lineRule="auto"/>
        <w:jc w:val="left"/>
        <w:rPr>
          <w:rFonts w:ascii="Cambria" w:hAnsi="Cambria"/>
          <w:kern w:val="20"/>
          <w:sz w:val="24"/>
          <w:szCs w:val="24"/>
          <w:lang w:val="zh-CN"/>
        </w:rPr>
      </w:pPr>
      <w:r>
        <w:rPr>
          <w:rFonts w:hint="eastAsia" w:ascii="Cambria" w:hAnsi="Cambria"/>
          <w:kern w:val="20"/>
          <w:sz w:val="24"/>
          <w:szCs w:val="24"/>
          <w:lang w:val="zh-CN"/>
        </w:rPr>
        <w:t>项目名称：无锡市康复医院(梁溪区中医医院)信息化建设一体化项目</w:t>
      </w:r>
    </w:p>
    <w:p>
      <w:pPr>
        <w:widowControl/>
        <w:spacing w:afterAutospacing="0" w:line="360" w:lineRule="auto"/>
        <w:jc w:val="left"/>
        <w:rPr>
          <w:rFonts w:hint="eastAsia" w:ascii="Cambria" w:hAnsi="Cambria" w:eastAsia="宋体" w:cs="Times New Roman"/>
          <w:kern w:val="20"/>
          <w:sz w:val="24"/>
          <w:szCs w:val="24"/>
          <w:lang w:val="zh-CN"/>
        </w:rPr>
      </w:pPr>
      <w:r>
        <w:rPr>
          <w:rFonts w:hint="eastAsia" w:ascii="Cambria" w:hAnsi="Cambria" w:eastAsia="宋体" w:cs="Times New Roman"/>
          <w:kern w:val="20"/>
          <w:sz w:val="24"/>
          <w:szCs w:val="24"/>
          <w:lang w:val="zh-CN"/>
        </w:rPr>
        <w:t>项目预算：</w:t>
      </w:r>
      <w:r>
        <w:rPr>
          <w:rFonts w:hint="eastAsia" w:ascii="Cambria" w:hAnsi="Cambria" w:eastAsia="宋体" w:cs="Times New Roman"/>
          <w:kern w:val="20"/>
          <w:sz w:val="24"/>
          <w:szCs w:val="24"/>
          <w:lang w:val="en-US" w:eastAsia="zh-CN"/>
        </w:rPr>
        <w:t>4000</w:t>
      </w:r>
      <w:r>
        <w:rPr>
          <w:rFonts w:hint="eastAsia" w:ascii="Cambria" w:hAnsi="Cambria" w:eastAsia="宋体" w:cs="Times New Roman"/>
          <w:kern w:val="20"/>
          <w:sz w:val="24"/>
          <w:szCs w:val="24"/>
          <w:lang w:val="zh-CN"/>
        </w:rPr>
        <w:t>万</w:t>
      </w:r>
    </w:p>
    <w:p>
      <w:pPr>
        <w:keepNext/>
        <w:keepLines/>
        <w:pageBreakBefore w:val="0"/>
        <w:numPr>
          <w:ilvl w:val="1"/>
          <w:numId w:val="19"/>
        </w:numPr>
        <w:kinsoku/>
        <w:wordWrap/>
        <w:overflowPunct/>
        <w:topLinePunct w:val="0"/>
        <w:autoSpaceDE/>
        <w:autoSpaceDN/>
        <w:bidi w:val="0"/>
        <w:adjustRightInd/>
        <w:snapToGrid/>
        <w:spacing w:beforeAutospacing="0" w:afterAutospacing="0" w:line="360" w:lineRule="auto"/>
        <w:ind w:left="576" w:hanging="576"/>
        <w:outlineLvl w:val="1"/>
        <w:rPr>
          <w:rFonts w:hint="eastAsia" w:ascii="宋体" w:hAnsi="宋体" w:eastAsia="宋体" w:cs="Times New Roman"/>
          <w:b/>
          <w:bCs w:val="0"/>
          <w:kern w:val="20"/>
          <w:sz w:val="24"/>
          <w:szCs w:val="24"/>
          <w:lang w:val="zh-CN" w:eastAsia="zh-CN" w:bidi="ar-SA"/>
        </w:rPr>
      </w:pPr>
      <w:bookmarkStart w:id="122" w:name="_Toc88568888"/>
      <w:r>
        <w:rPr>
          <w:rFonts w:hint="eastAsia" w:ascii="宋体" w:hAnsi="宋体" w:eastAsia="宋体" w:cs="Times New Roman"/>
          <w:b/>
          <w:bCs w:val="0"/>
          <w:kern w:val="20"/>
          <w:sz w:val="24"/>
          <w:szCs w:val="24"/>
          <w:lang w:val="zh-CN" w:eastAsia="zh-CN" w:bidi="ar-SA"/>
        </w:rPr>
        <w:t>项目背景</w:t>
      </w:r>
      <w:bookmarkEnd w:id="122"/>
    </w:p>
    <w:p>
      <w:pPr>
        <w:pageBreakBefore w:val="0"/>
        <w:widowControl/>
        <w:kinsoku/>
        <w:wordWrap/>
        <w:overflowPunct/>
        <w:topLinePunct w:val="0"/>
        <w:autoSpaceDE/>
        <w:autoSpaceDN/>
        <w:bidi w:val="0"/>
        <w:adjustRightInd/>
        <w:snapToGrid/>
        <w:spacing w:beforeAutospacing="0" w:line="360" w:lineRule="auto"/>
        <w:ind w:firstLine="480" w:firstLineChars="200"/>
        <w:jc w:val="left"/>
        <w:rPr>
          <w:rFonts w:ascii="宋体" w:hAnsi="Cambria"/>
          <w:bCs/>
          <w:kern w:val="20"/>
          <w:sz w:val="24"/>
          <w:szCs w:val="24"/>
          <w:lang w:val="zh-CN"/>
        </w:rPr>
      </w:pPr>
      <w:r>
        <w:rPr>
          <w:rFonts w:hint="eastAsia" w:ascii="宋体" w:hAnsi="宋体" w:cs="宋体"/>
          <w:kern w:val="20"/>
          <w:sz w:val="24"/>
          <w:szCs w:val="24"/>
          <w:lang w:val="zh-CN"/>
        </w:rPr>
        <w:t>无锡市康复医院（</w:t>
      </w:r>
      <w:r>
        <w:rPr>
          <w:rFonts w:hint="eastAsia" w:ascii="宋体" w:hAnsi="宋体" w:cs="宋体"/>
          <w:kern w:val="20"/>
          <w:sz w:val="24"/>
          <w:szCs w:val="24"/>
          <w:lang w:val="zh-CN" w:eastAsia="zh-Hans"/>
        </w:rPr>
        <w:t>梁溪区中医医院</w:t>
      </w:r>
      <w:r>
        <w:rPr>
          <w:rFonts w:hint="eastAsia" w:ascii="宋体" w:hAnsi="宋体" w:cs="宋体"/>
          <w:kern w:val="20"/>
          <w:sz w:val="24"/>
          <w:szCs w:val="24"/>
          <w:lang w:val="zh-CN"/>
        </w:rPr>
        <w:t>）暨无锡市残疾人康复中心于</w:t>
      </w:r>
      <w:r>
        <w:rPr>
          <w:rFonts w:ascii="宋体" w:hAnsi="宋体" w:cs="宋体"/>
          <w:kern w:val="20"/>
          <w:sz w:val="24"/>
          <w:szCs w:val="24"/>
          <w:lang w:val="zh-CN"/>
        </w:rPr>
        <w:t>2008</w:t>
      </w:r>
      <w:r>
        <w:rPr>
          <w:rFonts w:hint="eastAsia" w:ascii="宋体" w:hAnsi="宋体" w:cs="宋体"/>
          <w:kern w:val="20"/>
          <w:sz w:val="24"/>
          <w:szCs w:val="24"/>
          <w:lang w:val="zh-CN"/>
        </w:rPr>
        <w:t>年</w:t>
      </w:r>
      <w:r>
        <w:rPr>
          <w:rFonts w:ascii="宋体" w:hAnsi="宋体" w:cs="宋体"/>
          <w:kern w:val="20"/>
          <w:sz w:val="24"/>
          <w:szCs w:val="24"/>
          <w:lang w:val="zh-CN"/>
        </w:rPr>
        <w:t>5</w:t>
      </w:r>
      <w:r>
        <w:rPr>
          <w:rFonts w:hint="eastAsia" w:ascii="宋体" w:hAnsi="宋体" w:cs="宋体"/>
          <w:kern w:val="20"/>
          <w:sz w:val="24"/>
          <w:szCs w:val="24"/>
          <w:lang w:val="zh-CN"/>
        </w:rPr>
        <w:t>月（由原北塘区人民医院整体转型改建）正式挂牌运行。医院坐落于风景秀丽的古运河畔，占地面积约</w:t>
      </w:r>
      <w:r>
        <w:rPr>
          <w:rFonts w:ascii="宋体" w:hAnsi="宋体" w:cs="宋体"/>
          <w:kern w:val="20"/>
          <w:sz w:val="24"/>
          <w:szCs w:val="24"/>
          <w:lang w:val="zh-CN"/>
        </w:rPr>
        <w:t>20000</w:t>
      </w:r>
      <w:r>
        <w:rPr>
          <w:rFonts w:hint="eastAsia" w:ascii="宋体" w:hAnsi="宋体" w:cs="宋体"/>
          <w:kern w:val="20"/>
          <w:sz w:val="24"/>
          <w:szCs w:val="24"/>
          <w:lang w:val="zh-CN"/>
        </w:rPr>
        <w:t>平方米，独立用房面积</w:t>
      </w:r>
      <w:r>
        <w:rPr>
          <w:rFonts w:ascii="宋体" w:hAnsi="宋体" w:cs="宋体"/>
          <w:kern w:val="20"/>
          <w:sz w:val="24"/>
          <w:szCs w:val="24"/>
          <w:lang w:val="zh-CN"/>
        </w:rPr>
        <w:t>3</w:t>
      </w:r>
      <w:r>
        <w:rPr>
          <w:rFonts w:hint="eastAsia" w:ascii="宋体" w:hAnsi="宋体" w:cs="宋体"/>
          <w:kern w:val="20"/>
          <w:sz w:val="24"/>
          <w:szCs w:val="24"/>
          <w:lang w:val="zh-CN"/>
        </w:rPr>
        <w:t>万平方米，开放床位</w:t>
      </w:r>
      <w:r>
        <w:rPr>
          <w:rFonts w:ascii="宋体" w:hAnsi="宋体" w:cs="宋体"/>
          <w:kern w:val="20"/>
          <w:sz w:val="24"/>
          <w:szCs w:val="24"/>
          <w:lang w:val="zh-CN"/>
        </w:rPr>
        <w:t>474</w:t>
      </w:r>
      <w:r>
        <w:rPr>
          <w:rFonts w:hint="eastAsia" w:ascii="宋体" w:hAnsi="宋体" w:cs="宋体"/>
          <w:kern w:val="20"/>
          <w:sz w:val="24"/>
          <w:szCs w:val="24"/>
          <w:lang w:val="zh-CN"/>
        </w:rPr>
        <w:t>张（其中包含运河分院床位</w:t>
      </w:r>
      <w:r>
        <w:rPr>
          <w:rFonts w:ascii="宋体" w:hAnsi="宋体" w:cs="宋体"/>
          <w:kern w:val="20"/>
          <w:sz w:val="24"/>
          <w:szCs w:val="24"/>
          <w:lang w:val="zh-CN"/>
        </w:rPr>
        <w:t>60</w:t>
      </w:r>
      <w:r>
        <w:rPr>
          <w:rFonts w:hint="eastAsia" w:ascii="宋体" w:hAnsi="宋体" w:cs="宋体"/>
          <w:kern w:val="20"/>
          <w:sz w:val="24"/>
          <w:szCs w:val="24"/>
          <w:lang w:val="zh-CN"/>
        </w:rPr>
        <w:t>张），其中康复床位</w:t>
      </w:r>
      <w:r>
        <w:rPr>
          <w:rFonts w:ascii="宋体" w:hAnsi="宋体" w:cs="宋体"/>
          <w:kern w:val="20"/>
          <w:sz w:val="24"/>
          <w:szCs w:val="24"/>
          <w:lang w:val="zh-CN"/>
        </w:rPr>
        <w:t>300</w:t>
      </w:r>
      <w:r>
        <w:rPr>
          <w:rFonts w:hint="eastAsia" w:ascii="宋体" w:hAnsi="宋体" w:cs="宋体"/>
          <w:kern w:val="20"/>
          <w:sz w:val="24"/>
          <w:szCs w:val="24"/>
          <w:lang w:val="zh-CN"/>
        </w:rPr>
        <w:t>张，综合医疗床位</w:t>
      </w:r>
      <w:r>
        <w:rPr>
          <w:rFonts w:ascii="宋体" w:hAnsi="宋体" w:cs="宋体"/>
          <w:kern w:val="20"/>
          <w:sz w:val="24"/>
          <w:szCs w:val="24"/>
          <w:lang w:val="zh-CN"/>
        </w:rPr>
        <w:t>174</w:t>
      </w:r>
      <w:r>
        <w:rPr>
          <w:rFonts w:hint="eastAsia" w:ascii="宋体" w:hAnsi="宋体" w:cs="宋体"/>
          <w:kern w:val="20"/>
          <w:sz w:val="24"/>
          <w:szCs w:val="24"/>
          <w:lang w:val="zh-CN"/>
        </w:rPr>
        <w:t>张，拥有</w:t>
      </w:r>
      <w:r>
        <w:rPr>
          <w:rFonts w:ascii="宋体" w:hAnsi="宋体" w:cs="宋体"/>
          <w:kern w:val="20"/>
          <w:sz w:val="24"/>
          <w:szCs w:val="24"/>
          <w:lang w:val="zh-CN"/>
        </w:rPr>
        <w:t>4</w:t>
      </w:r>
      <w:r>
        <w:rPr>
          <w:rFonts w:hint="eastAsia" w:ascii="宋体" w:hAnsi="宋体" w:cs="宋体"/>
          <w:kern w:val="20"/>
          <w:sz w:val="24"/>
          <w:szCs w:val="24"/>
          <w:lang w:val="zh-CN"/>
        </w:rPr>
        <w:t>个层流手术室，是一所集康复临床、综合、教学、科研、预防、保健为一体的二级公立医院。</w:t>
      </w:r>
      <w:r>
        <w:rPr>
          <w:rFonts w:hint="eastAsia" w:ascii="宋体" w:hAnsi="宋体"/>
          <w:bCs/>
          <w:kern w:val="20"/>
          <w:sz w:val="24"/>
          <w:szCs w:val="24"/>
          <w:lang w:val="zh-CN"/>
        </w:rPr>
        <w:t>医院以“公益做事、病人至上、员工为主”为宗旨，着力构建现代临床康复医疗特色。医院按中残联三级康复中心标准规划建设，开设神经康复科、骨关节康复科、老年康复科、心肺康复科、视力康复科、听力康复科、儿童康复科、疼痛康复科、康复评定科以及内科、外科、肿瘤科、妇产科、儿科、眼科、皮肤科、五官科、口腔科、中医伤骨科、中医内科、精神科、医学检验科、放射科、功能科等近</w:t>
      </w:r>
      <w:r>
        <w:rPr>
          <w:rFonts w:ascii="宋体" w:hAnsi="宋体"/>
          <w:bCs/>
          <w:kern w:val="20"/>
          <w:sz w:val="24"/>
          <w:szCs w:val="24"/>
          <w:lang w:val="zh-CN"/>
        </w:rPr>
        <w:t>30</w:t>
      </w:r>
      <w:r>
        <w:rPr>
          <w:rFonts w:hint="eastAsia" w:ascii="宋体" w:hAnsi="宋体"/>
          <w:bCs/>
          <w:kern w:val="20"/>
          <w:sz w:val="24"/>
          <w:szCs w:val="24"/>
          <w:lang w:val="zh-CN"/>
        </w:rPr>
        <w:t>个科室。其中儿童康复科已通过了江苏省残疾人康复机构三级认证考评，神经康复科</w:t>
      </w:r>
      <w:r>
        <w:rPr>
          <w:rFonts w:ascii="宋体" w:hAnsi="宋体"/>
          <w:bCs/>
          <w:kern w:val="20"/>
          <w:sz w:val="24"/>
          <w:szCs w:val="24"/>
          <w:lang w:val="zh-CN"/>
        </w:rPr>
        <w:t>2016</w:t>
      </w:r>
      <w:r>
        <w:rPr>
          <w:rFonts w:hint="eastAsia" w:ascii="宋体" w:hAnsi="宋体"/>
          <w:bCs/>
          <w:kern w:val="20"/>
          <w:sz w:val="24"/>
          <w:szCs w:val="24"/>
          <w:lang w:val="zh-CN"/>
        </w:rPr>
        <w:t>年被授予无锡二级医院特色专科，</w:t>
      </w:r>
      <w:r>
        <w:rPr>
          <w:rFonts w:ascii="宋体" w:hAnsi="宋体"/>
          <w:bCs/>
          <w:kern w:val="20"/>
          <w:sz w:val="24"/>
          <w:szCs w:val="24"/>
          <w:lang w:val="zh-CN"/>
        </w:rPr>
        <w:t>2019</w:t>
      </w:r>
      <w:r>
        <w:rPr>
          <w:rFonts w:hint="eastAsia" w:ascii="宋体" w:hAnsi="宋体"/>
          <w:bCs/>
          <w:kern w:val="20"/>
          <w:sz w:val="24"/>
          <w:szCs w:val="24"/>
          <w:lang w:val="zh-CN"/>
        </w:rPr>
        <w:t>年神经康复科顺利通过复评、儿童康复科被授予无锡二级医院特色专科。</w:t>
      </w:r>
    </w:p>
    <w:p>
      <w:pPr>
        <w:pageBreakBefore w:val="0"/>
        <w:widowControl/>
        <w:kinsoku/>
        <w:wordWrap/>
        <w:overflowPunct/>
        <w:topLinePunct w:val="0"/>
        <w:autoSpaceDE/>
        <w:autoSpaceDN/>
        <w:bidi w:val="0"/>
        <w:adjustRightInd/>
        <w:snapToGrid/>
        <w:spacing w:afterAutospacing="0" w:line="360" w:lineRule="auto"/>
        <w:ind w:firstLine="480" w:firstLineChars="200"/>
        <w:jc w:val="left"/>
        <w:rPr>
          <w:rFonts w:ascii="宋体" w:hAnsi="Cambria"/>
          <w:bCs/>
          <w:kern w:val="20"/>
          <w:sz w:val="24"/>
          <w:szCs w:val="24"/>
          <w:lang w:val="zh-CN"/>
        </w:rPr>
      </w:pPr>
      <w:r>
        <w:rPr>
          <w:rFonts w:hint="eastAsia" w:ascii="宋体" w:hAnsi="宋体"/>
          <w:bCs/>
          <w:kern w:val="20"/>
          <w:sz w:val="24"/>
          <w:szCs w:val="24"/>
          <w:lang w:val="zh-CN"/>
        </w:rPr>
        <w:t>无锡市康复医院新建院区座位于梁溪区江海快速路与钱皋路交叉口东南侧，</w:t>
      </w:r>
      <w:r>
        <w:rPr>
          <w:rFonts w:hint="eastAsia" w:ascii="宋体" w:hAnsi="宋体" w:eastAsia="宋体" w:cs="Times New Roman"/>
          <w:bCs/>
          <w:kern w:val="20"/>
          <w:sz w:val="24"/>
          <w:szCs w:val="24"/>
          <w:lang w:val="zh-CN"/>
        </w:rPr>
        <w:t>总建筑面积86670平方米，开放床位约450张，</w:t>
      </w:r>
      <w:r>
        <w:rPr>
          <w:rFonts w:hint="eastAsia" w:ascii="宋体" w:hAnsi="宋体"/>
          <w:bCs/>
          <w:kern w:val="20"/>
          <w:sz w:val="24"/>
          <w:szCs w:val="24"/>
          <w:lang w:val="zh-CN"/>
        </w:rPr>
        <w:t>将成为科室齐全、设备先进、设施完善、技术力量雄厚、环境质量优美、达到具有国际水平的国内一流二级甲等专科医院，未来向三级医院迈进。该新院区建成后将是一家现代化设施的医疗机构，同时无锡市康复医院现址也将保留一部分功能。</w:t>
      </w:r>
      <w:r>
        <w:rPr>
          <w:rFonts w:hint="eastAsia" w:ascii="宋体" w:hAnsi="宋体" w:cs="宋体"/>
          <w:kern w:val="20"/>
          <w:sz w:val="24"/>
          <w:szCs w:val="24"/>
          <w:lang w:val="zh-CN"/>
        </w:rPr>
        <w:t>按照二级中医医院标准，新医院设置</w:t>
      </w:r>
      <w:r>
        <w:rPr>
          <w:rFonts w:ascii="宋体" w:hAnsi="宋体" w:cs="宋体"/>
          <w:kern w:val="20"/>
          <w:sz w:val="24"/>
          <w:szCs w:val="24"/>
          <w:lang w:val="zh-CN"/>
        </w:rPr>
        <w:t>20</w:t>
      </w:r>
      <w:r>
        <w:rPr>
          <w:rFonts w:hint="eastAsia" w:ascii="宋体" w:hAnsi="宋体" w:cs="宋体"/>
          <w:kern w:val="20"/>
          <w:sz w:val="24"/>
          <w:szCs w:val="24"/>
          <w:lang w:val="zh-CN"/>
        </w:rPr>
        <w:t>个职能科室，</w:t>
      </w:r>
      <w:r>
        <w:rPr>
          <w:rFonts w:ascii="宋体" w:hAnsi="宋体" w:cs="宋体"/>
          <w:kern w:val="20"/>
          <w:sz w:val="24"/>
          <w:szCs w:val="24"/>
          <w:lang w:val="zh-CN"/>
        </w:rPr>
        <w:t>16</w:t>
      </w:r>
      <w:r>
        <w:rPr>
          <w:rFonts w:hint="eastAsia" w:ascii="宋体" w:hAnsi="宋体" w:cs="宋体"/>
          <w:kern w:val="20"/>
          <w:sz w:val="24"/>
          <w:szCs w:val="24"/>
          <w:lang w:val="zh-CN"/>
        </w:rPr>
        <w:t>个临床一级科室，</w:t>
      </w:r>
      <w:r>
        <w:rPr>
          <w:rFonts w:ascii="宋体" w:hAnsi="宋体" w:cs="宋体"/>
          <w:kern w:val="20"/>
          <w:sz w:val="24"/>
          <w:szCs w:val="24"/>
          <w:lang w:val="zh-CN"/>
        </w:rPr>
        <w:t>8</w:t>
      </w:r>
      <w:r>
        <w:rPr>
          <w:rFonts w:hint="eastAsia" w:ascii="宋体" w:hAnsi="宋体" w:cs="宋体"/>
          <w:kern w:val="20"/>
          <w:sz w:val="24"/>
          <w:szCs w:val="24"/>
          <w:lang w:val="zh-CN"/>
        </w:rPr>
        <w:t>个医技科，将建成一家集中医医疗、科研、教学、预防、康复、健康管理、急救等为一体的现代化二级甲等专科医院</w:t>
      </w:r>
      <w:r>
        <w:rPr>
          <w:rFonts w:hint="eastAsia" w:ascii="宋体" w:hAnsi="Cambria"/>
          <w:bCs/>
          <w:kern w:val="20"/>
          <w:sz w:val="24"/>
          <w:szCs w:val="24"/>
          <w:lang w:val="zh-CN"/>
        </w:rPr>
        <w:t>,新址无锡市康复医院(</w:t>
      </w:r>
      <w:r>
        <w:rPr>
          <w:rFonts w:hint="eastAsia" w:ascii="宋体" w:hAnsi="宋体" w:cs="宋体"/>
          <w:kern w:val="20"/>
          <w:sz w:val="24"/>
          <w:szCs w:val="24"/>
          <w:lang w:val="zh-CN" w:eastAsia="zh-Hans"/>
        </w:rPr>
        <w:t>梁溪区中医医院</w:t>
      </w:r>
      <w:r>
        <w:rPr>
          <w:rFonts w:hint="eastAsia" w:ascii="宋体" w:hAnsi="Cambria"/>
          <w:bCs/>
          <w:kern w:val="20"/>
          <w:sz w:val="24"/>
          <w:szCs w:val="24"/>
          <w:lang w:val="zh-CN"/>
        </w:rPr>
        <w:t>)建设完成后将</w:t>
      </w:r>
      <w:r>
        <w:rPr>
          <w:rFonts w:hint="eastAsia" w:ascii="宋体" w:hAnsi="宋体"/>
          <w:bCs/>
          <w:kern w:val="20"/>
          <w:sz w:val="24"/>
          <w:szCs w:val="24"/>
          <w:lang w:val="zh-CN"/>
        </w:rPr>
        <w:t>填补山北、黄巷、惠山街道范围内中等规模医疗机构的空白，直接辐射周边居民约</w:t>
      </w:r>
      <w:r>
        <w:rPr>
          <w:rFonts w:ascii="宋体" w:hAnsi="宋体"/>
          <w:bCs/>
          <w:kern w:val="20"/>
          <w:sz w:val="24"/>
          <w:szCs w:val="24"/>
          <w:lang w:val="zh-CN"/>
        </w:rPr>
        <w:t>27</w:t>
      </w:r>
      <w:r>
        <w:rPr>
          <w:rFonts w:hint="eastAsia" w:ascii="宋体" w:hAnsi="宋体"/>
          <w:bCs/>
          <w:kern w:val="20"/>
          <w:sz w:val="24"/>
          <w:szCs w:val="24"/>
          <w:lang w:val="zh-CN"/>
        </w:rPr>
        <w:t>万人。</w:t>
      </w:r>
    </w:p>
    <w:p>
      <w:pPr>
        <w:keepNext/>
        <w:keepLines/>
        <w:pageBreakBefore w:val="0"/>
        <w:numPr>
          <w:ilvl w:val="1"/>
          <w:numId w:val="19"/>
        </w:numPr>
        <w:kinsoku/>
        <w:wordWrap/>
        <w:overflowPunct/>
        <w:topLinePunct w:val="0"/>
        <w:autoSpaceDE/>
        <w:autoSpaceDN/>
        <w:bidi w:val="0"/>
        <w:adjustRightInd/>
        <w:snapToGrid/>
        <w:spacing w:before="0" w:beforeLines="0" w:beforeAutospacing="0" w:after="0" w:afterLines="0" w:afterAutospacing="0" w:line="360" w:lineRule="auto"/>
        <w:ind w:left="576" w:hanging="576"/>
        <w:outlineLvl w:val="1"/>
        <w:rPr>
          <w:rFonts w:ascii="宋体" w:hAnsi="等线 Light" w:eastAsia="宋体" w:cs="Times New Roman"/>
          <w:b/>
          <w:bCs w:val="0"/>
          <w:kern w:val="20"/>
          <w:sz w:val="24"/>
          <w:szCs w:val="24"/>
          <w:lang w:val="en-US" w:eastAsia="zh-CN" w:bidi="ar-SA"/>
        </w:rPr>
      </w:pPr>
      <w:bookmarkStart w:id="123" w:name="_Toc88568889"/>
      <w:r>
        <w:rPr>
          <w:rFonts w:hint="eastAsia" w:ascii="宋体" w:hAnsi="宋体" w:eastAsia="宋体" w:cs="Times New Roman"/>
          <w:b/>
          <w:bCs w:val="0"/>
          <w:kern w:val="20"/>
          <w:sz w:val="24"/>
          <w:szCs w:val="24"/>
          <w:lang w:val="en-US" w:eastAsia="zh-CN" w:bidi="ar-SA"/>
        </w:rPr>
        <w:t>建设目标</w:t>
      </w:r>
      <w:bookmarkEnd w:id="123"/>
    </w:p>
    <w:p>
      <w:pPr>
        <w:pageBreakBefore w:val="0"/>
        <w:widowControl/>
        <w:kinsoku/>
        <w:wordWrap/>
        <w:overflowPunct/>
        <w:topLinePunct w:val="0"/>
        <w:autoSpaceDE/>
        <w:autoSpaceDN/>
        <w:bidi w:val="0"/>
        <w:adjustRightInd/>
        <w:snapToGrid/>
        <w:spacing w:beforeAutospacing="0" w:line="360" w:lineRule="auto"/>
        <w:ind w:firstLine="480" w:firstLineChars="200"/>
        <w:jc w:val="left"/>
        <w:rPr>
          <w:rFonts w:ascii="宋体" w:hAnsi="Cambria" w:cs="宋体"/>
          <w:kern w:val="20"/>
          <w:sz w:val="24"/>
          <w:szCs w:val="24"/>
          <w:lang w:val="zh-CN"/>
        </w:rPr>
      </w:pPr>
      <w:r>
        <w:rPr>
          <w:rFonts w:hint="eastAsia" w:ascii="宋体" w:hAnsi="宋体" w:cs="宋体"/>
          <w:kern w:val="20"/>
          <w:sz w:val="24"/>
          <w:szCs w:val="24"/>
          <w:lang w:val="zh-CN"/>
        </w:rPr>
        <w:t>本项目以无锡市康复医院新院区建设为契机，构建以病人为中心、电子病历为核心、精细化管理为目标的多院区集中管控的医疗信息化体系。</w:t>
      </w:r>
    </w:p>
    <w:p>
      <w:pPr>
        <w:pageBreakBefore w:val="0"/>
        <w:widowControl/>
        <w:kinsoku/>
        <w:wordWrap/>
        <w:overflowPunct/>
        <w:topLinePunct w:val="0"/>
        <w:autoSpaceDE/>
        <w:autoSpaceDN/>
        <w:bidi w:val="0"/>
        <w:adjustRightInd/>
        <w:snapToGrid/>
        <w:spacing w:line="360" w:lineRule="auto"/>
        <w:ind w:firstLine="480" w:firstLineChars="200"/>
        <w:jc w:val="left"/>
        <w:rPr>
          <w:rFonts w:ascii="宋体" w:hAnsi="Cambria" w:cs="宋体"/>
          <w:kern w:val="20"/>
          <w:sz w:val="24"/>
          <w:szCs w:val="24"/>
          <w:lang w:val="zh-CN"/>
        </w:rPr>
      </w:pPr>
      <w:r>
        <w:rPr>
          <w:rFonts w:hint="eastAsia" w:ascii="宋体" w:hAnsi="宋体" w:cs="宋体"/>
          <w:kern w:val="20"/>
          <w:sz w:val="24"/>
          <w:szCs w:val="24"/>
          <w:lang w:val="zh-CN"/>
        </w:rPr>
        <w:t>根据国内外先进建设经验、医院建设发展战略要求，结合无锡市康复医院管理思想和自身特色，利用云计算、大数据、人工智能、物联网等先进技术，对医院信息化建设进行顶层规划，优化与创新患者服务流程，提高医护人员的工作效率，减少医疗活动中的差错，</w:t>
      </w:r>
      <w:r>
        <w:rPr>
          <w:rFonts w:hint="eastAsia" w:ascii="宋体" w:hAnsi="宋体" w:eastAsia="宋体" w:cs="宋体"/>
          <w:kern w:val="20"/>
          <w:sz w:val="24"/>
          <w:szCs w:val="24"/>
          <w:lang w:val="zh-CN"/>
        </w:rPr>
        <w:t>提升</w:t>
      </w:r>
      <w:r>
        <w:rPr>
          <w:rFonts w:hint="eastAsia" w:ascii="宋体" w:hAnsi="宋体" w:cs="宋体"/>
          <w:kern w:val="20"/>
          <w:sz w:val="24"/>
          <w:szCs w:val="24"/>
          <w:lang w:val="zh-CN"/>
        </w:rPr>
        <w:t>医疗服务质量，辅助现代医院运营管理，实现</w:t>
      </w:r>
      <w:r>
        <w:rPr>
          <w:rFonts w:hint="eastAsia" w:ascii="宋体" w:hAnsi="Cambria" w:cs="宋体"/>
          <w:kern w:val="20"/>
          <w:sz w:val="24"/>
          <w:szCs w:val="24"/>
          <w:lang w:val="zh-CN"/>
        </w:rPr>
        <w:t>“</w:t>
      </w:r>
      <w:r>
        <w:rPr>
          <w:rFonts w:hint="eastAsia" w:ascii="宋体" w:hAnsi="宋体" w:cs="宋体"/>
          <w:kern w:val="20"/>
          <w:sz w:val="24"/>
          <w:szCs w:val="24"/>
          <w:lang w:val="zh-CN"/>
        </w:rPr>
        <w:t>高水平康复</w:t>
      </w:r>
      <w:r>
        <w:rPr>
          <w:rFonts w:hint="eastAsia" w:ascii="宋体" w:hAnsi="宋体" w:cs="宋体"/>
          <w:kern w:val="20"/>
          <w:sz w:val="24"/>
          <w:szCs w:val="24"/>
          <w:lang w:val="zh-CN" w:eastAsia="zh-CN"/>
        </w:rPr>
        <w:t>、中医</w:t>
      </w:r>
      <w:r>
        <w:rPr>
          <w:rFonts w:hint="eastAsia" w:ascii="宋体" w:hAnsi="宋体" w:cs="宋体"/>
          <w:kern w:val="20"/>
          <w:sz w:val="24"/>
          <w:szCs w:val="24"/>
          <w:lang w:val="zh-CN"/>
        </w:rPr>
        <w:t>专科医院</w:t>
      </w:r>
      <w:r>
        <w:rPr>
          <w:rFonts w:hint="eastAsia" w:ascii="宋体" w:hAnsi="Cambria" w:cs="宋体"/>
          <w:kern w:val="20"/>
          <w:sz w:val="24"/>
          <w:szCs w:val="24"/>
          <w:lang w:val="zh-CN"/>
        </w:rPr>
        <w:t>”</w:t>
      </w:r>
      <w:r>
        <w:rPr>
          <w:rFonts w:hint="eastAsia" w:ascii="宋体" w:hAnsi="宋体" w:cs="宋体"/>
          <w:kern w:val="20"/>
          <w:sz w:val="24"/>
          <w:szCs w:val="24"/>
          <w:lang w:val="zh-CN"/>
        </w:rPr>
        <w:t>。</w:t>
      </w:r>
    </w:p>
    <w:p>
      <w:pPr>
        <w:pageBreakBefore w:val="0"/>
        <w:widowControl w:val="0"/>
        <w:kinsoku/>
        <w:wordWrap/>
        <w:overflowPunct/>
        <w:topLinePunct w:val="0"/>
        <w:autoSpaceDE/>
        <w:autoSpaceDN/>
        <w:bidi w:val="0"/>
        <w:adjustRightInd/>
        <w:snapToGrid/>
        <w:spacing w:line="360" w:lineRule="auto"/>
        <w:ind w:left="0"/>
        <w:rPr>
          <w:rFonts w:hint="eastAsia" w:ascii="宋体" w:hAnsi="宋体" w:eastAsia="宋体" w:cs="Times New Roman"/>
          <w:bCs/>
          <w:smallCaps/>
          <w:kern w:val="2"/>
          <w:sz w:val="24"/>
          <w:szCs w:val="24"/>
          <w:lang w:val="en-US" w:eastAsia="zh-CN" w:bidi="ar-SA"/>
        </w:rPr>
      </w:pPr>
      <w:r>
        <w:rPr>
          <w:rFonts w:hint="eastAsia" w:ascii="宋体" w:hAnsi="宋体" w:eastAsia="宋体" w:cs="Times New Roman"/>
          <w:bCs/>
          <w:smallCaps/>
          <w:kern w:val="2"/>
          <w:sz w:val="24"/>
          <w:szCs w:val="24"/>
          <w:lang w:val="en-US" w:eastAsia="zh-CN" w:bidi="ar-SA"/>
        </w:rPr>
        <w:t>具体</w:t>
      </w:r>
      <w:r>
        <w:rPr>
          <w:rFonts w:hint="eastAsia" w:ascii="宋体" w:hAnsi="宋体" w:eastAsia="宋体" w:cs="Times New Roman"/>
          <w:bCs/>
          <w:smallCaps/>
          <w:kern w:val="2"/>
          <w:sz w:val="24"/>
          <w:szCs w:val="24"/>
          <w:lang w:val="en-US" w:eastAsia="zh-Hans" w:bidi="ar-SA"/>
        </w:rPr>
        <w:t>建设</w:t>
      </w:r>
      <w:r>
        <w:rPr>
          <w:rFonts w:hint="eastAsia" w:ascii="宋体" w:hAnsi="宋体" w:eastAsia="宋体" w:cs="Times New Roman"/>
          <w:bCs/>
          <w:smallCaps/>
          <w:kern w:val="2"/>
          <w:sz w:val="24"/>
          <w:szCs w:val="24"/>
          <w:lang w:val="en-US" w:eastAsia="zh-CN" w:bidi="ar-SA"/>
        </w:rPr>
        <w:t>目标如下：</w:t>
      </w:r>
      <w:bookmarkStart w:id="124" w:name="_Toc17232110"/>
      <w:bookmarkStart w:id="125" w:name="_Toc1619494343"/>
    </w:p>
    <w:bookmarkEnd w:id="124"/>
    <w:bookmarkEnd w:id="125"/>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1、医院信息化建设达到电子病历系统应用水平分级评价标准五级水平，通过五级测评。</w:t>
      </w:r>
      <w:bookmarkStart w:id="126" w:name="_Toc17232111"/>
      <w:bookmarkStart w:id="127" w:name="_Toc1633680723"/>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2、医院信息化建设达到互联互通标准化成熟度达到四级甲等水平，通过四级甲等评测</w:t>
      </w:r>
      <w:bookmarkEnd w:id="126"/>
      <w:bookmarkEnd w:id="127"/>
      <w:r>
        <w:rPr>
          <w:rFonts w:hint="eastAsia" w:ascii="宋体" w:hAnsi="宋体" w:eastAsia="宋体" w:cs="宋体"/>
          <w:kern w:val="20"/>
          <w:sz w:val="24"/>
          <w:szCs w:val="24"/>
          <w:lang w:val="zh-CN"/>
        </w:rPr>
        <w:t>。</w:t>
      </w:r>
      <w:bookmarkStart w:id="128" w:name="_Toc1693484566"/>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3、医院智慧服务分级评估达到三级水平</w:t>
      </w:r>
      <w:bookmarkEnd w:id="128"/>
      <w:r>
        <w:rPr>
          <w:rFonts w:hint="eastAsia" w:ascii="宋体" w:hAnsi="宋体" w:eastAsia="宋体" w:cs="宋体"/>
          <w:kern w:val="20"/>
          <w:sz w:val="24"/>
          <w:szCs w:val="24"/>
          <w:lang w:val="zh-CN"/>
        </w:rPr>
        <w:t>。</w:t>
      </w:r>
      <w:bookmarkStart w:id="129" w:name="_Toc1794327071"/>
      <w:bookmarkStart w:id="130" w:name="_Toc17232112"/>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4、夯实现有信息化基础实现院内业务系统信息全覆盖，实现院内业务系统数据共享提高工作人员效率，突出康复及中医特色，实现全院信息化</w:t>
      </w:r>
      <w:bookmarkEnd w:id="129"/>
      <w:bookmarkEnd w:id="130"/>
      <w:r>
        <w:rPr>
          <w:rFonts w:hint="eastAsia" w:ascii="宋体" w:hAnsi="宋体" w:eastAsia="宋体" w:cs="宋体"/>
          <w:kern w:val="20"/>
          <w:sz w:val="24"/>
          <w:szCs w:val="24"/>
          <w:lang w:val="zh-CN"/>
        </w:rPr>
        <w:t>。</w:t>
      </w:r>
      <w:bookmarkStart w:id="131" w:name="_Toc17232113"/>
      <w:bookmarkStart w:id="132" w:name="_Toc142227476"/>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5、围绕医院高质量数据建设，利用信息化手段开展医疗质量管理与控制工作，提供公立医院绩效考核、病案首页质控、DRG服务能力评价、精细化绩效成本核算等系统详细方案。</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6、完善院内诊前、诊中、诊后服务方案，提升病人服务满意度</w:t>
      </w:r>
      <w:bookmarkEnd w:id="131"/>
      <w:bookmarkEnd w:id="132"/>
      <w:r>
        <w:rPr>
          <w:rFonts w:hint="eastAsia" w:ascii="宋体" w:hAnsi="宋体" w:eastAsia="宋体" w:cs="宋体"/>
          <w:kern w:val="20"/>
          <w:sz w:val="24"/>
          <w:szCs w:val="24"/>
          <w:lang w:val="zh-CN"/>
        </w:rPr>
        <w:t>。</w:t>
      </w:r>
      <w:bookmarkStart w:id="133" w:name="_Toc17232114"/>
      <w:bookmarkStart w:id="134" w:name="_Toc267890021"/>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7、完善医疗质控体系辅助临床医疗决策支持，提高临床治疗水平，降低医疗风险</w:t>
      </w:r>
      <w:bookmarkEnd w:id="133"/>
      <w:bookmarkEnd w:id="134"/>
      <w:r>
        <w:rPr>
          <w:rFonts w:hint="eastAsia" w:ascii="宋体" w:hAnsi="宋体" w:eastAsia="宋体" w:cs="宋体"/>
          <w:kern w:val="20"/>
          <w:sz w:val="24"/>
          <w:szCs w:val="24"/>
          <w:lang w:val="zh-CN"/>
        </w:rPr>
        <w:t>。</w:t>
      </w:r>
    </w:p>
    <w:p>
      <w:pPr>
        <w:pageBreakBefore w:val="0"/>
        <w:widowControl/>
        <w:kinsoku/>
        <w:wordWrap/>
        <w:overflowPunct/>
        <w:topLinePunct w:val="0"/>
        <w:autoSpaceDE/>
        <w:autoSpaceDN/>
        <w:bidi w:val="0"/>
        <w:adjustRightInd/>
        <w:snapToGrid/>
        <w:spacing w:afterAutospacing="0" w:line="360" w:lineRule="auto"/>
        <w:ind w:firstLine="480" w:firstLineChars="200"/>
        <w:jc w:val="left"/>
        <w:rPr>
          <w:rFonts w:hint="eastAsia" w:ascii="宋体" w:hAnsi="宋体" w:eastAsia="宋体" w:cs="宋体"/>
          <w:kern w:val="20"/>
          <w:sz w:val="24"/>
          <w:szCs w:val="24"/>
          <w:lang w:val="zh-CN"/>
        </w:rPr>
      </w:pPr>
      <w:r>
        <w:rPr>
          <w:rFonts w:hint="eastAsia" w:ascii="宋体" w:hAnsi="宋体" w:eastAsia="宋体" w:cs="宋体"/>
          <w:kern w:val="20"/>
          <w:sz w:val="24"/>
          <w:szCs w:val="24"/>
          <w:lang w:val="zh-CN"/>
        </w:rPr>
        <w:t>8、本项目涉及信息安全按照等保2.0三级安全标准。</w:t>
      </w:r>
    </w:p>
    <w:p>
      <w:pPr>
        <w:keepNext/>
        <w:keepLines/>
        <w:pageBreakBefore w:val="0"/>
        <w:numPr>
          <w:ilvl w:val="1"/>
          <w:numId w:val="19"/>
        </w:numPr>
        <w:kinsoku/>
        <w:wordWrap/>
        <w:overflowPunct/>
        <w:topLinePunct w:val="0"/>
        <w:autoSpaceDE/>
        <w:autoSpaceDN/>
        <w:bidi w:val="0"/>
        <w:adjustRightInd/>
        <w:snapToGrid/>
        <w:spacing w:before="0" w:beforeLines="0" w:beforeAutospacing="0" w:after="0" w:afterLines="0" w:afterAutospacing="0" w:line="360" w:lineRule="auto"/>
        <w:ind w:left="576" w:hanging="576"/>
        <w:outlineLvl w:val="1"/>
        <w:rPr>
          <w:rFonts w:hint="eastAsia" w:ascii="宋体" w:hAnsi="宋体" w:eastAsia="宋体" w:cs="Times New Roman"/>
          <w:b/>
          <w:bCs w:val="0"/>
          <w:kern w:val="20"/>
          <w:sz w:val="24"/>
          <w:szCs w:val="24"/>
          <w:lang w:val="en-US" w:eastAsia="zh-CN" w:bidi="ar-SA"/>
        </w:rPr>
      </w:pPr>
      <w:r>
        <w:rPr>
          <w:rFonts w:hint="eastAsia" w:ascii="宋体" w:hAnsi="宋体" w:eastAsia="宋体" w:cs="Times New Roman"/>
          <w:b/>
          <w:bCs w:val="0"/>
          <w:kern w:val="20"/>
          <w:sz w:val="24"/>
          <w:szCs w:val="24"/>
          <w:lang w:val="en-US" w:eastAsia="zh-CN" w:bidi="ar-SA"/>
        </w:rPr>
        <w:t>建设要求及清单</w:t>
      </w:r>
    </w:p>
    <w:p>
      <w:pPr>
        <w:pageBreakBefore w:val="0"/>
        <w:widowControl/>
        <w:kinsoku/>
        <w:wordWrap/>
        <w:overflowPunct/>
        <w:topLinePunct w:val="0"/>
        <w:autoSpaceDE/>
        <w:autoSpaceDN/>
        <w:bidi w:val="0"/>
        <w:adjustRightInd/>
        <w:snapToGrid/>
        <w:spacing w:beforeAutospacing="0"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本信息化项目实行</w:t>
      </w:r>
      <w:r>
        <w:rPr>
          <w:rFonts w:hint="eastAsia" w:ascii="宋体" w:hAnsi="宋体" w:cs="宋体"/>
          <w:kern w:val="20"/>
          <w:sz w:val="24"/>
          <w:szCs w:val="24"/>
          <w:lang w:val="zh-CN" w:eastAsia="zh-Hans"/>
        </w:rPr>
        <w:t>一体化</w:t>
      </w:r>
      <w:r>
        <w:rPr>
          <w:rFonts w:hint="eastAsia" w:ascii="宋体" w:hAnsi="宋体" w:eastAsia="宋体" w:cs="宋体"/>
          <w:kern w:val="20"/>
          <w:sz w:val="24"/>
          <w:szCs w:val="24"/>
          <w:lang w:val="zh-CN" w:eastAsia="zh-Hans"/>
        </w:rPr>
        <w:t>总承包方式进行，包括无锡市康复医院(梁溪区中医医院)信息系统的整体方案设计以及实施、旧址信息系统的升级改造及数据迁移，国家各项标准的评测等服务、所有新旧系统的接口开发对接、设备端口的对接服务以及核心系统架构和新增的医院信息化建设内容，配备软件实施过程中所需硬件设备（包括各工作站、移动护理、手术麻醉、重症、自助服务等系统的相关硬件）</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Cambria" w:hAnsi="Cambria"/>
          <w:kern w:val="20"/>
          <w:sz w:val="24"/>
          <w:szCs w:val="24"/>
          <w:lang w:val="en-US" w:eastAsia="zh-Hans"/>
        </w:rPr>
      </w:pPr>
      <w:r>
        <w:rPr>
          <w:rFonts w:hint="eastAsia" w:ascii="Cambria" w:hAnsi="Cambria"/>
          <w:b/>
          <w:bCs/>
          <w:kern w:val="20"/>
          <w:sz w:val="24"/>
          <w:szCs w:val="24"/>
          <w:lang w:val="zh-CN"/>
        </w:rPr>
        <w:t>中标方需按照采购方的建设标准进行方案规划设计，方案设计后需经院方论证通过后并书面确认后方可实施</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1.4.1建设需求</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b/>
          <w:bCs/>
          <w:kern w:val="20"/>
          <w:sz w:val="24"/>
          <w:szCs w:val="24"/>
          <w:lang w:val="zh-CN" w:eastAsia="zh-Hans"/>
        </w:rPr>
      </w:pPr>
      <w:r>
        <w:rPr>
          <w:rFonts w:hint="eastAsia" w:ascii="宋体" w:hAnsi="宋体" w:eastAsia="宋体" w:cs="宋体"/>
          <w:kern w:val="20"/>
          <w:sz w:val="24"/>
          <w:szCs w:val="24"/>
          <w:lang w:val="zh-CN" w:eastAsia="zh-Hans"/>
        </w:rPr>
        <w:t>1、医院信息平台（集成平台、CDR</w:t>
      </w:r>
      <w:r>
        <w:rPr>
          <w:rFonts w:hint="eastAsia" w:ascii="宋体" w:hAnsi="宋体" w:eastAsia="宋体" w:cs="宋体"/>
          <w:kern w:val="20"/>
          <w:sz w:val="24"/>
          <w:szCs w:val="24"/>
          <w:lang w:val="zh-CN" w:eastAsia="zh-CN"/>
        </w:rPr>
        <w:t>、</w:t>
      </w:r>
      <w:r>
        <w:rPr>
          <w:rFonts w:hint="eastAsia" w:ascii="宋体" w:hAnsi="宋体" w:eastAsia="宋体" w:cs="宋体"/>
          <w:kern w:val="20"/>
          <w:sz w:val="24"/>
          <w:szCs w:val="24"/>
          <w:lang w:val="en-US" w:eastAsia="zh-CN"/>
        </w:rPr>
        <w:t>ODR</w:t>
      </w:r>
      <w:r>
        <w:rPr>
          <w:rFonts w:hint="eastAsia" w:ascii="宋体" w:hAnsi="宋体" w:eastAsia="宋体" w:cs="宋体"/>
          <w:kern w:val="20"/>
          <w:sz w:val="24"/>
          <w:szCs w:val="24"/>
          <w:lang w:val="zh-CN" w:eastAsia="zh-Hans"/>
        </w:rPr>
        <w:t>），包括系统架构、功能实现、实施步骤，以及关键技术详细描述，打破“信息孤岛”，撕破信息化“蜘蛛网”</w:t>
      </w:r>
      <w:r>
        <w:rPr>
          <w:rFonts w:hint="eastAsia" w:ascii="宋体" w:hAnsi="宋体" w:eastAsia="宋体" w:cs="宋体"/>
          <w:kern w:val="20"/>
          <w:sz w:val="24"/>
          <w:szCs w:val="24"/>
          <w:lang w:val="en-US" w:eastAsia="zh-CN"/>
        </w:rPr>
        <w:t>,</w:t>
      </w:r>
      <w:r>
        <w:rPr>
          <w:rFonts w:hint="eastAsia" w:ascii="宋体" w:hAnsi="宋体" w:eastAsia="宋体" w:cs="宋体"/>
          <w:kern w:val="20"/>
          <w:sz w:val="24"/>
          <w:szCs w:val="24"/>
          <w:lang w:val="zh-CN" w:eastAsia="zh-Hans"/>
        </w:rPr>
        <w:t>搭建“互联互通、共享共治”实现“可配置、可监控、可扩展”，</w:t>
      </w:r>
      <w:r>
        <w:rPr>
          <w:rFonts w:hint="eastAsia" w:ascii="宋体" w:hAnsi="宋体" w:eastAsia="宋体" w:cs="宋体"/>
          <w:b/>
          <w:bCs/>
          <w:kern w:val="20"/>
          <w:sz w:val="24"/>
          <w:szCs w:val="24"/>
          <w:lang w:val="zh-CN" w:eastAsia="zh-Hans"/>
        </w:rPr>
        <w:t>本项目包括终验合格前平台的新建及业务系统接入平台的所有相关建设。</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2、业务系统新建及改造，调研医院业务开展情况，系统包括但不限于无锡市康复医院提供的《无锡市康复医院（梁溪区中医医院）信息化建设初步需求表》提出各业务系统的功能实现、实施步骤，以及关键技术详细描述。</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3、围绕医院高质量数据建设，调研利用信息化手段开展医疗质量管理与控制工作，提供公立医院绩效考核、病案首页质控、DRG服务能力评价、精细化绩效成本核算等系统详细建设方案，</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4、提供医院电子病历应用水平分级评价五级评审服务的详细方案，包含需求、设计、改造咨询、文审及预评审等全部内容。</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5、需规划提供医院信息互联互通四甲评审服务的详细方案，包含需求、设计、开发、改造咨询、实验室预评测、文审及预评审、系统测试部署和培训的全部内容,实现标准统一、数据利用、流程配置、环节监控、内外扩展的目标,通过“互联互通能力四级甲等“评测。</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6、需规划提供医院智慧服务分级评估三级评审的详细方案，包含需求、设计、文审等全部内容。</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7、结合医院现有核心系统架构和新增的医院信息化建设内容，配备软件实施过程中所需硬件设备（包括各工作站硬件、移动护理相关硬件、手术麻醉、重症、自助服务等系统的相关硬件）详细最低配置见附件。</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8、需详细提供结合现有医院实际情况和未来新医院规划，新旧医院信息化系统的搬迁的实施方案。</w:t>
      </w:r>
    </w:p>
    <w:p>
      <w:pPr>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 xml:space="preserve"> </w:t>
      </w:r>
      <w:r>
        <w:rPr>
          <w:rFonts w:hint="eastAsia" w:ascii="宋体" w:hAnsi="宋体" w:eastAsia="宋体" w:cs="宋体"/>
          <w:kern w:val="20"/>
          <w:sz w:val="24"/>
          <w:szCs w:val="24"/>
          <w:lang w:val="en-US" w:eastAsia="zh-CN"/>
        </w:rPr>
        <w:t xml:space="preserve">   </w:t>
      </w:r>
      <w:r>
        <w:rPr>
          <w:rFonts w:hint="eastAsia" w:ascii="宋体" w:hAnsi="宋体" w:eastAsia="宋体" w:cs="宋体"/>
          <w:kern w:val="20"/>
          <w:sz w:val="24"/>
          <w:szCs w:val="24"/>
          <w:lang w:val="zh-CN" w:eastAsia="zh-Hans"/>
        </w:rPr>
        <w:t>9、提供项目实施及维护院区内驻场服务团队（原则上维护期内不得少于</w:t>
      </w:r>
      <w:r>
        <w:rPr>
          <w:rFonts w:hint="eastAsia" w:ascii="宋体" w:hAnsi="宋体" w:eastAsia="宋体" w:cs="宋体"/>
          <w:kern w:val="20"/>
          <w:sz w:val="24"/>
          <w:szCs w:val="24"/>
          <w:lang w:val="en-US" w:eastAsia="zh-CN"/>
        </w:rPr>
        <w:t>4</w:t>
      </w:r>
      <w:r>
        <w:rPr>
          <w:rFonts w:hint="eastAsia" w:ascii="宋体" w:hAnsi="宋体" w:eastAsia="宋体" w:cs="宋体"/>
          <w:kern w:val="20"/>
          <w:sz w:val="24"/>
          <w:szCs w:val="24"/>
          <w:lang w:val="zh-CN" w:eastAsia="zh-Hans"/>
        </w:rPr>
        <w:t>名驻场服务人员，实施期内根据项目进度由中标商出具详细方案，确保按进度完成）</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1.4.2建设清单</w:t>
      </w:r>
      <w:r>
        <w:rPr>
          <w:rFonts w:hint="eastAsia" w:ascii="宋体" w:hAnsi="宋体" w:eastAsia="宋体" w:cs="宋体"/>
          <w:kern w:val="20"/>
          <w:sz w:val="24"/>
          <w:szCs w:val="24"/>
          <w:lang w:val="en-US" w:eastAsia="zh-CN"/>
        </w:rPr>
        <w:t>(包括但不限于以下系统）</w:t>
      </w:r>
    </w:p>
    <w:tbl>
      <w:tblPr>
        <w:tblStyle w:val="41"/>
        <w:tblW w:w="777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zh-CN" w:eastAsia="zh-Hans"/>
              </w:rPr>
              <w:t>无锡市康复医院（梁溪区中医医院）信息化建设初步需求</w:t>
            </w:r>
            <w:r>
              <w:rPr>
                <w:rFonts w:hint="eastAsia" w:ascii="宋体" w:hAnsi="宋体" w:eastAsia="宋体" w:cs="宋体"/>
                <w:kern w:val="20"/>
                <w:sz w:val="24"/>
                <w:szCs w:val="24"/>
                <w:lang w:val="zh-CN" w:eastAsia="zh-CN"/>
              </w:rPr>
              <w:t>清单</w:t>
            </w:r>
            <w:r>
              <w:rPr>
                <w:rFonts w:hint="eastAsia" w:ascii="宋体" w:hAnsi="宋体" w:eastAsia="宋体" w:cs="宋体"/>
                <w:kern w:val="20"/>
                <w:sz w:val="24"/>
                <w:szCs w:val="24"/>
                <w:lang w:val="zh-CN" w:eastAsia="zh-Hans"/>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一、临床服务系统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1、临床路径管理系统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2、合理用药管理系统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3、前置处方审核系统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4、用药监控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5、临床药师工作站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6、血库管理系统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7、手麻系统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8、手术分级管理系统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9、心电管理系统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10、急诊临床信息系统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11、消毒供应系统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12、专业版医学影像系统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13、病理管理系统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14、移动护理系统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15、一体化综合护理系统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16、移动门诊输液系统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17、</w:t>
            </w:r>
            <w:r>
              <w:rPr>
                <w:rFonts w:hint="default" w:ascii="宋体" w:hAnsi="宋体" w:eastAsia="宋体" w:cs="宋体"/>
                <w:kern w:val="20"/>
                <w:sz w:val="24"/>
                <w:szCs w:val="24"/>
                <w:lang w:val="en-US" w:eastAsia="zh-CN"/>
              </w:rPr>
              <w:t xml:space="preserve"> </w:t>
            </w:r>
            <w:r>
              <w:rPr>
                <w:rFonts w:hint="eastAsia" w:ascii="宋体" w:hAnsi="宋体" w:eastAsia="宋体" w:cs="宋体"/>
                <w:kern w:val="20"/>
                <w:sz w:val="24"/>
                <w:szCs w:val="24"/>
                <w:lang w:val="en-US" w:eastAsia="zh-CN"/>
              </w:rPr>
              <w:t>移动查房系统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18、</w:t>
            </w:r>
            <w:r>
              <w:rPr>
                <w:rFonts w:hint="default" w:ascii="宋体" w:hAnsi="宋体" w:eastAsia="宋体" w:cs="宋体"/>
                <w:kern w:val="20"/>
                <w:sz w:val="24"/>
                <w:szCs w:val="24"/>
                <w:lang w:val="en-US" w:eastAsia="zh-CN"/>
              </w:rPr>
              <w:t xml:space="preserve"> </w:t>
            </w:r>
            <w:r>
              <w:rPr>
                <w:rFonts w:hint="eastAsia" w:ascii="宋体" w:hAnsi="宋体" w:eastAsia="宋体" w:cs="宋体"/>
                <w:kern w:val="20"/>
                <w:sz w:val="24"/>
                <w:szCs w:val="24"/>
                <w:lang w:val="en-US" w:eastAsia="zh-CN"/>
              </w:rPr>
              <w:t>重症监护系统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19、临床辅助决策系统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20、生命体征采集系统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21、</w:t>
            </w:r>
            <w:r>
              <w:rPr>
                <w:rFonts w:hint="default" w:ascii="宋体" w:hAnsi="宋体" w:eastAsia="宋体" w:cs="宋体"/>
                <w:kern w:val="20"/>
                <w:sz w:val="24"/>
                <w:szCs w:val="24"/>
                <w:lang w:val="en-US" w:eastAsia="zh-CN"/>
              </w:rPr>
              <w:t xml:space="preserve"> </w:t>
            </w:r>
            <w:r>
              <w:rPr>
                <w:rFonts w:hint="eastAsia" w:ascii="宋体" w:hAnsi="宋体" w:eastAsia="宋体" w:cs="宋体"/>
                <w:kern w:val="20"/>
                <w:sz w:val="24"/>
                <w:szCs w:val="24"/>
                <w:lang w:val="en-US" w:eastAsia="zh-CN"/>
              </w:rPr>
              <w:t>通用治疗系统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22、院前急救信息系统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23、日间手术管理系统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24、院内多学科会诊系统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25、危急值管理平台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26、结构化诊断管理系统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27、电生理工作站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28、体检系统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二、医疗管理系统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29、不良事件上报系统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30、抗菌药物管理系统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31、静脉药物配置管理系统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32、医务管理系统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33、医联体管理系统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34、电子签章管理系统（CA）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35、随访管理系统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36、防统方系统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37、病案首页数据质量管理系统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38、电子病历全文检索系统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三、运营管理系统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39、</w:t>
            </w:r>
            <w:r>
              <w:rPr>
                <w:rFonts w:hint="default" w:ascii="宋体" w:hAnsi="宋体" w:eastAsia="宋体" w:cs="宋体"/>
                <w:kern w:val="20"/>
                <w:sz w:val="24"/>
                <w:szCs w:val="24"/>
                <w:lang w:val="en-US" w:eastAsia="zh-CN"/>
              </w:rPr>
              <w:t>OA</w:t>
            </w:r>
            <w:r>
              <w:rPr>
                <w:rFonts w:hint="eastAsia" w:ascii="宋体" w:hAnsi="宋体" w:eastAsia="宋体" w:cs="宋体"/>
                <w:kern w:val="20"/>
                <w:sz w:val="24"/>
                <w:szCs w:val="24"/>
                <w:lang w:val="en-US" w:eastAsia="zh-CN"/>
              </w:rPr>
              <w:t>办公系统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40、DRGS管理系统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41、</w:t>
            </w:r>
            <w:r>
              <w:rPr>
                <w:rFonts w:hint="default" w:ascii="宋体" w:hAnsi="宋体" w:eastAsia="宋体" w:cs="宋体"/>
                <w:kern w:val="20"/>
                <w:sz w:val="24"/>
                <w:szCs w:val="24"/>
                <w:lang w:val="en-US" w:eastAsia="zh-CN"/>
              </w:rPr>
              <w:t>HRP</w:t>
            </w:r>
            <w:r>
              <w:rPr>
                <w:rFonts w:hint="eastAsia" w:ascii="宋体" w:hAnsi="宋体" w:eastAsia="宋体" w:cs="宋体"/>
                <w:kern w:val="20"/>
                <w:sz w:val="24"/>
                <w:szCs w:val="24"/>
                <w:lang w:val="en-US" w:eastAsia="zh-CN"/>
              </w:rPr>
              <w:t>人力资源管理系统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42、</w:t>
            </w:r>
            <w:r>
              <w:rPr>
                <w:rFonts w:hint="default" w:ascii="宋体" w:hAnsi="宋体" w:eastAsia="宋体" w:cs="宋体"/>
                <w:kern w:val="20"/>
                <w:sz w:val="24"/>
                <w:szCs w:val="24"/>
                <w:lang w:val="en-US" w:eastAsia="zh-CN"/>
              </w:rPr>
              <w:t>HRP</w:t>
            </w:r>
            <w:r>
              <w:rPr>
                <w:rFonts w:hint="eastAsia" w:ascii="宋体" w:hAnsi="宋体" w:eastAsia="宋体" w:cs="宋体"/>
                <w:kern w:val="20"/>
                <w:sz w:val="24"/>
                <w:szCs w:val="24"/>
                <w:lang w:val="en-US" w:eastAsia="zh-CN"/>
              </w:rPr>
              <w:t>绩效管理系统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43、</w:t>
            </w:r>
            <w:r>
              <w:rPr>
                <w:rFonts w:hint="default" w:ascii="宋体" w:hAnsi="宋体" w:eastAsia="宋体" w:cs="宋体"/>
                <w:kern w:val="20"/>
                <w:sz w:val="24"/>
                <w:szCs w:val="24"/>
                <w:lang w:val="en-US" w:eastAsia="zh-CN"/>
              </w:rPr>
              <w:t>HRP</w:t>
            </w:r>
            <w:r>
              <w:rPr>
                <w:rFonts w:hint="eastAsia" w:ascii="宋体" w:hAnsi="宋体" w:eastAsia="宋体" w:cs="宋体"/>
                <w:kern w:val="20"/>
                <w:sz w:val="24"/>
                <w:szCs w:val="24"/>
                <w:lang w:val="en-US" w:eastAsia="zh-CN"/>
              </w:rPr>
              <w:t>物资管理系统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44、</w:t>
            </w:r>
            <w:r>
              <w:rPr>
                <w:rFonts w:hint="default" w:ascii="宋体" w:hAnsi="宋体" w:eastAsia="宋体" w:cs="宋体"/>
                <w:kern w:val="20"/>
                <w:sz w:val="24"/>
                <w:szCs w:val="24"/>
                <w:lang w:val="en-US" w:eastAsia="zh-CN"/>
              </w:rPr>
              <w:t>HRP</w:t>
            </w:r>
            <w:r>
              <w:rPr>
                <w:rFonts w:hint="eastAsia" w:ascii="宋体" w:hAnsi="宋体" w:eastAsia="宋体" w:cs="宋体"/>
                <w:kern w:val="20"/>
                <w:sz w:val="24"/>
                <w:szCs w:val="24"/>
                <w:lang w:val="en-US" w:eastAsia="zh-CN"/>
              </w:rPr>
              <w:t>资产管理系统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45、</w:t>
            </w:r>
            <w:r>
              <w:rPr>
                <w:rFonts w:hint="default" w:ascii="宋体" w:hAnsi="宋体" w:eastAsia="宋体" w:cs="宋体"/>
                <w:kern w:val="20"/>
                <w:sz w:val="24"/>
                <w:szCs w:val="24"/>
                <w:lang w:val="en-US" w:eastAsia="zh-CN"/>
              </w:rPr>
              <w:t>HRP</w:t>
            </w:r>
            <w:r>
              <w:rPr>
                <w:rFonts w:hint="eastAsia" w:ascii="宋体" w:hAnsi="宋体" w:eastAsia="宋体" w:cs="宋体"/>
                <w:kern w:val="20"/>
                <w:sz w:val="24"/>
                <w:szCs w:val="24"/>
                <w:lang w:val="en-US" w:eastAsia="zh-CN"/>
              </w:rPr>
              <w:t>设备管理系统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46、成本、费用管理系统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47、高值耗材管理系统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48、医院集成平台（含已有所有系统接入）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49、业务数据中心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50、临床数据中心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51、全院决策支持系统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52、临床知识库（CKB）系统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777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53、设备接口费：包括但不限于自动发药机对接、智能毒麻药品柜的对接、药品自动分包机的对接、叫号系统对接、病房显示系统对接、各类医疗设备病人体征监测数据、评估数据、训练数据等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0"/>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54、挂缴查线上应用（线上挂号、诊疗）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55、集中预约管理系统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56、线下自助服务系统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57、互联网医院系统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58、区域平台对接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59、区域医共体平台应用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60、智慧康复系统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61、智慧中医系统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62、智慧病案系统（含无纸化）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zh-CN" w:eastAsia="zh-Hans"/>
              </w:rPr>
            </w:pPr>
            <w:r>
              <w:rPr>
                <w:rFonts w:hint="eastAsia" w:ascii="宋体" w:hAnsi="宋体" w:eastAsia="宋体" w:cs="宋体"/>
                <w:kern w:val="20"/>
                <w:sz w:val="24"/>
                <w:szCs w:val="24"/>
                <w:lang w:val="en-US" w:eastAsia="zh-CN"/>
              </w:rPr>
              <w:t>63、资产可视化管理系统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bottom"/>
              <w:rPr>
                <w:rFonts w:hint="eastAsia" w:ascii="宋体" w:hAnsi="宋体" w:eastAsia="宋体" w:cs="宋体"/>
                <w:kern w:val="20"/>
                <w:sz w:val="24"/>
                <w:szCs w:val="24"/>
                <w:lang w:val="zh-CN" w:eastAsia="zh-Hans"/>
              </w:rPr>
            </w:pPr>
            <w:r>
              <w:rPr>
                <w:rFonts w:hint="eastAsia" w:ascii="宋体" w:hAnsi="宋体" w:eastAsia="宋体" w:cs="宋体"/>
                <w:i w:val="0"/>
                <w:iCs w:val="0"/>
                <w:color w:val="000000"/>
                <w:kern w:val="0"/>
                <w:sz w:val="24"/>
                <w:szCs w:val="24"/>
                <w:u w:val="none"/>
                <w:lang w:val="en-US" w:eastAsia="zh-CN" w:bidi="ar"/>
              </w:rPr>
              <w:t>64、</w:t>
            </w:r>
            <w:r>
              <w:rPr>
                <w:rFonts w:hint="eastAsia" w:ascii="宋体" w:hAnsi="宋体" w:eastAsia="宋体" w:cs="宋体"/>
                <w:i w:val="0"/>
                <w:iCs w:val="0"/>
                <w:color w:val="000000"/>
                <w:kern w:val="0"/>
                <w:sz w:val="24"/>
                <w:szCs w:val="24"/>
                <w:u w:val="none"/>
                <w:lang w:val="en-US" w:eastAsia="zh-Hans" w:bidi="ar"/>
              </w:rPr>
              <w:t>老院区所有数据迁移及续用软件升级改造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771"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bottom"/>
              <w:rPr>
                <w:rFonts w:hint="default" w:ascii="宋体" w:hAnsi="宋体" w:eastAsia="宋体" w:cs="宋体"/>
                <w:i w:val="0"/>
                <w:iCs w:val="0"/>
                <w:color w:val="000000"/>
                <w:kern w:val="20"/>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65、各工作站、移动护理、手术麻醉、重症、自助服务等系统的相关硬件</w:t>
            </w:r>
          </w:p>
        </w:tc>
      </w:tr>
    </w:tbl>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具体要求如下：</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临床路径管理系统</w:t>
      </w:r>
    </w:p>
    <w:p>
      <w:pPr>
        <w:pageBreakBefore w:val="0"/>
        <w:widowControl/>
        <w:numPr>
          <w:ilvl w:val="0"/>
          <w:numId w:val="0"/>
        </w:numPr>
        <w:kinsoku/>
        <w:wordWrap/>
        <w:overflowPunct/>
        <w:topLinePunct w:val="0"/>
        <w:autoSpaceDE/>
        <w:autoSpaceDN/>
        <w:bidi w:val="0"/>
        <w:adjustRightInd/>
        <w:snapToGrid/>
        <w:spacing w:line="360" w:lineRule="auto"/>
        <w:ind w:firstLine="720" w:firstLineChars="3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Hans"/>
        </w:rPr>
        <w:t>临床路径是针对某种疾病（或手术），以时间为横轴，以入院指导、诊断、检查、用药、治疗、护理、饮食指导、教育、出院计划等理想治疗或护理手段为纵轴，制定标准化治疗护理流程（临床路径表）。其目的是运用图表的形式来提供有时间的、有序的、有效的照顾，以控制质量和经费，是一种跨学科的、综合的整体医疗护理工作模式。本系统提供的功能主要包括临床路径项目生成、临床路径项目补充生成功能、新开医嘱功能、临床路径项目执行管理、路径评估管理、路径结束功能、打印临床路径表、查询药占比、路径跟踪功能、路径监控功能、变异分析功能、概况分析功能、趋势分析功能。</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default"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合理用药管理系统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为临床医生在确定诊治方案的过程中提供详细的用药参考和系统自动对医生的药疗方案的合理性进行审查，达到合理输液、合理用药，保护病人健康和生命安全，减少和避免医疗事故的目的。主要功能包括各类用药审查、药品说明书、实时审方、处方及医嘱点评等功能模块。</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Cambria" w:hAnsi="Cambria"/>
          <w:kern w:val="20"/>
          <w:szCs w:val="20"/>
          <w:lang w:val="en-US" w:eastAsia="zh-CN"/>
        </w:rPr>
      </w:pPr>
      <w:r>
        <w:rPr>
          <w:rFonts w:hint="eastAsia" w:ascii="宋体" w:hAnsi="宋体" w:eastAsia="宋体" w:cs="宋体"/>
          <w:kern w:val="20"/>
          <w:sz w:val="24"/>
          <w:szCs w:val="24"/>
          <w:lang w:val="en-US" w:eastAsia="zh-CN"/>
        </w:rPr>
        <w:t>前置处方审核系统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8"/>
          <w:szCs w:val="28"/>
          <w:lang w:val="en-US" w:eastAsia="zh-CN"/>
        </w:rPr>
      </w:pPr>
      <w:r>
        <w:rPr>
          <w:rFonts w:hint="eastAsia" w:ascii="宋体" w:hAnsi="宋体" w:eastAsia="宋体" w:cs="宋体"/>
          <w:kern w:val="20"/>
          <w:sz w:val="24"/>
          <w:szCs w:val="24"/>
          <w:lang w:val="en-US" w:eastAsia="zh-CN"/>
        </w:rPr>
        <w:t>根据临床药师工作的专业特点和基本要求，帮助药师在医生开完处方（医嘱）后，患者缴费前完成处方（医嘱）实时审查并干预，及时发现潜在的不合理用药问题，预防药物不良事件的发生，促进临床合理用药工作。系统实时审核，可对问题处方进行警示或拦截；药师人工审方，可选多种处置方式，拒绝发药+允许双签+通过。</w:t>
      </w:r>
      <w:r>
        <w:rPr>
          <w:rFonts w:hint="eastAsia" w:ascii="宋体" w:hAnsi="宋体" w:eastAsia="宋体" w:cs="宋体"/>
          <w:kern w:val="20"/>
          <w:sz w:val="24"/>
          <w:szCs w:val="24"/>
          <w:lang w:val="en-US" w:eastAsia="zh-Hans"/>
        </w:rPr>
        <w:t>提供强大的审核规则库，具有</w:t>
      </w:r>
      <w:r>
        <w:rPr>
          <w:rFonts w:hint="eastAsia" w:ascii="宋体" w:hAnsi="宋体" w:eastAsia="宋体" w:cs="宋体"/>
          <w:kern w:val="20"/>
          <w:sz w:val="24"/>
          <w:szCs w:val="24"/>
          <w:lang w:val="en-US" w:eastAsia="zh-CN"/>
        </w:rPr>
        <w:t>智能化的审查规则+审查规则自定义，带给医院最贴近临床的审方依据。</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Cambria" w:hAnsi="Cambria"/>
          <w:kern w:val="20"/>
          <w:szCs w:val="20"/>
          <w:lang w:val="en-US" w:eastAsia="zh-CN"/>
        </w:rPr>
      </w:pPr>
      <w:r>
        <w:rPr>
          <w:rFonts w:hint="eastAsia" w:ascii="宋体" w:hAnsi="宋体" w:eastAsia="宋体" w:cs="宋体"/>
          <w:kern w:val="20"/>
          <w:sz w:val="24"/>
          <w:szCs w:val="24"/>
          <w:lang w:val="en-US" w:eastAsia="zh-CN"/>
        </w:rPr>
        <w:t>用药监控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根据临床合理用药专业工作的基本特点和要求，以海量的科学、权威医药学数据库为支撑，运用信息技术实现医嘱自动审查和医药信息在线查询，及时发现潜在的不合理用药问题，促进合理用药水平。</w:t>
      </w:r>
      <w:r>
        <w:rPr>
          <w:rFonts w:hint="eastAsia" w:ascii="宋体" w:hAnsi="宋体" w:eastAsia="宋体" w:cs="宋体"/>
          <w:kern w:val="20"/>
          <w:sz w:val="24"/>
          <w:szCs w:val="24"/>
          <w:lang w:val="en-US" w:eastAsia="zh-Hans"/>
        </w:rPr>
        <w:t>可</w:t>
      </w:r>
      <w:r>
        <w:rPr>
          <w:rFonts w:hint="eastAsia" w:ascii="宋体" w:hAnsi="宋体" w:eastAsia="宋体" w:cs="宋体"/>
          <w:kern w:val="20"/>
          <w:sz w:val="24"/>
          <w:szCs w:val="24"/>
          <w:lang w:val="en-US" w:eastAsia="zh-CN"/>
        </w:rPr>
        <w:t>结合患者的具体情况，提供个体化、精细化的用药提示，全方位监测不合理用药。</w:t>
      </w:r>
      <w:r>
        <w:rPr>
          <w:rFonts w:hint="eastAsia" w:ascii="宋体" w:hAnsi="宋体" w:eastAsia="宋体" w:cs="宋体"/>
          <w:kern w:val="20"/>
          <w:sz w:val="24"/>
          <w:szCs w:val="24"/>
          <w:lang w:val="en-US" w:eastAsia="zh-Hans"/>
        </w:rPr>
        <w:t>审查规则包括但不限于用法用量、诊断相关、药物配伍、抗菌药管理、规范性审查、药物过敏、药物与检验检查、特定人群等。</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临床药师工作站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结合国家政策法规和临床工作需求，运用信息技术实现处方点评、抗菌药物临床应用监测、抗肿瘤药物临床应用监测、预警公示、统计分析等功能，直击重点药品监控、抗菌药物管理、大处方管控等热点问题，帮助医院药学管理人员快速、高效地完成临床药学工作，实现对医院药学工作的信息化管理。</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血库管理系统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系统主要用于实现医院血液的库房管理及配血、发血、用血的全流程闭环管理。</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手麻系统</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Cambria" w:hAnsi="Cambria"/>
          <w:kern w:val="20"/>
          <w:szCs w:val="20"/>
          <w:lang w:val="en-US" w:eastAsia="zh-CN"/>
        </w:rPr>
      </w:pPr>
      <w:r>
        <w:rPr>
          <w:rFonts w:hint="eastAsia" w:ascii="宋体" w:hAnsi="宋体" w:eastAsia="宋体" w:cs="宋体"/>
          <w:kern w:val="20"/>
          <w:sz w:val="24"/>
          <w:szCs w:val="24"/>
          <w:lang w:val="en-US" w:eastAsia="zh-Hans"/>
        </w:rPr>
        <w:t>通过系统的实施，能够规范手术室的工作流程，实现麻醉，手术过程中的信息数字化和网络化，快速方便地对患者麻醉全过程实施动态跟踪，自动生成麻醉手术中的各种医疗文书、完整共享</w:t>
      </w:r>
      <w:r>
        <w:rPr>
          <w:rFonts w:hint="default" w:ascii="宋体" w:hAnsi="宋体" w:eastAsia="宋体" w:cs="宋体"/>
          <w:kern w:val="20"/>
          <w:sz w:val="24"/>
          <w:szCs w:val="24"/>
          <w:lang w:val="en-US" w:eastAsia="zh-Hans"/>
        </w:rPr>
        <w:fldChar w:fldCharType="begin"/>
      </w:r>
      <w:r>
        <w:rPr>
          <w:rFonts w:hint="default" w:ascii="宋体" w:hAnsi="宋体" w:eastAsia="宋体" w:cs="宋体"/>
          <w:kern w:val="20"/>
          <w:sz w:val="24"/>
          <w:szCs w:val="24"/>
          <w:lang w:val="en-US" w:eastAsia="zh-Hans"/>
        </w:rPr>
        <w:instrText xml:space="preserve"> HYPERLINK "http://www.xyhis.com/chanpin/hisxitong-cn.html" \t "_self" \o "HIS</w:instrText>
      </w:r>
      <w:r>
        <w:rPr>
          <w:rFonts w:hint="eastAsia" w:ascii="宋体" w:hAnsi="宋体" w:eastAsia="宋体" w:cs="宋体"/>
          <w:kern w:val="20"/>
          <w:sz w:val="24"/>
          <w:szCs w:val="24"/>
          <w:lang w:val="en-US" w:eastAsia="zh-Hans"/>
        </w:rPr>
        <w:instrText xml:space="preserve">系统</w:instrText>
      </w:r>
      <w:r>
        <w:rPr>
          <w:rFonts w:hint="default" w:ascii="宋体" w:hAnsi="宋体" w:eastAsia="宋体" w:cs="宋体"/>
          <w:kern w:val="20"/>
          <w:sz w:val="24"/>
          <w:szCs w:val="24"/>
          <w:lang w:val="en-US" w:eastAsia="zh-Hans"/>
        </w:rPr>
        <w:instrText xml:space="preserve">" </w:instrText>
      </w:r>
      <w:r>
        <w:rPr>
          <w:rFonts w:hint="default" w:ascii="宋体" w:hAnsi="宋体" w:eastAsia="宋体" w:cs="宋体"/>
          <w:kern w:val="20"/>
          <w:sz w:val="24"/>
          <w:szCs w:val="24"/>
          <w:lang w:val="en-US" w:eastAsia="zh-Hans"/>
        </w:rPr>
        <w:fldChar w:fldCharType="separate"/>
      </w:r>
      <w:r>
        <w:rPr>
          <w:rFonts w:hint="default" w:ascii="宋体" w:hAnsi="宋体" w:eastAsia="宋体" w:cs="宋体"/>
          <w:kern w:val="20"/>
          <w:sz w:val="24"/>
          <w:szCs w:val="24"/>
          <w:lang w:val="en-US" w:eastAsia="zh-Hans"/>
        </w:rPr>
        <w:t>HIS</w:t>
      </w:r>
      <w:r>
        <w:rPr>
          <w:rFonts w:hint="default" w:ascii="宋体" w:hAnsi="宋体" w:eastAsia="宋体" w:cs="宋体"/>
          <w:kern w:val="20"/>
          <w:sz w:val="24"/>
          <w:szCs w:val="24"/>
          <w:lang w:val="en-US" w:eastAsia="zh-Hans"/>
        </w:rPr>
        <w:fldChar w:fldCharType="end"/>
      </w:r>
      <w:r>
        <w:rPr>
          <w:rFonts w:hint="eastAsia" w:ascii="宋体" w:hAnsi="宋体" w:eastAsia="宋体" w:cs="宋体"/>
          <w:kern w:val="20"/>
          <w:sz w:val="24"/>
          <w:szCs w:val="24"/>
          <w:lang w:val="en-US" w:eastAsia="zh-Hans"/>
        </w:rPr>
        <w:t>、</w:t>
      </w:r>
      <w:r>
        <w:rPr>
          <w:rFonts w:hint="default" w:ascii="宋体" w:hAnsi="宋体" w:eastAsia="宋体" w:cs="宋体"/>
          <w:kern w:val="20"/>
          <w:sz w:val="24"/>
          <w:szCs w:val="24"/>
          <w:lang w:val="en-US" w:eastAsia="zh-Hans"/>
        </w:rPr>
        <w:fldChar w:fldCharType="begin"/>
      </w:r>
      <w:r>
        <w:rPr>
          <w:rFonts w:hint="default" w:ascii="宋体" w:hAnsi="宋体" w:eastAsia="宋体" w:cs="宋体"/>
          <w:kern w:val="20"/>
          <w:sz w:val="24"/>
          <w:szCs w:val="24"/>
          <w:lang w:val="en-US" w:eastAsia="zh-Hans"/>
        </w:rPr>
        <w:instrText xml:space="preserve"> HYPERLINK "http://www.xyhis.com/chanpin/lis-cn.html" \t "_self" \o "HIS</w:instrText>
      </w:r>
      <w:r>
        <w:rPr>
          <w:rFonts w:hint="eastAsia" w:ascii="宋体" w:hAnsi="宋体" w:eastAsia="宋体" w:cs="宋体"/>
          <w:kern w:val="20"/>
          <w:sz w:val="24"/>
          <w:szCs w:val="24"/>
          <w:lang w:val="en-US" w:eastAsia="zh-Hans"/>
        </w:rPr>
        <w:instrText xml:space="preserve">系统</w:instrText>
      </w:r>
      <w:r>
        <w:rPr>
          <w:rFonts w:hint="default" w:ascii="宋体" w:hAnsi="宋体" w:eastAsia="宋体" w:cs="宋体"/>
          <w:kern w:val="20"/>
          <w:sz w:val="24"/>
          <w:szCs w:val="24"/>
          <w:lang w:val="en-US" w:eastAsia="zh-Hans"/>
        </w:rPr>
        <w:instrText xml:space="preserve">" </w:instrText>
      </w:r>
      <w:r>
        <w:rPr>
          <w:rFonts w:hint="default" w:ascii="宋体" w:hAnsi="宋体" w:eastAsia="宋体" w:cs="宋体"/>
          <w:kern w:val="20"/>
          <w:sz w:val="24"/>
          <w:szCs w:val="24"/>
          <w:lang w:val="en-US" w:eastAsia="zh-Hans"/>
        </w:rPr>
        <w:fldChar w:fldCharType="separate"/>
      </w:r>
      <w:r>
        <w:rPr>
          <w:rFonts w:hint="default" w:ascii="宋体" w:hAnsi="宋体" w:eastAsia="宋体" w:cs="宋体"/>
          <w:kern w:val="20"/>
          <w:sz w:val="24"/>
          <w:szCs w:val="24"/>
          <w:lang w:val="en-US" w:eastAsia="zh-Hans"/>
        </w:rPr>
        <w:t>LIS</w:t>
      </w:r>
      <w:r>
        <w:rPr>
          <w:rFonts w:hint="default" w:ascii="宋体" w:hAnsi="宋体" w:eastAsia="宋体" w:cs="宋体"/>
          <w:kern w:val="20"/>
          <w:sz w:val="24"/>
          <w:szCs w:val="24"/>
          <w:lang w:val="en-US" w:eastAsia="zh-Hans"/>
        </w:rPr>
        <w:fldChar w:fldCharType="end"/>
      </w:r>
      <w:r>
        <w:rPr>
          <w:rFonts w:hint="eastAsia" w:ascii="宋体" w:hAnsi="宋体" w:eastAsia="宋体" w:cs="宋体"/>
          <w:kern w:val="20"/>
          <w:sz w:val="24"/>
          <w:szCs w:val="24"/>
          <w:lang w:val="en-US" w:eastAsia="zh-Hans"/>
        </w:rPr>
        <w:t>等手术患者信息，</w:t>
      </w:r>
      <w:r>
        <w:rPr>
          <w:rFonts w:hint="eastAsia" w:ascii="宋体" w:hAnsi="宋体" w:eastAsia="宋体" w:cs="宋体"/>
          <w:kern w:val="20"/>
          <w:sz w:val="24"/>
          <w:szCs w:val="24"/>
          <w:lang w:val="en-US" w:eastAsia="zh-CN"/>
        </w:rPr>
        <w:t>支持微信小程序为科室医务人员提供手术全流程信息，应用</w:t>
      </w:r>
      <w:r>
        <w:rPr>
          <w:rFonts w:hint="eastAsia" w:ascii="宋体" w:hAnsi="宋体" w:eastAsia="宋体" w:cs="宋体"/>
          <w:kern w:val="20"/>
          <w:sz w:val="24"/>
          <w:szCs w:val="24"/>
          <w:lang w:val="en-US" w:eastAsia="zh-Hans"/>
        </w:rPr>
        <w:t>实现对麻醉过程管理，从而提高整个麻醉、手术管理工作的水平。</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Cambria" w:hAnsi="Cambria"/>
          <w:kern w:val="20"/>
          <w:szCs w:val="20"/>
          <w:lang w:val="en-US" w:eastAsia="zh-CN"/>
        </w:rPr>
      </w:pPr>
      <w:r>
        <w:rPr>
          <w:rFonts w:hint="eastAsia" w:ascii="宋体" w:hAnsi="宋体" w:eastAsia="宋体" w:cs="宋体"/>
          <w:kern w:val="20"/>
          <w:sz w:val="24"/>
          <w:szCs w:val="24"/>
          <w:lang w:val="en-US" w:eastAsia="zh-CN"/>
        </w:rPr>
        <w:t>手术分级管理系统</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为了确保手术及有创操作安全和质量，规范各科室各级医师的手术及有创操作管理，防范医疗事故的系统。手术分级管理系统设计依据《医院手术分级管理规范》及《临床各科室手术分类》简称《规范》)。《规范》将手术分成甲、乙、丙、丁4 类，复杂手术、手术难度大、新开展手术和探索性手术列为甲类手术，乙类、丙类、丁类手术的复杂程度和技术难度依次递减。手术分级管理体现了手术科室开展的手术难易程度，是医院对手术科室进行质量评价和绩效考核的重要指标。同时手术分级统计系统也方便各科室、诊疗组及医生对全院手术科室的手术分级情况进行查询。</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心电管理系统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系统可以把全院的静息心电图机数据，动态心电图数据，运动心电图、肌电图、脑电图、</w:t>
      </w:r>
      <w:r>
        <w:rPr>
          <w:rFonts w:hint="default" w:ascii="宋体" w:hAnsi="宋体" w:eastAsia="宋体" w:cs="宋体"/>
          <w:kern w:val="20"/>
          <w:sz w:val="24"/>
          <w:szCs w:val="24"/>
          <w:lang w:val="en-US" w:eastAsia="zh-Hans"/>
        </w:rPr>
        <w:t>TCD</w:t>
      </w:r>
      <w:r>
        <w:rPr>
          <w:rFonts w:hint="eastAsia" w:ascii="宋体" w:hAnsi="宋体" w:eastAsia="宋体" w:cs="宋体"/>
          <w:kern w:val="20"/>
          <w:sz w:val="24"/>
          <w:szCs w:val="24"/>
          <w:lang w:val="en-US" w:eastAsia="zh-Hans"/>
        </w:rPr>
        <w:t>、肺功能、骨密度等电生理数据整合在同一平台，同时可以将救护车中移动的心电图数据统一纳入医院的信息网络管理系统中，实现院外心电图的急救系统。在医院的信息管理平台上，心电图检查完全实现在网上申请、收费、预约和登记，实时在线诊断，网上传输报告及远程会诊等，使全医院的心电图检查，心电图数据、各种电生理数据、报告实现数字化，网络化，无纸化集中管理。</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default" w:ascii="Times New Roman" w:hAnsi="Times New Roman" w:eastAsia="宋体" w:cs="Times New Roman"/>
          <w:smallCaps/>
          <w:kern w:val="2"/>
          <w:sz w:val="20"/>
          <w:lang w:val="en-US" w:eastAsia="zh-CN" w:bidi="ar-SA"/>
        </w:rPr>
      </w:pPr>
      <w:r>
        <w:rPr>
          <w:rFonts w:hint="eastAsia" w:ascii="宋体" w:hAnsi="宋体" w:eastAsia="宋体" w:cs="宋体"/>
          <w:smallCaps/>
          <w:kern w:val="2"/>
          <w:sz w:val="24"/>
          <w:szCs w:val="24"/>
          <w:lang w:val="en-US" w:eastAsia="zh-CN" w:bidi="ar-SA"/>
        </w:rPr>
        <w:t>急诊临床信息系统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系统详细记录病人在每个救治环节所经历的时间，实现患者、医务人员、设备精细化管理。通过对急诊急救流程改造和智能化设计和实现，有效提升院前救治能力和急诊科临床工作效率，促进医院急救能力提升、科室管理更为精细。主要包括院前急救信息模块、院内急诊信息模块、三大专科救治中心系统等功能。</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消毒供应系统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通过搭建符合消毒供应中心管理需求的专业级</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消毒供应室追溯管理平台</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，打造数字化供应室。包括清洗、打包、灭菌、存储、发放、使用全流程可溯源管理。</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专业版医学影像系统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建立符合新建医院新购各类检查设备的医学影像系统，支持全院集中检查预约、排队叫号、结构化报告书写、自助报告打印、二维观片、三维重造及观片等功能。包括</w:t>
      </w:r>
      <w:r>
        <w:rPr>
          <w:rFonts w:hint="default" w:ascii="宋体" w:hAnsi="宋体" w:eastAsia="宋体" w:cs="宋体"/>
          <w:kern w:val="20"/>
          <w:sz w:val="24"/>
          <w:szCs w:val="24"/>
          <w:lang w:val="en-US" w:eastAsia="zh-Hans"/>
        </w:rPr>
        <w:t>PACS</w:t>
      </w:r>
      <w:r>
        <w:rPr>
          <w:rFonts w:hint="eastAsia" w:ascii="宋体" w:hAnsi="宋体" w:eastAsia="宋体" w:cs="宋体"/>
          <w:kern w:val="20"/>
          <w:sz w:val="24"/>
          <w:szCs w:val="24"/>
          <w:lang w:val="en-US" w:eastAsia="zh-Hans"/>
        </w:rPr>
        <w:t>、</w:t>
      </w:r>
      <w:r>
        <w:rPr>
          <w:rFonts w:hint="default" w:ascii="宋体" w:hAnsi="宋体" w:eastAsia="宋体" w:cs="宋体"/>
          <w:kern w:val="20"/>
          <w:sz w:val="24"/>
          <w:szCs w:val="24"/>
          <w:lang w:val="en-US" w:eastAsia="zh-Hans"/>
        </w:rPr>
        <w:t>RIS</w:t>
      </w:r>
      <w:r>
        <w:rPr>
          <w:rFonts w:hint="eastAsia" w:ascii="宋体" w:hAnsi="宋体" w:eastAsia="宋体" w:cs="宋体"/>
          <w:kern w:val="20"/>
          <w:sz w:val="24"/>
          <w:szCs w:val="24"/>
          <w:lang w:val="en-US" w:eastAsia="zh-Hans"/>
        </w:rPr>
        <w:t>、超声、内镜等子系统。</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病理管理系统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系统以</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精细管理</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为核心，将病理检查各个流程和环节纳入信息化管理。同时，在相应节点设计质控记录，实现操作过程有痕迹、事故原因可追溯、质控数据易获取和责任划分清晰，准确完整的体现《病理专业医疗质量控制指标》。同时，通过图像化和多维度的方式对质控指标数据进一步挖掘和深入分析，切实满足科室质控要求。</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移动护理系统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系统应用移动开发框架，以智能</w:t>
      </w:r>
      <w:r>
        <w:rPr>
          <w:rFonts w:hint="default" w:ascii="宋体" w:hAnsi="宋体" w:eastAsia="宋体" w:cs="宋体"/>
          <w:kern w:val="20"/>
          <w:sz w:val="24"/>
          <w:szCs w:val="24"/>
          <w:lang w:val="en-GB" w:eastAsia="zh-Hans"/>
        </w:rPr>
        <w:t>PDA</w:t>
      </w:r>
      <w:r>
        <w:rPr>
          <w:rFonts w:hint="eastAsia" w:ascii="宋体" w:hAnsi="宋体" w:eastAsia="宋体" w:cs="宋体"/>
          <w:kern w:val="20"/>
          <w:sz w:val="24"/>
          <w:szCs w:val="24"/>
          <w:lang w:val="en-GB" w:eastAsia="zh-Hans"/>
        </w:rPr>
        <w:t>为手持硬件平台，以无线局域网或</w:t>
      </w:r>
      <w:r>
        <w:rPr>
          <w:rFonts w:hint="default" w:ascii="宋体" w:hAnsi="宋体" w:eastAsia="宋体" w:cs="宋体"/>
          <w:kern w:val="20"/>
          <w:sz w:val="24"/>
          <w:szCs w:val="24"/>
          <w:lang w:val="en-GB" w:eastAsia="zh-Hans"/>
        </w:rPr>
        <w:t>5G</w:t>
      </w:r>
      <w:r>
        <w:rPr>
          <w:rFonts w:hint="eastAsia" w:ascii="宋体" w:hAnsi="宋体" w:eastAsia="宋体" w:cs="宋体"/>
          <w:kern w:val="20"/>
          <w:sz w:val="24"/>
          <w:szCs w:val="24"/>
          <w:lang w:val="en-GB" w:eastAsia="zh-Hans"/>
        </w:rPr>
        <w:t>网络为网络平台的移动护理解决方案。系统将病人相关的各种信息，通过无线网络与移动终端连接，实现护士在病床边实现查询病人疾病信息，采集生命体征，执行医嘱等功能；也可以快速检索病人的护理、检验检查等临床信息；还可以完成护理评估评分，健康教育，护理计划等业务。该系统还将二维码技术应用于病人腕带，通过</w:t>
      </w:r>
      <w:r>
        <w:rPr>
          <w:rFonts w:hint="default" w:ascii="宋体" w:hAnsi="宋体" w:eastAsia="宋体" w:cs="宋体"/>
          <w:kern w:val="20"/>
          <w:sz w:val="24"/>
          <w:szCs w:val="24"/>
          <w:lang w:val="en-GB" w:eastAsia="zh-Hans"/>
        </w:rPr>
        <w:t>PDA</w:t>
      </w:r>
      <w:r>
        <w:rPr>
          <w:rFonts w:hint="eastAsia" w:ascii="宋体" w:hAnsi="宋体" w:eastAsia="宋体" w:cs="宋体"/>
          <w:kern w:val="20"/>
          <w:sz w:val="24"/>
          <w:szCs w:val="24"/>
          <w:lang w:val="en-GB" w:eastAsia="zh-Hans"/>
        </w:rPr>
        <w:t>扫描，准确识别病人信息。</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一体化综合护理系统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提供给病区护士使用的护理业务系统，提供与护理程序相关的业务功能。它是对护士工作站功能的补充，同时提供表单、报表等工具用于护理业务中对表单和报表的设计、打印。通过系统，护士可以在床旁完成病人的护理评估、评分、宣教等业务工作，并可以按照要求的格式打印归档，省去了手工填写或转抄表单的工作。</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提供给护士长及护理部使用的管理系统，提供对护理人员管理、病区排班、病区工作检查、护理质量评价、不良事件上报等护理管理业务功能。</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default" w:ascii="Cambria" w:hAnsi="Cambria"/>
          <w:kern w:val="20"/>
          <w:szCs w:val="20"/>
          <w:lang w:val="en-US" w:eastAsia="zh-CN"/>
        </w:rPr>
      </w:pPr>
      <w:r>
        <w:rPr>
          <w:rFonts w:hint="eastAsia" w:ascii="宋体" w:hAnsi="宋体" w:eastAsia="宋体" w:cs="宋体"/>
          <w:kern w:val="20"/>
          <w:sz w:val="24"/>
          <w:szCs w:val="24"/>
          <w:lang w:val="en-US" w:eastAsia="zh-CN"/>
        </w:rPr>
        <w:t>移动门诊输液系统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移动门诊输液，以适当的成本实现门诊输液的闭环管理，极大的推动了医院信息化建设，为患者提供了更友好的服务，方便了护士的工作。</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移动门诊输液系统主要完成护士在急诊或儿科的输液工作，功能涵盖接单，配液，穿刺，巡视等，全条码化移动处理，帮助护士提高工作效率和服务质量。</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移动查房系统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系统应用移动开发框架，以平板为手持硬件平台，以无线局域网为网络平台，提供了跨平台的移动查房解决方案。系统将病人相关的各种信息，通过无线网络与移动终端连接，实现医生在病床边实现查询病人疾病信息，浏览各类医嘱，病历、检验、检查等信息；同时也可以进行新医嘱的下达；在院内信息系统支持的前提下，也能在移动终端中进行观片操作。</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重症监护系统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利用先进的</w:t>
      </w:r>
      <w:r>
        <w:rPr>
          <w:rFonts w:hint="default" w:ascii="宋体" w:hAnsi="宋体" w:eastAsia="宋体" w:cs="宋体"/>
          <w:kern w:val="20"/>
          <w:sz w:val="24"/>
          <w:szCs w:val="24"/>
          <w:lang w:val="en-GB" w:eastAsia="zh-Hans"/>
        </w:rPr>
        <w:t>IT</w:t>
      </w:r>
      <w:r>
        <w:rPr>
          <w:rFonts w:hint="eastAsia" w:ascii="宋体" w:hAnsi="宋体" w:eastAsia="宋体" w:cs="宋体"/>
          <w:kern w:val="20"/>
          <w:sz w:val="24"/>
          <w:szCs w:val="24"/>
          <w:lang w:val="en-GB" w:eastAsia="zh-Hans"/>
        </w:rPr>
        <w:t>信息技术结合设备集成，打造数字化、移动化、智能化一体</w:t>
      </w:r>
      <w:r>
        <w:rPr>
          <w:rFonts w:hint="default" w:ascii="宋体" w:hAnsi="宋体" w:eastAsia="宋体" w:cs="宋体"/>
          <w:kern w:val="20"/>
          <w:sz w:val="24"/>
          <w:szCs w:val="24"/>
          <w:lang w:val="en-GB" w:eastAsia="zh-Hans"/>
        </w:rPr>
        <w:t>ICU</w:t>
      </w:r>
      <w:r>
        <w:rPr>
          <w:rFonts w:hint="eastAsia" w:ascii="宋体" w:hAnsi="宋体" w:eastAsia="宋体" w:cs="宋体"/>
          <w:kern w:val="20"/>
          <w:sz w:val="24"/>
          <w:szCs w:val="24"/>
          <w:lang w:val="en-GB" w:eastAsia="zh-Hans"/>
        </w:rPr>
        <w:t>解决方案。协助</w:t>
      </w:r>
      <w:r>
        <w:rPr>
          <w:rFonts w:hint="default" w:ascii="宋体" w:hAnsi="宋体" w:eastAsia="宋体" w:cs="宋体"/>
          <w:kern w:val="20"/>
          <w:sz w:val="24"/>
          <w:szCs w:val="24"/>
          <w:lang w:val="en-GB" w:eastAsia="zh-Hans"/>
        </w:rPr>
        <w:t>ICU</w:t>
      </w:r>
      <w:r>
        <w:rPr>
          <w:rFonts w:hint="eastAsia" w:ascii="宋体" w:hAnsi="宋体" w:eastAsia="宋体" w:cs="宋体"/>
          <w:kern w:val="20"/>
          <w:sz w:val="24"/>
          <w:szCs w:val="24"/>
          <w:lang w:val="en-GB" w:eastAsia="zh-Hans"/>
        </w:rPr>
        <w:t>医护人员对患者进行全方位监护，为医护人员提供诊疗决策支持，为科室梳理和规范工作流程，减少人为差错，协助打造安全高效的</w:t>
      </w:r>
      <w:r>
        <w:rPr>
          <w:rFonts w:hint="default" w:ascii="宋体" w:hAnsi="宋体" w:eastAsia="宋体" w:cs="宋体"/>
          <w:kern w:val="20"/>
          <w:sz w:val="24"/>
          <w:szCs w:val="24"/>
          <w:lang w:val="en-GB" w:eastAsia="zh-Hans"/>
        </w:rPr>
        <w:t>ICU</w:t>
      </w:r>
      <w:r>
        <w:rPr>
          <w:rFonts w:hint="eastAsia" w:ascii="宋体" w:hAnsi="宋体" w:eastAsia="宋体" w:cs="宋体"/>
          <w:kern w:val="20"/>
          <w:sz w:val="24"/>
          <w:szCs w:val="24"/>
          <w:lang w:val="en-GB" w:eastAsia="zh-Hans"/>
        </w:rPr>
        <w:t>。通过对病人全病程的记录，为医护人员提供患者</w:t>
      </w:r>
      <w:r>
        <w:rPr>
          <w:rFonts w:hint="default" w:ascii="宋体" w:hAnsi="宋体" w:eastAsia="宋体" w:cs="宋体"/>
          <w:kern w:val="20"/>
          <w:sz w:val="24"/>
          <w:szCs w:val="24"/>
          <w:lang w:val="en-GB" w:eastAsia="zh-Hans"/>
        </w:rPr>
        <w:t>360</w:t>
      </w:r>
      <w:r>
        <w:rPr>
          <w:rFonts w:hint="eastAsia" w:ascii="宋体" w:hAnsi="宋体" w:eastAsia="宋体" w:cs="宋体"/>
          <w:kern w:val="20"/>
          <w:sz w:val="24"/>
          <w:szCs w:val="24"/>
          <w:lang w:val="en-GB" w:eastAsia="zh-Hans"/>
        </w:rPr>
        <w:t>度全方位信息</w:t>
      </w:r>
      <w:r>
        <w:rPr>
          <w:rFonts w:hint="eastAsia" w:ascii="宋体" w:hAnsi="宋体" w:eastAsia="宋体" w:cs="宋体"/>
          <w:kern w:val="20"/>
          <w:sz w:val="24"/>
          <w:szCs w:val="24"/>
          <w:lang w:val="en-GB" w:eastAsia="zh-CN"/>
        </w:rPr>
        <w:t>，支持微信</w:t>
      </w:r>
      <w:r>
        <w:rPr>
          <w:rFonts w:hint="eastAsia" w:ascii="宋体" w:hAnsi="宋体" w:eastAsia="宋体" w:cs="宋体"/>
          <w:kern w:val="20"/>
          <w:sz w:val="24"/>
          <w:szCs w:val="24"/>
          <w:lang w:val="en-US" w:eastAsia="zh-CN"/>
        </w:rPr>
        <w:t>小程序应用</w:t>
      </w:r>
      <w:r>
        <w:rPr>
          <w:rFonts w:hint="eastAsia" w:ascii="宋体" w:hAnsi="宋体" w:eastAsia="宋体" w:cs="宋体"/>
          <w:kern w:val="20"/>
          <w:sz w:val="24"/>
          <w:szCs w:val="24"/>
          <w:lang w:val="en-GB" w:eastAsia="zh-Hans"/>
        </w:rPr>
        <w:t>。除此以外，</w:t>
      </w:r>
      <w:r>
        <w:rPr>
          <w:rFonts w:hint="default" w:ascii="宋体" w:hAnsi="宋体" w:eastAsia="宋体" w:cs="宋体"/>
          <w:kern w:val="20"/>
          <w:sz w:val="24"/>
          <w:szCs w:val="24"/>
          <w:lang w:val="en-GB" w:eastAsia="zh-Hans"/>
        </w:rPr>
        <w:t>ICU</w:t>
      </w:r>
      <w:r>
        <w:rPr>
          <w:rFonts w:hint="eastAsia" w:ascii="宋体" w:hAnsi="宋体" w:eastAsia="宋体" w:cs="宋体"/>
          <w:kern w:val="20"/>
          <w:sz w:val="24"/>
          <w:szCs w:val="24"/>
          <w:lang w:val="en-GB" w:eastAsia="zh-Hans"/>
        </w:rPr>
        <w:t>信息系统能够协助管理层随时查看患者信息、医务人员工作安排、设备运行状况和耗材使用量；通过高级统计功能，自定义检索条件，以直观的图表协助管理人员监控科室运营，实现临床质量的闭环管理。</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default" w:ascii="Times New Roman" w:hAnsi="Times New Roman" w:eastAsia="宋体" w:cs="Times New Roman"/>
          <w:smallCaps/>
          <w:kern w:val="2"/>
          <w:sz w:val="20"/>
          <w:lang w:val="en-US" w:eastAsia="zh-CN" w:bidi="ar-SA"/>
        </w:rPr>
      </w:pPr>
      <w:r>
        <w:rPr>
          <w:rFonts w:hint="eastAsia" w:ascii="宋体" w:hAnsi="宋体" w:eastAsia="宋体" w:cs="宋体"/>
          <w:smallCaps/>
          <w:kern w:val="2"/>
          <w:sz w:val="24"/>
          <w:szCs w:val="24"/>
          <w:lang w:val="en-US" w:eastAsia="zh-CN" w:bidi="ar-SA"/>
        </w:rPr>
        <w:t>临床辅助决策系统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临床决策辅助支持</w:t>
      </w:r>
      <w:r>
        <w:rPr>
          <w:rFonts w:hint="default" w:ascii="宋体" w:hAnsi="宋体" w:eastAsia="宋体" w:cs="宋体"/>
          <w:kern w:val="20"/>
          <w:sz w:val="24"/>
          <w:szCs w:val="24"/>
          <w:lang w:val="en-GB" w:eastAsia="zh-Hans"/>
        </w:rPr>
        <w:t>CDSS</w:t>
      </w:r>
      <w:r>
        <w:rPr>
          <w:rFonts w:hint="eastAsia" w:ascii="宋体" w:hAnsi="宋体" w:eastAsia="宋体" w:cs="宋体"/>
          <w:kern w:val="20"/>
          <w:sz w:val="24"/>
          <w:szCs w:val="24"/>
          <w:lang w:val="en-GB" w:eastAsia="zh-Hans"/>
        </w:rPr>
        <w:t>是提升医疗质量的重要手段，根本目的是为了评估和提高医疗质量，减少医疗差错，从而控制医疗费用的支出。临床医生可以通过系统深入分析病历资料，从而做出最恰当的诊疗决策。包括各类报告展示、临床行为监管、检验知识库、检查知识库等功能。</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生命体征采集系统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各种护理设备可按照协议快速接入护理系统，实现快速且准确的数据采集，提高医护效率，实时数据上传，后台服务器实时监测；多种标准接口对接方式，直接控制的</w:t>
      </w:r>
      <w:r>
        <w:rPr>
          <w:rFonts w:hint="default" w:ascii="宋体" w:hAnsi="宋体" w:eastAsia="宋体" w:cs="宋体"/>
          <w:kern w:val="20"/>
          <w:sz w:val="24"/>
          <w:szCs w:val="24"/>
          <w:lang w:val="en-GB" w:eastAsia="zh-Hans"/>
        </w:rPr>
        <w:t>I/O</w:t>
      </w:r>
      <w:r>
        <w:rPr>
          <w:rFonts w:hint="eastAsia" w:ascii="宋体" w:hAnsi="宋体" w:eastAsia="宋体" w:cs="宋体"/>
          <w:kern w:val="20"/>
          <w:sz w:val="24"/>
          <w:szCs w:val="24"/>
          <w:lang w:val="en-GB" w:eastAsia="zh-Hans"/>
        </w:rPr>
        <w:t>口、低功耗的物联网接口，标准的</w:t>
      </w:r>
      <w:r>
        <w:rPr>
          <w:rFonts w:hint="default" w:ascii="宋体" w:hAnsi="宋体" w:eastAsia="宋体" w:cs="宋体"/>
          <w:kern w:val="20"/>
          <w:sz w:val="24"/>
          <w:szCs w:val="24"/>
          <w:lang w:val="en-GB" w:eastAsia="zh-Hans"/>
        </w:rPr>
        <w:t>USB</w:t>
      </w:r>
      <w:r>
        <w:rPr>
          <w:rFonts w:hint="eastAsia" w:ascii="宋体" w:hAnsi="宋体" w:eastAsia="宋体" w:cs="宋体"/>
          <w:kern w:val="20"/>
          <w:sz w:val="24"/>
          <w:szCs w:val="24"/>
          <w:lang w:val="en-GB" w:eastAsia="zh-Hans"/>
        </w:rPr>
        <w:t>接口及蓝牙接口等，实现体征采集设备数据快速采集。</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通用治疗系统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针对医院中开展的需要持续多次重复执行的治疗项目，不包括药物治疗（如化疗、输液、注射等）、手术治疗，进行治疗记录填写的系统。</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default"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院前急救信息系统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59" w:firstLineChars="233"/>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建设围绕中心医院的智慧急救平台，部署在医院急救指挥中心，并与120急救中心协同指挥，记录院前急救相关业务信息，应包括区域协同急救过程实时质控系统、区域协同急诊转诊系统、区域急救移动协同工作系统、区域协同多方音视频会诊系统和区域急救综合运维管理系统，对接医院急诊信息系统、专科救治中心系统和专家会诊中心系统</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default"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日间手术管理系统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运用在有日间手术业务的医院，通过信息化建设支撑新的手术业务流程，该系统实现了门诊就诊、日间手术申请、术前检查、术前评估、中心审核、手术预约、手术安排、术前通知、出入院手续办理、健康宣教、术前谈话签字、入院评估、手术跟踪、出院评估以及术后随访数字化管理，高度集成了日间病人在整个流程中所有的诊疗信息（医嘱、检验、检查、病历等），全面优化了日间手术流程。医生、中心护士可以随时关注每一个日间病人的日间手术流程进度，及时有效地为病人提供优质服务。系统不仅对日间手术患者进行管理，日间化疗、日间透析等需要日间病床服务的病人都被纳入到管理范畴</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院内多学科会诊系统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jc w:val="left"/>
        <w:textAlignment w:val="auto"/>
        <w:rPr>
          <w:rFonts w:hint="eastAsia" w:ascii="宋体" w:hAnsi="宋体" w:eastAsia="宋体" w:cs="宋体"/>
          <w:kern w:val="20"/>
          <w:sz w:val="24"/>
          <w:szCs w:val="24"/>
          <w:lang w:val="en-GB" w:eastAsia="zh-Hans"/>
        </w:rPr>
      </w:pPr>
      <w:r>
        <w:rPr>
          <w:rFonts w:hint="eastAsia" w:ascii="Cambria" w:hAnsi="Cambria"/>
          <w:kern w:val="20"/>
          <w:szCs w:val="20"/>
          <w:lang w:val="en-US" w:eastAsia="zh-CN"/>
        </w:rPr>
        <w:t xml:space="preserve"> </w:t>
      </w:r>
      <w:r>
        <w:rPr>
          <w:rFonts w:hint="eastAsia" w:ascii="宋体" w:hAnsi="宋体" w:eastAsia="宋体" w:cs="宋体"/>
          <w:kern w:val="20"/>
          <w:sz w:val="24"/>
          <w:szCs w:val="24"/>
          <w:lang w:val="en-GB" w:eastAsia="zh-Hans"/>
        </w:rPr>
        <w:t>以提高院内多学科诊疗模式为核心，实现面向院内各科室间的协同诊疗，建立一体化的院内多学科协同医疗平台，满足跨学科、多专家交互/非交互式的院内多学科协同诊断业务，实现跨科室之间的互联互通和医疗数据共享，开展疑难重症疾病诊疗服务，实现多点对多点的跨科室、均等化、体系配套的院内多学科协同医疗服务体系，进一步提升医院整体医疗服务水平和协同诊疗效率</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危急值管理平台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实现危急值的快速甄别、正确确认、及时发送/接收、危急值报告流程的监控/分析，从而有效提高患者安全管理水平，降低医疗风险。</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default" w:ascii="Cambria" w:hAnsi="Cambria"/>
          <w:kern w:val="20"/>
          <w:szCs w:val="20"/>
          <w:lang w:val="en-US" w:eastAsia="zh-CN"/>
        </w:rPr>
      </w:pPr>
      <w:r>
        <w:rPr>
          <w:rFonts w:hint="eastAsia" w:ascii="宋体" w:hAnsi="宋体" w:eastAsia="宋体" w:cs="宋体"/>
          <w:kern w:val="20"/>
          <w:sz w:val="24"/>
          <w:szCs w:val="24"/>
          <w:lang w:val="en-US" w:eastAsia="zh-CN"/>
        </w:rPr>
        <w:t>结构化诊断管理系统</w:t>
      </w:r>
    </w:p>
    <w:p>
      <w:pPr>
        <w:pageBreakBefore w:val="0"/>
        <w:widowControl/>
        <w:numPr>
          <w:ilvl w:val="0"/>
          <w:numId w:val="0"/>
        </w:numPr>
        <w:kinsoku/>
        <w:wordWrap/>
        <w:overflowPunct/>
        <w:topLinePunct w:val="0"/>
        <w:autoSpaceDE/>
        <w:autoSpaceDN/>
        <w:bidi w:val="0"/>
        <w:adjustRightInd/>
        <w:snapToGrid/>
        <w:spacing w:line="360" w:lineRule="auto"/>
        <w:ind w:leftChars="0" w:firstLine="720" w:firstLineChars="3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通过临床诊断标准名维护、通用模糊搜索</w:t>
      </w:r>
      <w:r>
        <w:rPr>
          <w:rFonts w:hint="eastAsia" w:ascii="宋体" w:hAnsi="宋体" w:cs="宋体"/>
          <w:kern w:val="0"/>
          <w:sz w:val="24"/>
          <w:szCs w:val="21"/>
          <w:lang w:val="zh-CN" w:bidi="lo-LA"/>
        </w:rPr>
        <w:t>检索生成所有的ICD10编码临床诊断库</w:t>
      </w:r>
      <w:r>
        <w:rPr>
          <w:rFonts w:hint="eastAsia" w:ascii="宋体" w:hAnsi="宋体" w:cs="宋体"/>
          <w:kern w:val="0"/>
          <w:sz w:val="24"/>
          <w:szCs w:val="21"/>
          <w:lang w:val="zh-CN" w:eastAsia="zh-CN" w:bidi="lo-LA"/>
        </w:rPr>
        <w:t>，</w:t>
      </w:r>
      <w:r>
        <w:rPr>
          <w:rFonts w:hint="eastAsia" w:ascii="宋体" w:hAnsi="宋体" w:cs="宋体"/>
          <w:kern w:val="0"/>
          <w:sz w:val="24"/>
          <w:szCs w:val="21"/>
          <w:lang w:val="zh-CN" w:bidi="lo-LA"/>
        </w:rPr>
        <w:t>能与电子病历无缝结合，实现将选中诊断结果返回给电子病历</w:t>
      </w:r>
      <w:r>
        <w:rPr>
          <w:rFonts w:hint="eastAsia" w:ascii="宋体" w:hAnsi="宋体" w:cs="宋体"/>
          <w:kern w:val="0"/>
          <w:sz w:val="24"/>
          <w:szCs w:val="21"/>
          <w:lang w:val="zh-CN" w:eastAsia="zh-CN" w:bidi="lo-LA"/>
        </w:rPr>
        <w:t>，</w:t>
      </w:r>
      <w:r>
        <w:rPr>
          <w:rFonts w:hint="eastAsia" w:ascii="宋体" w:hAnsi="宋体" w:cs="宋体"/>
          <w:kern w:val="0"/>
          <w:sz w:val="24"/>
          <w:szCs w:val="21"/>
          <w:lang w:val="zh-CN" w:bidi="lo-LA"/>
        </w:rPr>
        <w:t>具备临床诊断按个人、科室、中心和全院范围内搜索功能，具备按关键词模糊搜索诊断名称功能以及搜索记忆功能</w:t>
      </w:r>
      <w:r>
        <w:rPr>
          <w:rFonts w:hint="eastAsia" w:ascii="宋体" w:hAnsi="宋体" w:cs="宋体"/>
          <w:kern w:val="0"/>
          <w:sz w:val="24"/>
          <w:szCs w:val="21"/>
          <w:lang w:val="zh-CN" w:eastAsia="zh-CN" w:bidi="lo-LA"/>
        </w:rPr>
        <w:t>，</w:t>
      </w:r>
      <w:r>
        <w:rPr>
          <w:rFonts w:hint="eastAsia" w:ascii="宋体" w:hAnsi="宋体" w:cs="宋体"/>
          <w:kern w:val="0"/>
          <w:sz w:val="24"/>
          <w:szCs w:val="21"/>
          <w:lang w:val="zh-CN" w:bidi="lo-LA"/>
        </w:rPr>
        <w:t>对诊断或分组进行分别进行检索功能</w:t>
      </w:r>
      <w:r>
        <w:rPr>
          <w:rFonts w:hint="eastAsia" w:ascii="宋体" w:hAnsi="宋体" w:cs="宋体"/>
          <w:kern w:val="0"/>
          <w:sz w:val="24"/>
          <w:szCs w:val="21"/>
          <w:lang w:val="zh-CN" w:eastAsia="zh-CN" w:bidi="lo-LA"/>
        </w:rPr>
        <w:t>，并能</w:t>
      </w:r>
      <w:r>
        <w:rPr>
          <w:rFonts w:hint="eastAsia" w:ascii="宋体" w:hAnsi="宋体" w:cs="宋体"/>
          <w:kern w:val="0"/>
          <w:sz w:val="24"/>
          <w:szCs w:val="21"/>
          <w:lang w:val="zh-CN" w:bidi="lo-LA"/>
        </w:rPr>
        <w:t>实现医院根据需求自定义修改编辑编码库和诊断库</w:t>
      </w:r>
      <w:r>
        <w:rPr>
          <w:rFonts w:hint="eastAsia" w:ascii="宋体" w:hAnsi="宋体" w:cs="宋体"/>
          <w:kern w:val="0"/>
          <w:sz w:val="24"/>
          <w:szCs w:val="21"/>
          <w:lang w:val="zh-CN" w:eastAsia="zh-CN" w:bidi="lo-LA"/>
        </w:rPr>
        <w:t>。</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电生理工作站</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Cambria" w:hAnsi="Cambria"/>
          <w:kern w:val="20"/>
          <w:szCs w:val="20"/>
          <w:lang w:val="en-US" w:eastAsia="zh-CN"/>
        </w:rPr>
      </w:pPr>
      <w:r>
        <w:rPr>
          <w:rFonts w:hint="eastAsia" w:ascii="宋体" w:hAnsi="宋体" w:eastAsia="宋体" w:cs="宋体"/>
          <w:kern w:val="20"/>
          <w:sz w:val="24"/>
          <w:szCs w:val="24"/>
          <w:lang w:val="en-US" w:eastAsia="zh-CN"/>
        </w:rPr>
        <w:t>系统减轻医生工作量，提高检查效率，满足医院的电生理科室需求，实现电生理检查从预约登记，操作检查，编写报告，集中存储，网络传输，临床共享，医生会诊，统计检索全流程的数字化管理模式，优化电生理科室数字化的工作流程，实现医生工作站调阅检查资料和报告。</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default" w:ascii="Cambria" w:hAnsi="Cambria"/>
          <w:kern w:val="20"/>
          <w:szCs w:val="20"/>
          <w:lang w:val="en-US" w:eastAsia="zh-CN"/>
        </w:rPr>
      </w:pPr>
      <w:r>
        <w:rPr>
          <w:rFonts w:hint="eastAsia" w:ascii="宋体" w:hAnsi="宋体" w:eastAsia="宋体" w:cs="宋体"/>
          <w:kern w:val="20"/>
          <w:sz w:val="24"/>
          <w:szCs w:val="24"/>
          <w:lang w:val="en-US" w:eastAsia="zh-CN"/>
        </w:rPr>
        <w:t>体检系统</w:t>
      </w:r>
    </w:p>
    <w:p>
      <w:pPr>
        <w:pageBreakBefore w:val="0"/>
        <w:widowControl/>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en-US" w:eastAsia="zh-CN"/>
        </w:rPr>
      </w:pPr>
      <w:r>
        <w:rPr>
          <w:rFonts w:hint="default" w:ascii="宋体" w:hAnsi="宋体" w:eastAsia="宋体" w:cs="宋体"/>
          <w:kern w:val="20"/>
          <w:sz w:val="24"/>
          <w:szCs w:val="24"/>
          <w:lang w:val="en-US" w:eastAsia="zh-CN"/>
        </w:rPr>
        <w:t>包含体检预约、科室检查、检查结果录入、报告生成等</w:t>
      </w:r>
      <w:r>
        <w:rPr>
          <w:rFonts w:hint="eastAsia" w:ascii="宋体" w:hAnsi="宋体" w:eastAsia="宋体" w:cs="宋体"/>
          <w:kern w:val="20"/>
          <w:sz w:val="24"/>
          <w:szCs w:val="24"/>
          <w:lang w:val="en-US" w:eastAsia="zh-CN"/>
        </w:rPr>
        <w:t>,支持线上微信公众号或小程序应用</w:t>
      </w:r>
      <w:r>
        <w:rPr>
          <w:rFonts w:hint="default" w:ascii="宋体" w:hAnsi="宋体" w:eastAsia="宋体" w:cs="宋体"/>
          <w:kern w:val="20"/>
          <w:sz w:val="24"/>
          <w:szCs w:val="24"/>
          <w:lang w:val="en-US" w:eastAsia="zh-CN"/>
        </w:rPr>
        <w:t>，通过软件系统进行数据分析统计与评判以及建立体检相关的体检档案。从而实现体检流程的信息化，提高工作效率，减少手动结果录入的一些常犯错误，有效降低医院体检总体成本支出</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不良事件上报系统</w:t>
      </w:r>
    </w:p>
    <w:p>
      <w:pPr>
        <w:pageBreakBefore w:val="0"/>
        <w:widowControl/>
        <w:kinsoku/>
        <w:wordWrap/>
        <w:overflowPunct/>
        <w:topLinePunct w:val="0"/>
        <w:autoSpaceDE/>
        <w:autoSpaceDN/>
        <w:bidi w:val="0"/>
        <w:adjustRightInd/>
        <w:snapToGrid/>
        <w:spacing w:beforeLines="0" w:afterLines="0" w:line="360" w:lineRule="auto"/>
        <w:ind w:firstLine="42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不良事件上报管理系统对于事件进行系统化统计分析，查找根本原因，从而有的放矢的进行改进，事件的统计分析包括系统汇总保存的报告数据，根据系统提供的统计功能，可以方便作出统计报表，为医院提出改善措施提供量化的依据。通过汇集不同类型事件的报告，从中分析出医院内部潜在的问题和风险，将发生的事故降到最低，从而保证病人安全和医护人员安全。</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抗菌药物管理系统</w:t>
      </w:r>
    </w:p>
    <w:p>
      <w:pPr>
        <w:pageBreakBefore w:val="0"/>
        <w:widowControl/>
        <w:kinsoku/>
        <w:wordWrap/>
        <w:overflowPunct/>
        <w:topLinePunct w:val="0"/>
        <w:autoSpaceDE/>
        <w:autoSpaceDN/>
        <w:bidi w:val="0"/>
        <w:adjustRightInd/>
        <w:snapToGrid/>
        <w:spacing w:beforeLines="0" w:afterLines="0" w:line="360" w:lineRule="auto"/>
        <w:ind w:firstLine="42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管理抗菌药物的开具权限，对抗菌药物使用对象进行监控、分析和管理的信息系统。</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静脉药物配置管理系统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静脉药物配置管理系统使静脉药物配置中心建立了医、</w:t>
      </w:r>
      <w:r>
        <w:rPr>
          <w:rFonts w:hint="default" w:ascii="宋体" w:hAnsi="宋体" w:eastAsia="宋体" w:cs="宋体"/>
          <w:kern w:val="20"/>
          <w:sz w:val="24"/>
          <w:szCs w:val="24"/>
          <w:lang w:val="en-GB" w:eastAsia="zh-Hans"/>
        </w:rPr>
        <w:t xml:space="preserve"> </w:t>
      </w:r>
      <w:r>
        <w:rPr>
          <w:rFonts w:hint="eastAsia" w:ascii="宋体" w:hAnsi="宋体" w:eastAsia="宋体" w:cs="宋体"/>
          <w:kern w:val="20"/>
          <w:sz w:val="24"/>
          <w:szCs w:val="24"/>
          <w:lang w:val="en-GB" w:eastAsia="zh-Hans"/>
        </w:rPr>
        <w:t>药、</w:t>
      </w:r>
      <w:r>
        <w:rPr>
          <w:rFonts w:hint="default" w:ascii="宋体" w:hAnsi="宋体" w:eastAsia="宋体" w:cs="宋体"/>
          <w:kern w:val="20"/>
          <w:sz w:val="24"/>
          <w:szCs w:val="24"/>
          <w:lang w:val="en-GB" w:eastAsia="zh-Hans"/>
        </w:rPr>
        <w:t xml:space="preserve"> </w:t>
      </w:r>
      <w:r>
        <w:rPr>
          <w:rFonts w:hint="eastAsia" w:ascii="宋体" w:hAnsi="宋体" w:eastAsia="宋体" w:cs="宋体"/>
          <w:kern w:val="20"/>
          <w:sz w:val="24"/>
          <w:szCs w:val="24"/>
          <w:lang w:val="en-GB" w:eastAsia="zh-Hans"/>
        </w:rPr>
        <w:t>护三方的沟通渠道，支持由医嘱生成领药单自动传到静脉药物集中配置中心，中心药师登录系统后到发药管理的配置中心医嘱审查窗口审核处方，作相容性检查等，审查通过的医嘱单即安排配置计划，审查没有通过的返回护士站通知科室护士，由该科医生修改医嘱后再提交重审。确认发药前由配液中心人员按医嘱组收取配置费用，之后打印输液标签、排药，</w:t>
      </w:r>
      <w:r>
        <w:rPr>
          <w:rFonts w:hint="default" w:ascii="宋体" w:hAnsi="宋体" w:eastAsia="宋体" w:cs="宋体"/>
          <w:kern w:val="20"/>
          <w:sz w:val="24"/>
          <w:szCs w:val="24"/>
          <w:lang w:val="en-GB" w:eastAsia="zh-Hans"/>
        </w:rPr>
        <w:t xml:space="preserve"> </w:t>
      </w:r>
      <w:r>
        <w:rPr>
          <w:rFonts w:hint="eastAsia" w:ascii="宋体" w:hAnsi="宋体" w:eastAsia="宋体" w:cs="宋体"/>
          <w:kern w:val="20"/>
          <w:sz w:val="24"/>
          <w:szCs w:val="24"/>
          <w:lang w:val="en-GB" w:eastAsia="zh-Hans"/>
        </w:rPr>
        <w:t>中心护士进行输液配置，药师进行核对，包装后按批次送到病区，由科室护士接收核对，无误后进行临床给药。</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医务管理系统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医务管理系统是网络科技、医疗与互联网技术等多项技术相结合的产物，是一个开放的分布式应用系统，它以计算机网络通信为基础，通过多种数字传输的方式，实现资料档案数据传输、存储、查询、比较和显示。医务管理系统重点解决医师的档案资料管理、手术、处方、三级查房等权限的审批监管、医疗技术管理、医师出勤排班、绩效考核等方面的存在的问题，实现材料档案有序存档，权限资质严格管控，临床的业务信息及时了解，管理和业务互联互通。</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医联体管理系统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根据区卫健委全民健康信息平台的总体要求和标准接口，完成区域影像、区域检验、平台数据集的共享、双向转诊等数据和业务对接。</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电子签章管理系统（CA）</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GB" w:eastAsia="zh-Hans"/>
        </w:rPr>
      </w:pPr>
      <w:r>
        <w:rPr>
          <w:rFonts w:hint="default" w:ascii="宋体" w:hAnsi="宋体" w:eastAsia="宋体" w:cs="宋体"/>
          <w:kern w:val="20"/>
          <w:sz w:val="24"/>
          <w:szCs w:val="24"/>
          <w:lang w:val="en-GB" w:eastAsia="zh-Hans"/>
        </w:rPr>
        <w:t xml:space="preserve"> </w:t>
      </w:r>
      <w:r>
        <w:rPr>
          <w:rFonts w:hint="eastAsia" w:ascii="宋体" w:hAnsi="宋体" w:eastAsia="宋体" w:cs="宋体"/>
          <w:kern w:val="20"/>
          <w:sz w:val="24"/>
          <w:szCs w:val="24"/>
          <w:lang w:val="en-GB" w:eastAsia="zh-Hans"/>
        </w:rPr>
        <w:t>为医院提供</w:t>
      </w:r>
      <w:bookmarkStart w:id="135" w:name="_Toc415665969"/>
      <w:bookmarkStart w:id="136" w:name="_Toc421537553"/>
      <w:bookmarkStart w:id="137" w:name="_Toc64906315"/>
      <w:bookmarkStart w:id="138" w:name="_Toc65230350"/>
      <w:r>
        <w:rPr>
          <w:rFonts w:hint="eastAsia" w:ascii="宋体" w:hAnsi="宋体" w:eastAsia="宋体" w:cs="宋体"/>
          <w:kern w:val="20"/>
          <w:sz w:val="24"/>
          <w:szCs w:val="24"/>
          <w:lang w:val="en-GB" w:eastAsia="zh-Hans"/>
        </w:rPr>
        <w:t>基础应用安全支撑体系建设</w:t>
      </w:r>
      <w:bookmarkEnd w:id="135"/>
      <w:bookmarkEnd w:id="136"/>
      <w:bookmarkEnd w:id="137"/>
      <w:bookmarkEnd w:id="138"/>
      <w:r>
        <w:rPr>
          <w:rFonts w:hint="eastAsia" w:ascii="宋体" w:hAnsi="宋体" w:eastAsia="宋体" w:cs="宋体"/>
          <w:kern w:val="20"/>
          <w:sz w:val="24"/>
          <w:szCs w:val="24"/>
          <w:lang w:val="en-GB" w:eastAsia="zh-Hans"/>
        </w:rPr>
        <w:t>，包括身份认证、数字签名和验证、电子签章等功能。</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随访管理系统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GB" w:eastAsia="zh-Hans"/>
        </w:rPr>
      </w:pPr>
      <w:r>
        <w:rPr>
          <w:rFonts w:hint="eastAsia" w:ascii="宋体" w:hAnsi="宋体" w:eastAsia="宋体" w:cs="宋体"/>
          <w:kern w:val="20"/>
          <w:sz w:val="24"/>
          <w:szCs w:val="24"/>
          <w:lang w:val="en-GB" w:eastAsia="zh-Hans"/>
        </w:rPr>
        <w:t>为医疗提高出院病人的跟踪服务管理提供帮助。包括患者信息、出院随访、短信随访、问卷评价、随访分析等功能模板。</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防统方系统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GB" w:eastAsia="zh-Hans"/>
        </w:rPr>
        <w:t>确保医药资金安全，防止利用数据库信息进行“统方”、擅自更改医院和病人信息数据等问题</w:t>
      </w:r>
      <w:r>
        <w:rPr>
          <w:rFonts w:hint="eastAsia" w:ascii="宋体" w:hAnsi="宋体" w:eastAsia="宋体" w:cs="宋体"/>
          <w:kern w:val="20"/>
          <w:sz w:val="24"/>
          <w:szCs w:val="24"/>
          <w:lang w:val="en-GB" w:eastAsia="zh-CN"/>
        </w:rPr>
        <w:t>。</w:t>
      </w:r>
      <w:r>
        <w:rPr>
          <w:rFonts w:hint="eastAsia" w:ascii="宋体" w:hAnsi="宋体" w:eastAsia="宋体" w:cs="宋体"/>
          <w:kern w:val="20"/>
          <w:sz w:val="24"/>
          <w:szCs w:val="24"/>
          <w:lang w:val="en-US" w:eastAsia="zh-CN"/>
        </w:rPr>
        <w:t>通过对医院的海量、无序的数据进行整理及分析，按需记录工作人员的操作行为，提供丰富的检索和关联分析，输出完整的事件报告，供相关人员分析；系统在不会影响医院的HIS、电子病历等应用系统的条件下，可以阻止正在发生的统方行为，也可以监控某些人员利用其特权对敏感数据进行非法复制。</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病案首页数据质量管理系统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病案统计管理系统是基于医疗卫生行业规范，根据医院实际需要开发的一套适用于各类医院病案室和统计室日常病案管理的系统，实现了病案首页管理、归档管理、借阅管理、并提供了一套完整的医疗卫生统计报表。医院病案管理是对医院住院病案对病人的疾病、医疗、手术等情况及门急诊、病房、医技工作量等各种信息进行全面的综合管理</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电子病历全文检索系统</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Cambria" w:hAnsi="Cambria"/>
          <w:kern w:val="20"/>
          <w:szCs w:val="20"/>
          <w:lang w:val="en-US" w:eastAsia="zh-CN"/>
        </w:rPr>
      </w:pPr>
      <w:r>
        <w:rPr>
          <w:rFonts w:hint="eastAsia" w:ascii="宋体" w:hAnsi="宋体" w:eastAsia="宋体" w:cs="宋体"/>
          <w:kern w:val="20"/>
          <w:sz w:val="24"/>
          <w:szCs w:val="24"/>
          <w:lang w:val="en-US" w:eastAsia="zh-CN"/>
        </w:rPr>
        <w:t>系统通过分词和标注等技术，实现了对全院历史病历文书、检查报告等非结构化数据的关键字检索，并支持多关键词组合搜索和多条件智能排序等多种灵活便捷操作，提升了非结构化数据的利用效率，有效解决临床医生查询检索非结构化资料的痛点</w:t>
      </w:r>
      <w:r>
        <w:rPr>
          <w:rFonts w:hint="eastAsia" w:ascii="宋体" w:hAnsi="宋体" w:eastAsia="宋体" w:cs="宋体"/>
          <w:kern w:val="20"/>
          <w:sz w:val="28"/>
          <w:szCs w:val="28"/>
          <w:lang w:val="en-US" w:eastAsia="zh-CN"/>
        </w:rPr>
        <w:t>。</w:t>
      </w:r>
    </w:p>
    <w:p>
      <w:pPr>
        <w:pageBreakBefore w:val="0"/>
        <w:widowControl/>
        <w:numPr>
          <w:ilvl w:val="0"/>
          <w:numId w:val="20"/>
        </w:numPr>
        <w:kinsoku/>
        <w:wordWrap/>
        <w:overflowPunct/>
        <w:topLinePunct w:val="0"/>
        <w:autoSpaceDE/>
        <w:autoSpaceDN/>
        <w:bidi w:val="0"/>
        <w:adjustRightInd/>
        <w:snapToGrid/>
        <w:spacing w:line="360" w:lineRule="auto"/>
        <w:ind w:left="-480" w:leftChars="0" w:firstLine="480" w:firstLineChars="0"/>
        <w:jc w:val="left"/>
        <w:rPr>
          <w:rFonts w:hint="eastAsia" w:ascii="宋体" w:hAnsi="宋体" w:eastAsia="宋体" w:cs="宋体"/>
          <w:kern w:val="20"/>
          <w:sz w:val="24"/>
          <w:szCs w:val="24"/>
          <w:lang w:val="en-US" w:eastAsia="zh-CN"/>
        </w:rPr>
      </w:pPr>
      <w:r>
        <w:rPr>
          <w:rFonts w:hint="default" w:ascii="宋体" w:hAnsi="宋体" w:eastAsia="宋体" w:cs="宋体"/>
          <w:kern w:val="20"/>
          <w:sz w:val="24"/>
          <w:szCs w:val="24"/>
          <w:lang w:val="en-US" w:eastAsia="zh-CN"/>
        </w:rPr>
        <w:t>OA</w:t>
      </w:r>
      <w:r>
        <w:rPr>
          <w:rFonts w:hint="eastAsia" w:ascii="宋体" w:hAnsi="宋体" w:eastAsia="宋体" w:cs="宋体"/>
          <w:kern w:val="20"/>
          <w:sz w:val="24"/>
          <w:szCs w:val="24"/>
          <w:lang w:val="en-US" w:eastAsia="zh-CN"/>
        </w:rPr>
        <w:t>办公系统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为医院能够更好地适应工作信息化的发展，转变其职能，建立符合特色的医院协同办公系统，</w:t>
      </w:r>
      <w:r>
        <w:rPr>
          <w:rFonts w:hint="eastAsia" w:ascii="宋体" w:hAnsi="宋体" w:eastAsia="宋体" w:cs="宋体"/>
          <w:kern w:val="20"/>
          <w:sz w:val="24"/>
          <w:szCs w:val="24"/>
          <w:lang w:val="en-US" w:eastAsia="zh-CN"/>
        </w:rPr>
        <w:t>提供PC端和手机APP，</w:t>
      </w:r>
      <w:r>
        <w:rPr>
          <w:rFonts w:hint="eastAsia" w:ascii="宋体" w:hAnsi="宋体" w:eastAsia="宋体" w:cs="宋体"/>
          <w:kern w:val="20"/>
          <w:sz w:val="24"/>
          <w:szCs w:val="24"/>
          <w:lang w:val="en-US" w:eastAsia="zh-Hans"/>
        </w:rPr>
        <w:t>以资源整合、信息共享、政务公开为目标，提升医院内部人员的工作效率和服务企业的水平层次。包括工作门户、收发文管理、综合办公管理、个人办公管理等功能。</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DRGS管理系统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从覆盖事前预警提醒、事中干预判断、事后决策分析等三个层面需求来建设医院</w:t>
      </w:r>
      <w:r>
        <w:rPr>
          <w:rFonts w:hint="default" w:ascii="宋体" w:hAnsi="宋体" w:eastAsia="宋体" w:cs="宋体"/>
          <w:kern w:val="20"/>
          <w:sz w:val="24"/>
          <w:szCs w:val="24"/>
          <w:lang w:val="en-US" w:eastAsia="zh-Hans"/>
        </w:rPr>
        <w:t>DRG</w:t>
      </w:r>
      <w:r>
        <w:rPr>
          <w:rFonts w:hint="eastAsia" w:ascii="宋体" w:hAnsi="宋体" w:eastAsia="宋体" w:cs="宋体"/>
          <w:kern w:val="20"/>
          <w:sz w:val="24"/>
          <w:szCs w:val="24"/>
          <w:lang w:val="en-US" w:eastAsia="zh-Hans"/>
        </w:rPr>
        <w:t>智能化综合管理系统，辅助医院开展基于全院、专学科、病种等不同维度的医疗服务评价、医保费用监控、病种绩效分析等管理工作，实现医院与区域机构间、专科间的综合评价横向比较，并通过综合智能规则在临床诊疗过程的前置集成应用，实现病案首页前置审核、医保费用管控关口前移，从而为管理决策层提供经营决策支持依据，实现对医院运营情况及时监控及提前预判。</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default" w:ascii="宋体" w:hAnsi="宋体" w:eastAsia="宋体" w:cs="宋体"/>
          <w:smallCaps/>
          <w:kern w:val="2"/>
          <w:sz w:val="24"/>
          <w:szCs w:val="24"/>
          <w:lang w:val="en-US" w:eastAsia="zh-CN" w:bidi="ar-SA"/>
        </w:rPr>
        <w:t>HRP</w:t>
      </w:r>
      <w:r>
        <w:rPr>
          <w:rFonts w:hint="eastAsia" w:ascii="宋体" w:hAnsi="宋体" w:eastAsia="宋体" w:cs="宋体"/>
          <w:smallCaps/>
          <w:kern w:val="2"/>
          <w:sz w:val="24"/>
          <w:szCs w:val="24"/>
          <w:lang w:val="en-US" w:eastAsia="zh-CN" w:bidi="ar-SA"/>
        </w:rPr>
        <w:t>人力资源管理系统</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涵盖医院人力资源管理</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选、用、育、留、考</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五大管理范畴，以医院岗位管理为核心，围绕实现岗位的准入、价值、日常管理等核心需求为出发点，帮助医院建立覆盖全院的人力资源管理体系。在提升医院人力资源管理工作的效率同时，能及时地为管理者提供决策依据，提升医院人力资源管理管理水平。</w:t>
      </w:r>
    </w:p>
    <w:p>
      <w:pPr>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系统功能包含机构管理、岗位管理、人事管理、招聘管理、合同管理、薪酬管理、保险福利、决策分析等功能，充分满足医院的人力资源管理需求，系统具备强大的自定义平台，可充分满足医院的个性化需求。</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default" w:ascii="宋体" w:hAnsi="宋体" w:eastAsia="宋体" w:cs="宋体"/>
          <w:smallCaps/>
          <w:kern w:val="2"/>
          <w:sz w:val="24"/>
          <w:szCs w:val="24"/>
          <w:lang w:val="en-US" w:eastAsia="zh-CN" w:bidi="ar-SA"/>
        </w:rPr>
        <w:t>HRP</w:t>
      </w:r>
      <w:r>
        <w:rPr>
          <w:rFonts w:hint="eastAsia" w:ascii="宋体" w:hAnsi="宋体" w:eastAsia="宋体" w:cs="宋体"/>
          <w:smallCaps/>
          <w:kern w:val="2"/>
          <w:sz w:val="24"/>
          <w:szCs w:val="24"/>
          <w:lang w:val="en-US" w:eastAsia="zh-CN" w:bidi="ar-SA"/>
        </w:rPr>
        <w:t>绩效管理系统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绩效管理系统可同时兼容多种考核模式，软件具有极强的灵活性，可随着医院绩效方案变化而灵活调整。功能包含了绩效计划、绩效考评、绩效奖金、绩效分析整个闭环管理过程中所需的所有功能。系统实现</w:t>
      </w:r>
      <w:r>
        <w:rPr>
          <w:rFonts w:hint="default" w:ascii="宋体" w:hAnsi="宋体" w:eastAsia="宋体" w:cs="宋体"/>
          <w:kern w:val="20"/>
          <w:sz w:val="24"/>
          <w:szCs w:val="24"/>
          <w:lang w:val="en-US" w:eastAsia="zh-Hans"/>
        </w:rPr>
        <w:t>HRP</w:t>
      </w:r>
      <w:r>
        <w:rPr>
          <w:rFonts w:hint="eastAsia" w:ascii="宋体" w:hAnsi="宋体" w:eastAsia="宋体" w:cs="宋体"/>
          <w:kern w:val="20"/>
          <w:sz w:val="24"/>
          <w:szCs w:val="24"/>
          <w:lang w:val="en-US" w:eastAsia="zh-Hans"/>
        </w:rPr>
        <w:t>内部一体化，同时提供了外部数据接口，使绩效管理所需数据可以高效的、及时的传递。</w:t>
      </w:r>
    </w:p>
    <w:p>
      <w:pPr>
        <w:pageBreakBefore w:val="0"/>
        <w:widowControl w:val="0"/>
        <w:numPr>
          <w:ilvl w:val="0"/>
          <w:numId w:val="20"/>
        </w:numPr>
        <w:kinsoku/>
        <w:wordWrap/>
        <w:overflowPunct/>
        <w:topLinePunct w:val="0"/>
        <w:autoSpaceDE/>
        <w:autoSpaceDN/>
        <w:bidi w:val="0"/>
        <w:adjustRightInd/>
        <w:snapToGrid/>
        <w:spacing w:line="360" w:lineRule="auto"/>
        <w:ind w:left="-480" w:leftChars="0" w:firstLine="480" w:firstLineChars="0"/>
        <w:rPr>
          <w:rFonts w:hint="eastAsia" w:ascii="宋体" w:hAnsi="宋体" w:eastAsia="宋体" w:cs="宋体"/>
          <w:smallCaps/>
          <w:kern w:val="2"/>
          <w:sz w:val="24"/>
          <w:szCs w:val="24"/>
          <w:lang w:val="en-US" w:eastAsia="zh-CN" w:bidi="ar-SA"/>
        </w:rPr>
      </w:pPr>
      <w:r>
        <w:rPr>
          <w:rFonts w:hint="default" w:ascii="宋体" w:hAnsi="宋体" w:eastAsia="宋体" w:cs="宋体"/>
          <w:smallCaps/>
          <w:kern w:val="2"/>
          <w:sz w:val="24"/>
          <w:szCs w:val="24"/>
          <w:lang w:val="en-US" w:eastAsia="zh-CN" w:bidi="ar-SA"/>
        </w:rPr>
        <w:t>HRP</w:t>
      </w:r>
      <w:r>
        <w:rPr>
          <w:rFonts w:hint="eastAsia" w:ascii="宋体" w:hAnsi="宋体" w:eastAsia="宋体" w:cs="宋体"/>
          <w:smallCaps/>
          <w:kern w:val="2"/>
          <w:sz w:val="24"/>
          <w:szCs w:val="24"/>
          <w:lang w:val="en-US" w:eastAsia="zh-CN" w:bidi="ar-SA"/>
        </w:rPr>
        <w:t>物资管理系统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打造全院级的采购供应体系，管理到医院各种专业形态、计量形态、价值形态的物资。在保障医疗业务正常开展的情况下，充分降低医院库存资金占用，提高存货周转率，降低物流成本。</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系统功能设计体现了医院物资流动的过程中的所有环节，包括：采购申请、采购执行、供应商协同、采购验收、采购入库、领用申请、二级库、供应商库存（</w:t>
      </w:r>
      <w:r>
        <w:rPr>
          <w:rFonts w:hint="default" w:ascii="宋体" w:hAnsi="宋体" w:eastAsia="宋体" w:cs="宋体"/>
          <w:kern w:val="20"/>
          <w:sz w:val="24"/>
          <w:szCs w:val="24"/>
          <w:lang w:val="en-US" w:eastAsia="zh-Hans"/>
        </w:rPr>
        <w:t>VMI</w:t>
      </w:r>
      <w:r>
        <w:rPr>
          <w:rFonts w:hint="eastAsia" w:ascii="宋体" w:hAnsi="宋体" w:eastAsia="宋体" w:cs="宋体"/>
          <w:kern w:val="20"/>
          <w:sz w:val="24"/>
          <w:szCs w:val="24"/>
          <w:lang w:val="en-US" w:eastAsia="zh-Hans"/>
        </w:rPr>
        <w:t>）、物品出库、高值耗材追踪、物资盘点、供应商管理、合同管理、财务付款、移动应用等功能，既保证使用到病人的器械质量，同时可使医院物品流动的各个环节可控、可追溯，保证医院物品安全、通畅的流通。</w:t>
      </w:r>
    </w:p>
    <w:p>
      <w:pPr>
        <w:pageBreakBefore w:val="0"/>
        <w:widowControl/>
        <w:numPr>
          <w:ilvl w:val="0"/>
          <w:numId w:val="0"/>
        </w:numPr>
        <w:kinsoku/>
        <w:wordWrap/>
        <w:overflowPunct/>
        <w:topLinePunct w:val="0"/>
        <w:autoSpaceDE/>
        <w:autoSpaceDN/>
        <w:bidi w:val="0"/>
        <w:adjustRightInd/>
        <w:snapToGrid/>
        <w:spacing w:line="360" w:lineRule="auto"/>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44、</w:t>
      </w:r>
      <w:r>
        <w:rPr>
          <w:rFonts w:hint="default" w:ascii="宋体" w:hAnsi="宋体" w:eastAsia="宋体" w:cs="宋体"/>
          <w:kern w:val="20"/>
          <w:sz w:val="24"/>
          <w:szCs w:val="24"/>
          <w:lang w:val="en-US" w:eastAsia="zh-Hans"/>
        </w:rPr>
        <w:t>HRP</w:t>
      </w:r>
      <w:r>
        <w:rPr>
          <w:rFonts w:hint="eastAsia" w:ascii="宋体" w:hAnsi="宋体" w:eastAsia="宋体" w:cs="宋体"/>
          <w:kern w:val="20"/>
          <w:sz w:val="24"/>
          <w:szCs w:val="24"/>
          <w:lang w:val="en-US" w:eastAsia="zh-Hans"/>
        </w:rPr>
        <w:t>资产管理系统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42" w:firstLineChars="226"/>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引入全生命周期的动态管理理念，帮助医院管理四处分布、各种价值形态的房屋建筑物、专用设备、一般设备等。系统可跟踪资产全生命周期，确保资产管理分级控制、责任到人，资产的技术档案、组件备件、维修维护、价值折旧等一系列的信息均能够动态保持账实一致。最终，通过资产的良好管理与经营，支撑医疗业务的正常开展，促进医院生产能力的逐步提升。</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42" w:firstLineChars="226"/>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资产管理系统基于资产全生命周期动态管理理念设计，应用条码技术，管理到资产的申请、采购、合同、入库、发票、领用、建卡、变动、折旧、付款、盘点、处置的全生命周期，确保账实相符，提高设备的采购和使用效率。</w:t>
      </w:r>
    </w:p>
    <w:p>
      <w:pPr>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45、</w:t>
      </w:r>
      <w:r>
        <w:rPr>
          <w:rFonts w:hint="default" w:ascii="宋体" w:hAnsi="宋体" w:eastAsia="宋体" w:cs="宋体"/>
          <w:kern w:val="20"/>
          <w:sz w:val="24"/>
          <w:szCs w:val="24"/>
          <w:lang w:val="en-US" w:eastAsia="zh-Hans"/>
        </w:rPr>
        <w:t>HRP</w:t>
      </w:r>
      <w:r>
        <w:rPr>
          <w:rFonts w:hint="eastAsia" w:ascii="宋体" w:hAnsi="宋体" w:eastAsia="宋体" w:cs="宋体"/>
          <w:kern w:val="20"/>
          <w:sz w:val="24"/>
          <w:szCs w:val="24"/>
          <w:lang w:val="en-US" w:eastAsia="zh-Hans"/>
        </w:rPr>
        <w:t>设备管理系统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以单台设备为核心，以医疗、护理、医技为中心，</w:t>
      </w:r>
      <w:r>
        <w:rPr>
          <w:rFonts w:hint="eastAsia" w:ascii="宋体" w:hAnsi="宋体" w:eastAsia="宋体" w:cs="宋体"/>
          <w:kern w:val="20"/>
          <w:sz w:val="24"/>
          <w:szCs w:val="24"/>
          <w:lang w:val="en-US" w:eastAsia="zh-CN"/>
        </w:rPr>
        <w:t>实现医疗设备全生命周期及可视管理系统，</w:t>
      </w:r>
      <w:r>
        <w:rPr>
          <w:rFonts w:hint="eastAsia" w:ascii="宋体" w:hAnsi="宋体" w:eastAsia="宋体" w:cs="宋体"/>
          <w:kern w:val="20"/>
          <w:sz w:val="24"/>
          <w:szCs w:val="24"/>
          <w:lang w:val="en-US" w:eastAsia="zh-Hans"/>
        </w:rPr>
        <w:t>从设备使用的角度出发，实现可视化、移动化、智能化管理，降低维修养护成本、确保医院业务正常开展、减少医疗差错的发生、延长设备使用寿命。通过设备效益分析，提高设备的开机率，提高设备利用效率、合理采购配置资产，确保设备保值增值，提高医院的可持续发展能力。</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引入电子地图、二维条码、</w:t>
      </w:r>
      <w:r>
        <w:rPr>
          <w:rFonts w:hint="default" w:ascii="宋体" w:hAnsi="宋体" w:eastAsia="宋体" w:cs="宋体"/>
          <w:kern w:val="20"/>
          <w:sz w:val="24"/>
          <w:szCs w:val="24"/>
          <w:lang w:val="en-US" w:eastAsia="zh-Hans"/>
        </w:rPr>
        <w:t>RFID</w:t>
      </w:r>
      <w:r>
        <w:rPr>
          <w:rFonts w:hint="eastAsia" w:ascii="宋体" w:hAnsi="宋体" w:eastAsia="宋体" w:cs="宋体"/>
          <w:kern w:val="20"/>
          <w:sz w:val="24"/>
          <w:szCs w:val="24"/>
          <w:lang w:val="en-US" w:eastAsia="zh-Hans"/>
        </w:rPr>
        <w:t>、移动终端的方式，进行设备故障登记，设备保养提醒，设备计量提醒，设备档案及维修过程查询，完成设备维修、设备保养、设备巡检、计量检测和盘点等。同时，按单台设备或者设备组开展设备效益分析，连接</w:t>
      </w:r>
      <w:r>
        <w:rPr>
          <w:rFonts w:hint="default" w:ascii="宋体" w:hAnsi="宋体" w:eastAsia="宋体" w:cs="宋体"/>
          <w:kern w:val="20"/>
          <w:sz w:val="24"/>
          <w:szCs w:val="24"/>
          <w:lang w:val="en-US" w:eastAsia="zh-Hans"/>
        </w:rPr>
        <w:t>HIS</w:t>
      </w:r>
      <w:r>
        <w:rPr>
          <w:rFonts w:hint="eastAsia" w:ascii="宋体" w:hAnsi="宋体" w:eastAsia="宋体" w:cs="宋体"/>
          <w:kern w:val="20"/>
          <w:sz w:val="24"/>
          <w:szCs w:val="24"/>
          <w:lang w:val="en-US" w:eastAsia="zh-Hans"/>
        </w:rPr>
        <w:t>系统，自动读取设备收入、工作量及其参与检查诊疗的业务数据；另外，通过自动化的手段，归集设备的折旧费、电费、维修费、人工费、材料费等运行成本数据，进行设备效益核算。</w:t>
      </w:r>
    </w:p>
    <w:p>
      <w:pPr>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46、成本、费用管理</w:t>
      </w:r>
      <w:r>
        <w:rPr>
          <w:rFonts w:hint="eastAsia" w:ascii="宋体" w:hAnsi="宋体" w:eastAsia="宋体" w:cs="宋体"/>
          <w:kern w:val="20"/>
          <w:sz w:val="24"/>
          <w:szCs w:val="24"/>
          <w:lang w:val="en-US" w:eastAsia="zh-Hans"/>
        </w:rPr>
        <w:t>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56" w:firstLineChars="232"/>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成本管理系统完全符合医院成本管理制度、办法，通过可配置的成本建模平台，可充分适应医院成本管理特点。系统可实现内、外部一体化，根据成本项目和业务属性对核算单元产生的成本进行自动归集。根据制度要求进行</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四类三级</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成本逐级分摊，最终形成临床科室的全成本，在此基础上展开诊次成本、床日成本、医疗服务项目成本和病种成本核算。最终形成的成本报表、分析，为医院成本控制、成本考核提供准确的依据，实现精细化成本核算，为医院领导决策提供信息服务。</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56" w:firstLineChars="232"/>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医院全面预算管理以医院战略为导向，充分发挥医院经营管理</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龙头</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的作用，对医院人、财、物等资源进行合理配置，在医院实现战略目标过程中，发挥计划和协调的作用。利用先进的工具、结合有效的手段，保证全过程可控。通过各维度的执行结果分析，为医院管理者提供重要的决策依据，同时提供考核依据。全面预算通过编制、执行、控制、分析、考核等步骤，实现</w:t>
      </w:r>
      <w:r>
        <w:rPr>
          <w:rFonts w:hint="default" w:ascii="宋体" w:hAnsi="宋体" w:eastAsia="宋体" w:cs="宋体"/>
          <w:kern w:val="20"/>
          <w:sz w:val="24"/>
          <w:szCs w:val="24"/>
          <w:lang w:val="en-US" w:eastAsia="zh-Hans"/>
        </w:rPr>
        <w:t>PDCA</w:t>
      </w:r>
      <w:r>
        <w:rPr>
          <w:rFonts w:hint="eastAsia" w:ascii="宋体" w:hAnsi="宋体" w:eastAsia="宋体" w:cs="宋体"/>
          <w:kern w:val="20"/>
          <w:sz w:val="24"/>
          <w:szCs w:val="24"/>
          <w:lang w:val="en-US" w:eastAsia="zh-Hans"/>
        </w:rPr>
        <w:t>管理闭环，帮助医院落地战略目标。</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费用管理系统包含基础管理、费用申请、借款、费用报销、费用支付、还款、费用转移、挂账确认、期末凭证生成、费用报表等功能。涵盖差旅费管理、科室报销门户、移动微信审批等特色应用。实现费用事前申请、借款、事后报销、还款的全流程管理，与预算管理一体化，自动接收预算额度指标控制；与出纳、财务一体化，自动完成付款与核算。一方面落地全面预算控制，另一方面提高费用报销的效率和自动化水平，节约报销时间、提高报销信息的透明度，提高费用核算的效率和准确度。</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云审批是通过</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互联网</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应用帮助</w:t>
      </w:r>
      <w:bookmarkStart w:id="139" w:name="_Hlk516045926"/>
      <w:r>
        <w:rPr>
          <w:rFonts w:hint="eastAsia" w:ascii="宋体" w:hAnsi="宋体" w:eastAsia="宋体" w:cs="宋体"/>
          <w:kern w:val="20"/>
          <w:sz w:val="24"/>
          <w:szCs w:val="24"/>
          <w:lang w:val="en-US" w:eastAsia="zh-Hans"/>
        </w:rPr>
        <w:t>医院领导</w:t>
      </w:r>
      <w:bookmarkEnd w:id="139"/>
      <w:r>
        <w:rPr>
          <w:rFonts w:hint="eastAsia" w:ascii="宋体" w:hAnsi="宋体" w:eastAsia="宋体" w:cs="宋体"/>
          <w:kern w:val="20"/>
          <w:sz w:val="24"/>
          <w:szCs w:val="24"/>
          <w:lang w:val="en-US" w:eastAsia="zh-Hans"/>
        </w:rPr>
        <w:t>完成</w:t>
      </w:r>
      <w:bookmarkStart w:id="140" w:name="_Hlk516045943"/>
      <w:r>
        <w:rPr>
          <w:rFonts w:hint="eastAsia" w:ascii="宋体" w:hAnsi="宋体" w:eastAsia="宋体" w:cs="宋体"/>
          <w:kern w:val="20"/>
          <w:sz w:val="24"/>
          <w:szCs w:val="24"/>
          <w:lang w:val="en-US" w:eastAsia="zh-Hans"/>
        </w:rPr>
        <w:t>移动端</w:t>
      </w:r>
      <w:bookmarkEnd w:id="140"/>
      <w:r>
        <w:rPr>
          <w:rFonts w:hint="eastAsia" w:ascii="宋体" w:hAnsi="宋体" w:eastAsia="宋体" w:cs="宋体"/>
          <w:kern w:val="20"/>
          <w:sz w:val="24"/>
          <w:szCs w:val="24"/>
          <w:lang w:val="en-US" w:eastAsia="zh-Hans"/>
        </w:rPr>
        <w:t>审批功能的系统，本系统涵盖医院审批全流程，具体功能包括：审批发起、审批提醒、审批操作、审批查询、流程跟踪等。本系统可简化医院繁杂的审批流程，具有无纸化、智能化、移动化特点，真正做到让</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数据多跑腿，工作人员少跑腿</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，支持与费用报销系统、物资系统、设备系统等无缝集成。</w:t>
      </w:r>
    </w:p>
    <w:p>
      <w:pPr>
        <w:pageBreakBefore w:val="0"/>
        <w:widowControl w:val="0"/>
        <w:numPr>
          <w:ilvl w:val="0"/>
          <w:numId w:val="21"/>
        </w:numPr>
        <w:kinsoku/>
        <w:wordWrap/>
        <w:overflowPunct/>
        <w:topLinePunct w:val="0"/>
        <w:autoSpaceDE/>
        <w:autoSpaceDN/>
        <w:bidi w:val="0"/>
        <w:adjustRightInd/>
        <w:snapToGrid/>
        <w:spacing w:line="360" w:lineRule="auto"/>
        <w:ind w:left="209" w:leftChars="22" w:hanging="163" w:hangingChars="68"/>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高值耗材管理系统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GB" w:eastAsia="zh-Hans"/>
        </w:rPr>
        <w:t>高值耗材追溯管理系统对传统管理流程进行分析后，重组新的高值耗材流程。</w:t>
      </w:r>
      <w:r>
        <w:rPr>
          <w:rFonts w:hint="eastAsia" w:ascii="宋体" w:hAnsi="宋体" w:eastAsia="宋体" w:cs="宋体"/>
          <w:kern w:val="20"/>
          <w:sz w:val="24"/>
          <w:szCs w:val="24"/>
          <w:lang w:val="en-US" w:eastAsia="zh-Hans"/>
        </w:rPr>
        <w:t xml:space="preserve"> </w:t>
      </w:r>
      <w:r>
        <w:rPr>
          <w:rFonts w:hint="eastAsia" w:ascii="宋体" w:hAnsi="宋体" w:eastAsia="宋体" w:cs="宋体"/>
          <w:kern w:val="20"/>
          <w:sz w:val="24"/>
          <w:szCs w:val="24"/>
          <w:lang w:val="en-GB" w:eastAsia="zh-Hans"/>
        </w:rPr>
        <w:t>由临床科室根据手术填写耗材申请单，系统根据申领耗材的库存基数判定是否需要进行采购</w:t>
      </w:r>
      <w:r>
        <w:rPr>
          <w:rFonts w:hint="eastAsia" w:ascii="宋体" w:hAnsi="宋体" w:eastAsia="宋体" w:cs="宋体"/>
          <w:kern w:val="20"/>
          <w:sz w:val="24"/>
          <w:szCs w:val="24"/>
          <w:lang w:val="en-US" w:eastAsia="zh-Hans"/>
        </w:rPr>
        <w:t>若库存基数不够，系统生成采购单，设备科采购员根据采购单通知供货商送货；设备科对供应商的供货进行核对，然后按耗材单个数量生成条形码；</w:t>
      </w:r>
    </w:p>
    <w:p>
      <w:pPr>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48、</w:t>
      </w:r>
      <w:r>
        <w:rPr>
          <w:rFonts w:hint="eastAsia" w:ascii="宋体" w:hAnsi="宋体" w:eastAsia="宋体" w:cs="宋体"/>
          <w:kern w:val="20"/>
          <w:sz w:val="24"/>
          <w:szCs w:val="24"/>
          <w:lang w:val="en-US" w:eastAsia="zh-Hans"/>
        </w:rPr>
        <w:t>医院集成平台</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56" w:firstLineChars="232"/>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通过医院信息集成平台的建设，将原先各系统一对一的接口模式改为给子系统面对集成平台的多对一的接口模式，降低了业务系统集成的复杂度，降低了业务应用的维护成本，减少了业务系统开发的工作量，同时降低了业务系统选择的局限性。</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56" w:firstLineChars="232"/>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通过建立标准的数据交换和集成，将原先分布在各业务系统中的信息交换整合到集成平台，实现医院各个科室之间信息的互联互通，消除信息孤岛，使信息数据实现充分的共享，以优化医院业务流程；使患者花费更少的费用和更短的时间得到更好的医疗服务，最大限度地方便病人就医；方便一线医务人员工作，使一线医务人员更方便的获取患者各种信息，及时为患者提供医疗服务；同时可以在统一的平台上进行数据的挖掘和分析，为实现商业智能创造了数据基础，实现医院管理层的一站式决策支持平台创造了条件。医院信息系统集成平台的建设提升我院整体管理水平，满足我院加强管理和提高工作效率的要求，有效控制医疗成本，减轻病人医疗负担，提高病人满意度，取得竞争优势。</w:t>
      </w:r>
    </w:p>
    <w:p>
      <w:pPr>
        <w:pageBreakBefore w:val="0"/>
        <w:widowControl/>
        <w:numPr>
          <w:ilvl w:val="0"/>
          <w:numId w:val="0"/>
        </w:numPr>
        <w:kinsoku/>
        <w:wordWrap/>
        <w:overflowPunct/>
        <w:topLinePunct w:val="0"/>
        <w:autoSpaceDE/>
        <w:autoSpaceDN/>
        <w:bidi w:val="0"/>
        <w:adjustRightInd/>
        <w:snapToGrid/>
        <w:spacing w:beforeLines="0" w:afterLines="0" w:line="360" w:lineRule="auto"/>
        <w:ind w:left="240" w:leftChars="0" w:hanging="240" w:hangingChars="1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49、</w:t>
      </w:r>
      <w:r>
        <w:rPr>
          <w:rFonts w:hint="eastAsia" w:ascii="宋体" w:hAnsi="宋体" w:eastAsia="宋体" w:cs="宋体"/>
          <w:kern w:val="20"/>
          <w:sz w:val="24"/>
          <w:szCs w:val="24"/>
          <w:lang w:val="en-US" w:eastAsia="zh-Hans"/>
        </w:rPr>
        <w:t>业务数据中心</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业务数据中心（</w:t>
      </w:r>
      <w:r>
        <w:rPr>
          <w:rFonts w:hint="default" w:ascii="宋体" w:hAnsi="宋体" w:eastAsia="宋体" w:cs="宋体"/>
          <w:kern w:val="20"/>
          <w:sz w:val="24"/>
          <w:szCs w:val="24"/>
          <w:lang w:val="en-US" w:eastAsia="zh-Hans"/>
        </w:rPr>
        <w:t>ODR</w:t>
      </w:r>
      <w:r>
        <w:rPr>
          <w:rFonts w:hint="eastAsia" w:ascii="宋体" w:hAnsi="宋体" w:eastAsia="宋体" w:cs="宋体"/>
          <w:kern w:val="20"/>
          <w:sz w:val="24"/>
          <w:szCs w:val="24"/>
          <w:lang w:val="en-US" w:eastAsia="zh-Hans"/>
        </w:rPr>
        <w:t>）用于医院各个业务系统的数据集成，实现各在线业务系统的数据镜像和集中存储。主要功能包括，主数据管理、元数据管理、数据仓库工具、基于业务数据中心的应用（全院报表中心、核心数据监控、移动应用、科研数据中心、医疗质量安全监测、测评指标等）。</w:t>
      </w:r>
    </w:p>
    <w:p>
      <w:pPr>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50、</w:t>
      </w:r>
      <w:r>
        <w:rPr>
          <w:rFonts w:hint="eastAsia" w:ascii="宋体" w:hAnsi="宋体" w:eastAsia="宋体" w:cs="宋体"/>
          <w:kern w:val="20"/>
          <w:sz w:val="24"/>
          <w:szCs w:val="24"/>
          <w:lang w:val="en-US" w:eastAsia="zh-Hans"/>
        </w:rPr>
        <w:t>临床数据中心</w:t>
      </w:r>
    </w:p>
    <w:p>
      <w:pPr>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0"/>
        <w:jc w:val="left"/>
        <w:rPr>
          <w:rFonts w:hint="default" w:ascii="??" w:hAnsi="Cambria" w:cs="??"/>
          <w:smallCaps/>
          <w:kern w:val="20"/>
          <w:sz w:val="28"/>
          <w:szCs w:val="28"/>
          <w:lang w:val="zh-CN" w:eastAsia="zh-Hans"/>
        </w:rPr>
      </w:pPr>
      <w:r>
        <w:rPr>
          <w:rFonts w:hint="eastAsia" w:ascii="宋体" w:hAnsi="宋体" w:eastAsia="宋体" w:cs="宋体"/>
          <w:kern w:val="20"/>
          <w:sz w:val="24"/>
          <w:szCs w:val="24"/>
          <w:lang w:val="en-US" w:eastAsia="zh-Hans"/>
        </w:rPr>
        <w:t>临床数据中心（</w:t>
      </w:r>
      <w:r>
        <w:rPr>
          <w:rFonts w:hint="default" w:ascii="宋体" w:hAnsi="宋体" w:eastAsia="宋体" w:cs="宋体"/>
          <w:kern w:val="20"/>
          <w:sz w:val="24"/>
          <w:szCs w:val="24"/>
          <w:lang w:val="en-US" w:eastAsia="zh-Hans"/>
        </w:rPr>
        <w:t>CDR</w:t>
      </w:r>
      <w:r>
        <w:rPr>
          <w:rFonts w:hint="eastAsia" w:ascii="宋体" w:hAnsi="宋体" w:eastAsia="宋体" w:cs="宋体"/>
          <w:kern w:val="20"/>
          <w:sz w:val="24"/>
          <w:szCs w:val="24"/>
          <w:lang w:val="en-US" w:eastAsia="zh-Hans"/>
        </w:rPr>
        <w:t>）用于临床电子病历数据和临床文档数据的集中存储与管理。将分散在不同临床业务系统、以不同形式表示和存储的数据，按照统一的标准格式汇集，并进行统一的建模，形成一个面向临床，以患者为中心的数据存储。</w:t>
      </w:r>
    </w:p>
    <w:p>
      <w:pPr>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51、</w:t>
      </w:r>
      <w:r>
        <w:rPr>
          <w:rFonts w:hint="eastAsia" w:ascii="宋体" w:hAnsi="宋体" w:eastAsia="宋体" w:cs="宋体"/>
          <w:kern w:val="20"/>
          <w:sz w:val="24"/>
          <w:szCs w:val="24"/>
          <w:lang w:val="en-US" w:eastAsia="zh-Hans"/>
        </w:rPr>
        <w:t>全院决策支持系统</w:t>
      </w:r>
    </w:p>
    <w:p>
      <w:pPr>
        <w:pageBreakBefore w:val="0"/>
        <w:widowControl/>
        <w:numPr>
          <w:ilvl w:val="0"/>
          <w:numId w:val="0"/>
        </w:numPr>
        <w:kinsoku/>
        <w:wordWrap/>
        <w:overflowPunct/>
        <w:topLinePunct w:val="0"/>
        <w:autoSpaceDE/>
        <w:autoSpaceDN/>
        <w:bidi w:val="0"/>
        <w:adjustRightInd/>
        <w:snapToGrid/>
        <w:spacing w:line="360" w:lineRule="auto"/>
        <w:ind w:left="0" w:leftChars="0" w:firstLine="542" w:firstLineChars="226"/>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基于平台的决策支持系统的建设目标是：通过建立基于</w:t>
      </w:r>
      <w:r>
        <w:rPr>
          <w:rFonts w:hint="default" w:ascii="宋体" w:hAnsi="宋体" w:eastAsia="宋体" w:cs="宋体"/>
          <w:kern w:val="20"/>
          <w:sz w:val="24"/>
          <w:szCs w:val="24"/>
          <w:lang w:val="en-US" w:eastAsia="zh-Hans"/>
        </w:rPr>
        <w:t>BI(Business Intelligence)</w:t>
      </w:r>
      <w:r>
        <w:rPr>
          <w:rFonts w:hint="eastAsia" w:ascii="宋体" w:hAnsi="宋体" w:eastAsia="宋体" w:cs="宋体"/>
          <w:kern w:val="20"/>
          <w:sz w:val="24"/>
          <w:szCs w:val="24"/>
          <w:lang w:val="en-US" w:eastAsia="zh-Hans"/>
        </w:rPr>
        <w:t>的决策支持系统，实现对现有医院信息系统数据（</w:t>
      </w:r>
      <w:r>
        <w:rPr>
          <w:rFonts w:hint="default" w:ascii="宋体" w:hAnsi="宋体" w:eastAsia="宋体" w:cs="宋体"/>
          <w:kern w:val="20"/>
          <w:sz w:val="24"/>
          <w:szCs w:val="24"/>
          <w:lang w:val="en-US" w:eastAsia="zh-Hans"/>
        </w:rPr>
        <w:t>LIS</w:t>
      </w:r>
      <w:r>
        <w:rPr>
          <w:rFonts w:hint="eastAsia" w:ascii="宋体" w:hAnsi="宋体" w:eastAsia="宋体" w:cs="宋体"/>
          <w:kern w:val="20"/>
          <w:sz w:val="24"/>
          <w:szCs w:val="24"/>
          <w:lang w:val="en-US" w:eastAsia="zh-Hans"/>
        </w:rPr>
        <w:t>、</w:t>
      </w:r>
      <w:r>
        <w:rPr>
          <w:rFonts w:hint="default" w:ascii="宋体" w:hAnsi="宋体" w:eastAsia="宋体" w:cs="宋体"/>
          <w:kern w:val="20"/>
          <w:sz w:val="24"/>
          <w:szCs w:val="24"/>
          <w:lang w:val="en-US" w:eastAsia="zh-Hans"/>
        </w:rPr>
        <w:t>PACS</w:t>
      </w:r>
      <w:r>
        <w:rPr>
          <w:rFonts w:hint="eastAsia" w:ascii="宋体" w:hAnsi="宋体" w:eastAsia="宋体" w:cs="宋体"/>
          <w:kern w:val="20"/>
          <w:sz w:val="24"/>
          <w:szCs w:val="24"/>
          <w:lang w:val="en-US" w:eastAsia="zh-Hans"/>
        </w:rPr>
        <w:t>、</w:t>
      </w:r>
      <w:r>
        <w:rPr>
          <w:rFonts w:hint="default" w:ascii="宋体" w:hAnsi="宋体" w:eastAsia="宋体" w:cs="宋体"/>
          <w:kern w:val="20"/>
          <w:sz w:val="24"/>
          <w:szCs w:val="24"/>
          <w:lang w:val="en-US" w:eastAsia="zh-Hans"/>
        </w:rPr>
        <w:t>HIS</w:t>
      </w:r>
      <w:r>
        <w:rPr>
          <w:rFonts w:hint="eastAsia" w:ascii="宋体" w:hAnsi="宋体" w:eastAsia="宋体" w:cs="宋体"/>
          <w:kern w:val="20"/>
          <w:sz w:val="24"/>
          <w:szCs w:val="24"/>
          <w:lang w:val="en-US" w:eastAsia="zh-Hans"/>
        </w:rPr>
        <w:t>、电子病历等）的整合，完成数据的标准化规范化清洗，建立数据仓库，实现对数据的统一管理，使得管理层能对医院整体运营情况有个及时准确的掌握，并能利用整合的数据完成所需的各类决策分析，实现可视化管理。包括人力资源主题分析、医院综合运营主题分析、医院质量监测主题分析、单病种质量分析、监测指标填报管理、管理决策辅助应用等功能。</w:t>
      </w:r>
    </w:p>
    <w:p>
      <w:pPr>
        <w:pageBreakBefore w:val="0"/>
        <w:widowControl/>
        <w:numPr>
          <w:ilvl w:val="0"/>
          <w:numId w:val="22"/>
        </w:numPr>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kern w:val="20"/>
          <w:sz w:val="24"/>
          <w:szCs w:val="24"/>
          <w:lang w:val="en-US" w:eastAsia="zh-CN"/>
        </w:rPr>
      </w:pPr>
      <w:bookmarkStart w:id="141" w:name="_Toc492367926"/>
      <w:r>
        <w:rPr>
          <w:rFonts w:hint="eastAsia" w:ascii="宋体" w:hAnsi="宋体" w:eastAsia="宋体" w:cs="宋体"/>
          <w:kern w:val="20"/>
          <w:sz w:val="24"/>
          <w:szCs w:val="24"/>
          <w:lang w:val="en-US" w:eastAsia="zh-Hans"/>
        </w:rPr>
        <w:t>临床知识库（CKB）</w:t>
      </w:r>
      <w:bookmarkEnd w:id="141"/>
      <w:r>
        <w:rPr>
          <w:rFonts w:hint="eastAsia" w:ascii="宋体" w:hAnsi="宋体" w:eastAsia="宋体" w:cs="宋体"/>
          <w:kern w:val="20"/>
          <w:sz w:val="24"/>
          <w:szCs w:val="24"/>
          <w:lang w:val="en-US" w:eastAsia="zh-Hans"/>
        </w:rPr>
        <w:t>系统</w:t>
      </w:r>
      <w:r>
        <w:rPr>
          <w:rFonts w:hint="eastAsia" w:ascii="宋体" w:hAnsi="宋体" w:eastAsia="宋体" w:cs="宋体"/>
          <w:kern w:val="20"/>
          <w:sz w:val="24"/>
          <w:szCs w:val="24"/>
          <w:lang w:val="en-US" w:eastAsia="zh-CN"/>
        </w:rPr>
        <w:t>：</w:t>
      </w:r>
    </w:p>
    <w:p>
      <w:pPr>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Hans"/>
        </w:rPr>
        <w:t>通过建立诊疗指南、药品说明书、检验申请说明、检验报告报告说明、检查说明书、临床路径、疾病与症状、手术等本底知识库，并设置各知识库相互之间的检查机制。用户可根据自身情况动态扩展和维护相关知识库。系统提供关键字检索、即时查询、医疗辅助、智能监测提醒与预警等功能。这些功能可嵌入到医院临床信息系统中，从而实现对医学知识的共享；对医护人员提供在线的医学知识帮助，规范性合理性医疗行为（包括合理用药审查、检验项目相关知识提示、高风险手术的提示、检查项目的相关知识提示）的检测与预警提醒，从而减少医疗误差、提高整体医疗水平和质量</w:t>
      </w:r>
      <w:r>
        <w:rPr>
          <w:rFonts w:hint="eastAsia" w:ascii="宋体" w:hAnsi="宋体" w:eastAsia="宋体" w:cs="宋体"/>
          <w:kern w:val="20"/>
          <w:sz w:val="24"/>
          <w:szCs w:val="24"/>
          <w:lang w:val="en-US" w:eastAsia="zh-CN"/>
        </w:rPr>
        <w:t>.</w:t>
      </w:r>
    </w:p>
    <w:p>
      <w:pPr>
        <w:pageBreakBefore w:val="0"/>
        <w:widowControl/>
        <w:numPr>
          <w:ilvl w:val="0"/>
          <w:numId w:val="22"/>
        </w:numPr>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 xml:space="preserve"> 设备接口费：</w:t>
      </w:r>
    </w:p>
    <w:p>
      <w:pPr>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包括但不限于自动发药机对接、智能毒麻药品柜的对接、药品自动分包机的对接、叫号系统对接、病房显示系统对接、各类医疗设备病人体征监测数据、评估数据、训练数据等</w:t>
      </w:r>
    </w:p>
    <w:p>
      <w:pPr>
        <w:pageBreakBefore w:val="0"/>
        <w:widowControl/>
        <w:numPr>
          <w:ilvl w:val="0"/>
          <w:numId w:val="22"/>
        </w:numPr>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挂缴查线上应用（线上挂号、诊疗）</w:t>
      </w:r>
    </w:p>
    <w:p>
      <w:pPr>
        <w:pageBreakBefore w:val="0"/>
        <w:widowControl/>
        <w:kinsoku/>
        <w:wordWrap/>
        <w:overflowPunct/>
        <w:topLinePunct w:val="0"/>
        <w:autoSpaceDE/>
        <w:autoSpaceDN/>
        <w:bidi w:val="0"/>
        <w:adjustRightInd/>
        <w:snapToGrid/>
        <w:spacing w:beforeLines="0" w:afterLines="0" w:line="360" w:lineRule="auto"/>
        <w:ind w:left="0" w:leftChars="0" w:firstLine="480" w:firstLineChars="0"/>
        <w:jc w:val="left"/>
        <w:rPr>
          <w:rFonts w:hint="eastAsia" w:ascii="Cambria" w:hAnsi="Cambria"/>
          <w:kern w:val="20"/>
          <w:szCs w:val="20"/>
          <w:lang w:val="en-US" w:eastAsia="zh-CN"/>
        </w:rPr>
      </w:pPr>
      <w:r>
        <w:rPr>
          <w:rFonts w:hint="eastAsia" w:ascii="宋体" w:hAnsi="宋体" w:eastAsia="宋体" w:cs="宋体"/>
          <w:kern w:val="20"/>
          <w:sz w:val="24"/>
          <w:szCs w:val="24"/>
          <w:lang w:val="en-US" w:eastAsia="zh-Hans"/>
        </w:rPr>
        <w:t>采用微信公众号、微信小程序或者支付宝服务窗的形式，为医院患者提供线上预约、挂号、门诊缴费、各类检验、检查、体检报告查询等功能。</w:t>
      </w:r>
    </w:p>
    <w:p>
      <w:pPr>
        <w:pageBreakBefore w:val="0"/>
        <w:widowControl/>
        <w:numPr>
          <w:ilvl w:val="0"/>
          <w:numId w:val="22"/>
        </w:numPr>
        <w:kinsoku/>
        <w:wordWrap/>
        <w:overflowPunct/>
        <w:topLinePunct w:val="0"/>
        <w:autoSpaceDE/>
        <w:autoSpaceDN/>
        <w:bidi w:val="0"/>
        <w:adjustRightInd/>
        <w:snapToGrid/>
        <w:spacing w:line="360" w:lineRule="auto"/>
        <w:ind w:left="0" w:leftChars="0" w:firstLine="0" w:firstLineChars="0"/>
        <w:jc w:val="left"/>
        <w:rPr>
          <w:rFonts w:hint="default"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集中预约管理系统</w:t>
      </w:r>
    </w:p>
    <w:p>
      <w:pPr>
        <w:pageBreakBefore w:val="0"/>
        <w:widowControl/>
        <w:kinsoku/>
        <w:wordWrap/>
        <w:overflowPunct/>
        <w:topLinePunct w:val="0"/>
        <w:autoSpaceDE/>
        <w:autoSpaceDN/>
        <w:bidi w:val="0"/>
        <w:adjustRightInd/>
        <w:snapToGrid/>
        <w:spacing w:beforeLines="0" w:afterLines="0" w:line="360" w:lineRule="auto"/>
        <w:ind w:left="0" w:leftChars="0" w:firstLine="480" w:firstLineChars="20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以医疗资源管理为核⼼，以提升临床效率、改善患者满意度为⽬标，提供全院统⼀的医疗资源预约服务，形成贯穿院前、院中和院后，临床和医技的智能预约服务体系，包括预约挂号、预约检查、预约床位及其他各类医疗资源的预约。</w:t>
      </w:r>
    </w:p>
    <w:p>
      <w:pPr>
        <w:pageBreakBefore w:val="0"/>
        <w:widowControl/>
        <w:numPr>
          <w:ilvl w:val="0"/>
          <w:numId w:val="22"/>
        </w:numPr>
        <w:kinsoku/>
        <w:wordWrap/>
        <w:overflowPunct/>
        <w:topLinePunct w:val="0"/>
        <w:autoSpaceDE/>
        <w:autoSpaceDN/>
        <w:bidi w:val="0"/>
        <w:adjustRightInd/>
        <w:snapToGrid/>
        <w:spacing w:line="360" w:lineRule="auto"/>
        <w:ind w:left="0" w:leftChars="0" w:firstLine="0" w:firstLineChars="0"/>
        <w:jc w:val="left"/>
        <w:rPr>
          <w:rFonts w:hint="default" w:ascii="Cambria" w:hAnsi="Cambria"/>
          <w:kern w:val="20"/>
          <w:szCs w:val="20"/>
          <w:lang w:val="en-US" w:eastAsia="zh-CN"/>
        </w:rPr>
      </w:pPr>
      <w:r>
        <w:rPr>
          <w:rFonts w:hint="eastAsia" w:ascii="宋体" w:hAnsi="宋体" w:eastAsia="宋体" w:cs="宋体"/>
          <w:kern w:val="20"/>
          <w:sz w:val="24"/>
          <w:szCs w:val="24"/>
          <w:lang w:val="en-US" w:eastAsia="zh-CN"/>
        </w:rPr>
        <w:t>线下自助服务系统</w:t>
      </w:r>
    </w:p>
    <w:p>
      <w:pPr>
        <w:pageBreakBefore w:val="0"/>
        <w:widowControl/>
        <w:kinsoku/>
        <w:wordWrap/>
        <w:overflowPunct/>
        <w:topLinePunct w:val="0"/>
        <w:autoSpaceDE/>
        <w:autoSpaceDN/>
        <w:bidi w:val="0"/>
        <w:adjustRightInd/>
        <w:snapToGrid/>
        <w:spacing w:beforeLines="0" w:afterLines="0"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线下一站式自助系统集成了全院自助报告打印与银医通产品功能</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实现了在一台自助设备上患者可以完成</w:t>
      </w:r>
      <w:r>
        <w:rPr>
          <w:rFonts w:hint="default" w:ascii="宋体" w:hAnsi="宋体" w:eastAsia="宋体" w:cs="宋体"/>
          <w:kern w:val="20"/>
          <w:sz w:val="24"/>
          <w:szCs w:val="24"/>
          <w:lang w:val="en-US" w:eastAsia="zh-Hans"/>
        </w:rPr>
        <w:t xml:space="preserve">: </w:t>
      </w:r>
    </w:p>
    <w:p>
      <w:pPr>
        <w:pageBreakBefore w:val="0"/>
        <w:widowControl/>
        <w:kinsoku/>
        <w:wordWrap/>
        <w:overflowPunct/>
        <w:topLinePunct w:val="0"/>
        <w:autoSpaceDE/>
        <w:autoSpaceDN/>
        <w:bidi w:val="0"/>
        <w:adjustRightInd/>
        <w:snapToGrid/>
        <w:spacing w:beforeLines="0" w:afterLines="0" w:line="360" w:lineRule="auto"/>
        <w:ind w:left="0" w:leftChars="0" w:firstLine="480" w:firstLineChars="20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挂号、发卡；充值、缴费；所有检查检验报告的自助打印；所有影像胶片的自助打印</w:t>
      </w:r>
      <w:r>
        <w:rPr>
          <w:rFonts w:hint="default" w:ascii="宋体" w:hAnsi="宋体" w:eastAsia="宋体" w:cs="宋体"/>
          <w:kern w:val="20"/>
          <w:sz w:val="24"/>
          <w:szCs w:val="24"/>
          <w:lang w:val="en-US" w:eastAsia="zh-Hans"/>
        </w:rPr>
        <w:t xml:space="preserve"> </w:t>
      </w:r>
      <w:r>
        <w:rPr>
          <w:rFonts w:hint="eastAsia" w:ascii="宋体" w:hAnsi="宋体" w:eastAsia="宋体" w:cs="宋体"/>
          <w:kern w:val="20"/>
          <w:sz w:val="24"/>
          <w:szCs w:val="24"/>
          <w:lang w:val="en-US" w:eastAsia="zh-Hans"/>
        </w:rPr>
        <w:t>。</w:t>
      </w:r>
    </w:p>
    <w:p>
      <w:pPr>
        <w:pageBreakBefore w:val="0"/>
        <w:widowControl/>
        <w:kinsoku/>
        <w:wordWrap/>
        <w:overflowPunct/>
        <w:topLinePunct w:val="0"/>
        <w:autoSpaceDE/>
        <w:autoSpaceDN/>
        <w:bidi w:val="0"/>
        <w:adjustRightInd/>
        <w:snapToGrid/>
        <w:spacing w:beforeLines="0" w:afterLines="0" w:line="360" w:lineRule="auto"/>
        <w:ind w:left="0" w:leftChars="0" w:firstLine="480" w:firstLineChars="20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通过将多种功能集成在一台自助机</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有效缩短了医院各功能科室间的物理距离</w:t>
      </w:r>
      <w:r>
        <w:rPr>
          <w:rFonts w:hint="default" w:ascii="宋体" w:hAnsi="宋体" w:eastAsia="宋体" w:cs="宋体"/>
          <w:kern w:val="20"/>
          <w:sz w:val="24"/>
          <w:szCs w:val="24"/>
          <w:lang w:val="en-US" w:eastAsia="zh-Hans"/>
        </w:rPr>
        <w:t xml:space="preserve">, </w:t>
      </w:r>
      <w:r>
        <w:rPr>
          <w:rFonts w:hint="eastAsia" w:ascii="宋体" w:hAnsi="宋体" w:eastAsia="宋体" w:cs="宋体"/>
          <w:kern w:val="20"/>
          <w:sz w:val="24"/>
          <w:szCs w:val="24"/>
          <w:lang w:val="en-US" w:eastAsia="zh-Hans"/>
        </w:rPr>
        <w:t>减少患者的无效移动</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真正实现一站式自助。</w:t>
      </w:r>
    </w:p>
    <w:p>
      <w:pPr>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互联网医院系统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互联网医院系统将作为医院智慧医疗服务运行的综合服务平台，承载临床、教育、科研及管理系统的部署和运行，完成医院智慧服务平台的基础建设、实现医院信息系统功能指引的功能，主要包括慧明服务、医疗协同、移动医疗等方面的建设。通过平台的建设，将优化医疗资源配置，实现诊疗流程再造，提高医院运作效率；提高数据分析能力和广度，深度体现数据价值，提升医院智能化水平；最大限度地方便病人就医、方便医院一线医护人员工作，帮助管理者进行科学管理决策，帮助医生进行基于循证的医疗决策和医疗计划的制定；推动惠及全民的健康信息服务和智慧医疗服务，推动健康大数据的应用，逐步转变医院服务模式，提高医院服务能力和管理水平。主要功能包括统一门户、统一支付与对账平台、智慧门诊（诊前、诊中、诊后）服务、智慧住院（入院登记、预交金、清单查询）服务、在线问诊、处方流转、远程协作等。</w:t>
      </w:r>
    </w:p>
    <w:p>
      <w:pPr>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rPr>
          <w:rFonts w:hint="eastAsia" w:ascii="宋体" w:hAnsi="宋体" w:eastAsia="宋体" w:cs="宋体"/>
          <w:smallCaps/>
          <w:kern w:val="2"/>
          <w:sz w:val="24"/>
          <w:szCs w:val="24"/>
          <w:lang w:val="en-US" w:eastAsia="zh-CN" w:bidi="ar-SA"/>
        </w:rPr>
      </w:pPr>
      <w:r>
        <w:rPr>
          <w:rFonts w:hint="eastAsia" w:ascii="宋体" w:hAnsi="宋体" w:eastAsia="宋体" w:cs="宋体"/>
          <w:smallCaps/>
          <w:kern w:val="2"/>
          <w:sz w:val="24"/>
          <w:szCs w:val="24"/>
          <w:lang w:val="en-US" w:eastAsia="zh-CN" w:bidi="ar-SA"/>
        </w:rPr>
        <w:t>区域平台对接</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满足区、市卫健委全民健康信息平台要求对接的各类数据共享和业务对接需求。包括但不限于业务监管平台对接、三重复提醒等</w:t>
      </w:r>
    </w:p>
    <w:p>
      <w:pPr>
        <w:pageBreakBefore w:val="0"/>
        <w:widowControl/>
        <w:numPr>
          <w:ilvl w:val="0"/>
          <w:numId w:val="22"/>
        </w:numPr>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区域医共体平台应用</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完成医院与其他合作单位构建合作协同业务的信息化支撑，满足区、市卫健委各项协同业务的对接。</w:t>
      </w:r>
    </w:p>
    <w:p>
      <w:pPr>
        <w:pageBreakBefore w:val="0"/>
        <w:widowControl/>
        <w:kinsoku/>
        <w:wordWrap/>
        <w:overflowPunct/>
        <w:topLinePunct w:val="0"/>
        <w:autoSpaceDE/>
        <w:autoSpaceDN/>
        <w:bidi w:val="0"/>
        <w:adjustRightInd/>
        <w:snapToGrid/>
        <w:spacing w:beforeLines="0" w:afterLines="0" w:line="360" w:lineRule="auto"/>
        <w:ind w:left="0" w:leftChars="0" w:firstLine="0" w:firstLineChars="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60、</w:t>
      </w:r>
      <w:r>
        <w:rPr>
          <w:rFonts w:hint="eastAsia" w:ascii="宋体" w:hAnsi="宋体" w:eastAsia="宋体" w:cs="宋体"/>
          <w:kern w:val="20"/>
          <w:sz w:val="24"/>
          <w:szCs w:val="24"/>
          <w:lang w:val="en-US" w:eastAsia="zh-Hans"/>
        </w:rPr>
        <w:t>智慧康复系统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将康复特色完美融合院内信息化体系中，进行全方位一体化的信息化管理，形成院内临床、康复信息化闭环管理。可以包括康复评定工作站、康复治疗师工作站、康复电子文书子系统、病历夹管理、康复随访管理、家庭训练、病历检索、康复看板管理、康复业务统计分析系统、专家知识库、医治护沟通平台、康复团队会议管理、智能排班排队、移动康复评估系统、移动治疗师工作站系统、自助查询终端、康复医生工作站、康复护士工作站等功能。</w:t>
      </w:r>
    </w:p>
    <w:p>
      <w:pPr>
        <w:pageBreakBefore w:val="0"/>
        <w:widowControl/>
        <w:kinsoku/>
        <w:wordWrap/>
        <w:overflowPunct/>
        <w:topLinePunct w:val="0"/>
        <w:autoSpaceDE/>
        <w:autoSpaceDN/>
        <w:bidi w:val="0"/>
        <w:adjustRightInd/>
        <w:snapToGrid/>
        <w:spacing w:beforeLines="0" w:afterLines="0" w:line="360" w:lineRule="auto"/>
        <w:ind w:left="0" w:leftChars="0" w:firstLine="0" w:firstLineChars="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61、</w:t>
      </w:r>
      <w:r>
        <w:rPr>
          <w:rFonts w:hint="eastAsia" w:ascii="宋体" w:hAnsi="宋体" w:eastAsia="宋体" w:cs="宋体"/>
          <w:kern w:val="20"/>
          <w:sz w:val="24"/>
          <w:szCs w:val="24"/>
          <w:lang w:val="en-US" w:eastAsia="zh-Hans"/>
        </w:rPr>
        <w:t>智慧中医系统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考虑到我们医院未来提档升级为三级中医医院，针对中医信息化应用必须要同时要提档升级，我们通过规划建设智慧中医系统，可以为医院解决四个问题，一是通过临床中医诊疗工作的辅助决策，提高低年资医生、西学中医生的中医诊疗水平；二是通过辅助决策和知识库系统，在真实临床环境下帮助年轻医生建立中医诊疗思维，掌握名老中医经验；三是未来通过医联体建设实现上级医院名老中医经验、专科专病诊疗规范的下沉，实现上级医院对下级医院诊疗业务的数字化管理。智慧中医系统主要提供的功能包括，提供知病辅助决策功能，根据患者主诉、现病史等病历信息，根据自然语言识别，智能推荐疾病主症和兼症。知病辅助决策功能，可以根据确认的主症和兼症，通过智能辨证算法模拟运算，智能推荐教材、指南、名老中医的诊疗方案。提供知症辅助决策功能，根据患者主诉、现病史等病历信息，根据自然语言识别，智能细化主诉症状，关联症状智能提示，进一步细化主诉以外的其它症状。知症辅助决策功能，通过智能辨证算法模拟运算，智能推荐辨证分型。病机辅助决策功能，可以根据症型，辅助提供各类辨证心得、用药心得等内容。提供了中草药、穴位等知识库方便医生临床和空闲时间查询和学习。</w:t>
      </w:r>
    </w:p>
    <w:p>
      <w:pPr>
        <w:pageBreakBefore w:val="0"/>
        <w:widowControl/>
        <w:kinsoku/>
        <w:wordWrap/>
        <w:overflowPunct/>
        <w:topLinePunct w:val="0"/>
        <w:autoSpaceDE/>
        <w:autoSpaceDN/>
        <w:bidi w:val="0"/>
        <w:adjustRightInd/>
        <w:snapToGrid/>
        <w:spacing w:beforeLines="0" w:afterLines="0" w:line="360" w:lineRule="auto"/>
        <w:ind w:left="0" w:leftChars="0" w:firstLine="0" w:firstLineChars="0"/>
        <w:jc w:val="left"/>
        <w:rPr>
          <w:rFonts w:hint="default" w:ascii="宋体" w:hAnsi="宋体" w:eastAsia="宋体" w:cs="宋体"/>
          <w:kern w:val="20"/>
          <w:sz w:val="24"/>
          <w:szCs w:val="24"/>
          <w:lang w:val="en-US" w:eastAsia="zh-Hans"/>
        </w:rPr>
      </w:pPr>
      <w:r>
        <w:rPr>
          <w:rFonts w:hint="default" w:ascii="宋体" w:hAnsi="宋体" w:eastAsia="宋体" w:cs="宋体"/>
          <w:kern w:val="20"/>
          <w:sz w:val="24"/>
          <w:szCs w:val="24"/>
          <w:lang w:val="en-US" w:eastAsia="zh-Hans"/>
        </w:rPr>
        <w:t xml:space="preserve"> </w:t>
      </w:r>
      <w:r>
        <w:rPr>
          <w:rFonts w:hint="eastAsia" w:ascii="宋体" w:hAnsi="宋体" w:eastAsia="宋体" w:cs="宋体"/>
          <w:kern w:val="20"/>
          <w:sz w:val="24"/>
          <w:szCs w:val="24"/>
          <w:lang w:val="en-US" w:eastAsia="zh-CN"/>
        </w:rPr>
        <w:t>62、</w:t>
      </w:r>
      <w:r>
        <w:rPr>
          <w:rFonts w:hint="eastAsia" w:ascii="宋体" w:hAnsi="宋体" w:eastAsia="宋体" w:cs="宋体"/>
          <w:kern w:val="20"/>
          <w:sz w:val="24"/>
          <w:szCs w:val="24"/>
          <w:lang w:val="en-US" w:eastAsia="zh-Hans"/>
        </w:rPr>
        <w:t>智慧病案系统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Hans"/>
        </w:rPr>
        <w:t>智慧病案可以有效的解决病案收集、保管、打印、复印、借阅、随访、科研等工作效率不高、耗费人力物力等问题，减轻医院负担，还可以让病案成为宝贵的知识库。</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Cambria" w:hAnsi="Cambria"/>
          <w:kern w:val="20"/>
          <w:szCs w:val="20"/>
          <w:lang w:val="en-US" w:eastAsia="zh-CN"/>
        </w:rPr>
      </w:pP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智慧病案</w:t>
      </w:r>
      <w:r>
        <w:rPr>
          <w:rFonts w:hint="default" w:ascii="宋体" w:hAnsi="宋体" w:eastAsia="宋体" w:cs="宋体"/>
          <w:kern w:val="20"/>
          <w:sz w:val="24"/>
          <w:szCs w:val="24"/>
          <w:lang w:val="en-US" w:eastAsia="zh-Hans"/>
        </w:rPr>
        <w:t>”</w:t>
      </w:r>
      <w:r>
        <w:rPr>
          <w:rFonts w:hint="eastAsia" w:ascii="宋体" w:hAnsi="宋体" w:eastAsia="宋体" w:cs="宋体"/>
          <w:kern w:val="20"/>
          <w:sz w:val="24"/>
          <w:szCs w:val="24"/>
          <w:lang w:val="en-US" w:eastAsia="zh-Hans"/>
        </w:rPr>
        <w:t>本身并非目的，本质也不是为了省纸，无纸化的背后实则是一所医院管理水准所能企及的新高度。无纸化对于一所医院最大的产出结果应该是：规范诊疗行为、提高医疗质量、优化医疗服务和提高患者安全及满意度。</w:t>
      </w:r>
    </w:p>
    <w:p>
      <w:pPr>
        <w:pageBreakBefore w:val="0"/>
        <w:widowControl/>
        <w:numPr>
          <w:ilvl w:val="0"/>
          <w:numId w:val="23"/>
        </w:numPr>
        <w:kinsoku/>
        <w:wordWrap/>
        <w:overflowPunct/>
        <w:topLinePunct w:val="0"/>
        <w:autoSpaceDE/>
        <w:autoSpaceDN/>
        <w:bidi w:val="0"/>
        <w:adjustRightInd/>
        <w:snapToGrid/>
        <w:spacing w:beforeLines="0" w:afterLines="0" w:line="360" w:lineRule="auto"/>
        <w:ind w:left="0" w:leftChars="0" w:firstLine="0" w:firstLineChars="0"/>
        <w:jc w:val="left"/>
        <w:rPr>
          <w:rFonts w:hint="eastAsia" w:ascii="宋体" w:hAnsi="宋体" w:eastAsia="宋体" w:cs="宋体"/>
          <w:kern w:val="20"/>
          <w:sz w:val="24"/>
          <w:szCs w:val="24"/>
          <w:lang w:val="en-US" w:eastAsia="zh-CN"/>
        </w:rPr>
      </w:pPr>
      <w:r>
        <w:rPr>
          <w:rFonts w:hint="eastAsia" w:ascii="宋体" w:hAnsi="宋体" w:eastAsia="宋体" w:cs="宋体"/>
          <w:kern w:val="20"/>
          <w:sz w:val="24"/>
          <w:szCs w:val="24"/>
          <w:lang w:val="en-US" w:eastAsia="zh-CN"/>
        </w:rPr>
        <w:t>资产可视化管理系统</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US" w:eastAsia="zh-CN"/>
        </w:rPr>
      </w:pPr>
      <w:r>
        <w:rPr>
          <w:rFonts w:hint="default" w:ascii="宋体" w:hAnsi="宋体" w:eastAsia="宋体" w:cs="宋体"/>
          <w:kern w:val="20"/>
          <w:sz w:val="24"/>
          <w:szCs w:val="24"/>
          <w:lang w:val="en-US" w:eastAsia="zh-CN"/>
        </w:rPr>
        <w:t>以资产生命全周期为管理基础，深度切合实际管控需求，实现资产从采购、出入库、变更、处置、调拨等环节的全生命周期管控。同时通过独特的资产精准级定位、2D/3D可视化操作、移动管理、资产维保管理等功能运用，实现资产运维管理向规范化、智能化、精细化、可视化的全面发展</w:t>
      </w:r>
    </w:p>
    <w:p>
      <w:pPr>
        <w:pageBreakBefore w:val="0"/>
        <w:widowControl/>
        <w:numPr>
          <w:ilvl w:val="0"/>
          <w:numId w:val="0"/>
        </w:numPr>
        <w:kinsoku/>
        <w:wordWrap/>
        <w:overflowPunct/>
        <w:topLinePunct w:val="0"/>
        <w:autoSpaceDE/>
        <w:autoSpaceDN/>
        <w:bidi w:val="0"/>
        <w:adjustRightInd/>
        <w:snapToGrid/>
        <w:spacing w:line="360" w:lineRule="auto"/>
        <w:ind w:left="559" w:leftChars="0" w:hanging="559" w:hangingChars="233"/>
        <w:jc w:val="left"/>
        <w:rPr>
          <w:rFonts w:hint="eastAsia"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64、</w:t>
      </w:r>
      <w:r>
        <w:rPr>
          <w:rFonts w:hint="eastAsia" w:ascii="宋体" w:hAnsi="宋体" w:eastAsia="宋体" w:cs="宋体"/>
          <w:kern w:val="20"/>
          <w:sz w:val="24"/>
          <w:szCs w:val="24"/>
          <w:lang w:val="en-US" w:eastAsia="zh-Hans"/>
        </w:rPr>
        <w:t>老院区所有数据迁移及续用软件升级改造</w:t>
      </w:r>
    </w:p>
    <w:p>
      <w:pPr>
        <w:pageBreakBefore w:val="0"/>
        <w:widowControl/>
        <w:kinsoku/>
        <w:wordWrap/>
        <w:overflowPunct/>
        <w:topLinePunct w:val="0"/>
        <w:autoSpaceDE/>
        <w:autoSpaceDN/>
        <w:bidi w:val="0"/>
        <w:adjustRightInd/>
        <w:snapToGrid/>
        <w:spacing w:beforeLines="0" w:afterLines="0" w:line="360" w:lineRule="auto"/>
        <w:ind w:firstLine="560"/>
        <w:jc w:val="left"/>
        <w:rPr>
          <w:rFonts w:hint="default" w:ascii="宋体" w:hAnsi="宋体" w:eastAsia="宋体" w:cs="宋体"/>
          <w:kern w:val="20"/>
          <w:sz w:val="24"/>
          <w:szCs w:val="24"/>
          <w:lang w:val="en-US" w:eastAsia="zh-Hans"/>
        </w:rPr>
      </w:pPr>
      <w:r>
        <w:rPr>
          <w:rFonts w:hint="eastAsia" w:ascii="宋体" w:hAnsi="宋体" w:eastAsia="宋体" w:cs="宋体"/>
          <w:kern w:val="20"/>
          <w:sz w:val="24"/>
          <w:szCs w:val="24"/>
          <w:lang w:val="en-US" w:eastAsia="zh-CN"/>
        </w:rPr>
        <w:t>对老院区在用的系统按评审要求进行续用升级改造，</w:t>
      </w:r>
      <w:r>
        <w:rPr>
          <w:rFonts w:hint="eastAsia" w:ascii="宋体" w:hAnsi="宋体" w:eastAsia="宋体" w:cs="宋体"/>
          <w:kern w:val="20"/>
          <w:sz w:val="24"/>
          <w:szCs w:val="24"/>
          <w:lang w:val="en-US" w:eastAsia="zh-Hans"/>
        </w:rPr>
        <w:t>根据医院新址启用计划，制订完善的现有续用软件和数据的迁移方案，迁移过程需要尽量减少对新老院区业务开展的影响。迁移的工作包括但不限于应用软件安装调试、应用软件培训、数据备份、数据恢复、基础数据维护、安全保障措施等。续用软件升级改造，主要包括对续用软件接入集成平台的对接改造以及功能的完善性改造。</w:t>
      </w:r>
      <w:r>
        <w:rPr>
          <w:rFonts w:hint="default" w:ascii="宋体" w:hAnsi="宋体" w:eastAsia="宋体" w:cs="宋体"/>
          <w:kern w:val="20"/>
          <w:sz w:val="24"/>
          <w:szCs w:val="24"/>
          <w:lang w:val="en-US" w:eastAsia="zh-Hans"/>
        </w:rPr>
        <w:t xml:space="preserve"> </w:t>
      </w:r>
    </w:p>
    <w:p>
      <w:pPr>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left"/>
        <w:rPr>
          <w:rFonts w:hint="default" w:ascii="宋体" w:hAnsi="宋体" w:eastAsia="宋体" w:cs="宋体"/>
          <w:kern w:val="20"/>
          <w:sz w:val="24"/>
          <w:szCs w:val="24"/>
          <w:lang w:val="en-US" w:eastAsia="zh-CN"/>
        </w:rPr>
      </w:pPr>
      <w:r>
        <w:rPr>
          <w:rFonts w:hint="eastAsia" w:ascii="宋体" w:hAnsi="宋体" w:eastAsia="宋体" w:cs="宋体"/>
          <w:i w:val="0"/>
          <w:iCs w:val="0"/>
          <w:color w:val="000000"/>
          <w:kern w:val="0"/>
          <w:sz w:val="24"/>
          <w:szCs w:val="24"/>
          <w:u w:val="none"/>
          <w:lang w:val="en-US" w:eastAsia="zh-CN" w:bidi="ar"/>
        </w:rPr>
        <w:t>65、各工作站、移动护理、手术麻醉、重症、自助服务等系统的相关硬件</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kern w:val="20"/>
          <w:sz w:val="24"/>
          <w:szCs w:val="24"/>
          <w:lang w:val="en-US" w:eastAsia="zh-CN"/>
        </w:rPr>
        <w:t>《信息化工作站及打印设备配置要求》</w:t>
      </w:r>
    </w:p>
    <w:tbl>
      <w:tblPr>
        <w:tblStyle w:val="41"/>
        <w:tblW w:w="98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6"/>
        <w:gridCol w:w="1004"/>
        <w:gridCol w:w="5181"/>
        <w:gridCol w:w="2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9815"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40"/>
                <w:szCs w:val="40"/>
                <w:u w:val="none"/>
                <w:lang w:val="en-US" w:eastAsia="zh-CN" w:bidi="ar"/>
              </w:rPr>
            </w:pPr>
            <w:r>
              <w:rPr>
                <w:rFonts w:hint="eastAsia" w:ascii="宋体" w:hAnsi="宋体" w:eastAsia="宋体" w:cs="宋体"/>
                <w:i w:val="0"/>
                <w:iCs w:val="0"/>
                <w:color w:val="auto"/>
                <w:kern w:val="0"/>
                <w:sz w:val="32"/>
                <w:szCs w:val="32"/>
                <w:u w:val="none"/>
                <w:lang w:val="en-US" w:eastAsia="zh-CN" w:bidi="ar"/>
              </w:rPr>
              <w:t>信息化工作站及打印设备配置</w:t>
            </w:r>
            <w:r>
              <w:rPr>
                <w:rFonts w:hint="eastAsia" w:ascii="宋体" w:hAnsi="宋体" w:cs="宋体"/>
                <w:i w:val="0"/>
                <w:iCs w:val="0"/>
                <w:color w:val="auto"/>
                <w:kern w:val="0"/>
                <w:sz w:val="32"/>
                <w:szCs w:val="32"/>
                <w:u w:val="none"/>
                <w:lang w:val="en-US" w:eastAsia="zh-CN" w:bidi="ar"/>
              </w:rPr>
              <w:t>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序号</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点位</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需求（包含但不限于）</w:t>
            </w:r>
          </w:p>
        </w:tc>
        <w:tc>
          <w:tcPr>
            <w:tcW w:w="28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配置要求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9"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每</w:t>
            </w:r>
            <w:r>
              <w:rPr>
                <w:rFonts w:hint="eastAsia" w:ascii="宋体" w:hAnsi="宋体" w:eastAsia="宋体" w:cs="宋体"/>
                <w:i w:val="0"/>
                <w:iCs w:val="0"/>
                <w:color w:val="auto"/>
                <w:kern w:val="0"/>
                <w:sz w:val="24"/>
                <w:szCs w:val="24"/>
                <w:u w:val="none"/>
                <w:lang w:val="en-US" w:eastAsia="zh-CN" w:bidi="ar"/>
              </w:rPr>
              <w:t>病区护士站*11</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4"/>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护士工作站5台</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护士长</w:t>
            </w:r>
            <w:r>
              <w:rPr>
                <w:rFonts w:hint="eastAsia" w:ascii="宋体" w:hAnsi="宋体" w:cs="宋体"/>
                <w:i w:val="0"/>
                <w:iCs w:val="0"/>
                <w:color w:val="auto"/>
                <w:kern w:val="0"/>
                <w:sz w:val="24"/>
                <w:szCs w:val="24"/>
                <w:u w:val="none"/>
                <w:lang w:val="en-US" w:eastAsia="zh-CN" w:bidi="ar"/>
              </w:rPr>
              <w:t>工作站</w:t>
            </w:r>
            <w:r>
              <w:rPr>
                <w:rFonts w:hint="eastAsia" w:ascii="宋体" w:hAnsi="宋体" w:eastAsia="宋体" w:cs="宋体"/>
                <w:i w:val="0"/>
                <w:iCs w:val="0"/>
                <w:color w:val="auto"/>
                <w:kern w:val="0"/>
                <w:sz w:val="24"/>
                <w:szCs w:val="24"/>
                <w:u w:val="none"/>
                <w:lang w:val="en-US" w:eastAsia="zh-CN" w:bidi="ar"/>
              </w:rPr>
              <w:t>1台</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OA外网</w:t>
            </w:r>
            <w:r>
              <w:rPr>
                <w:rFonts w:hint="eastAsia" w:ascii="宋体" w:hAnsi="宋体" w:cs="宋体"/>
                <w:i w:val="0"/>
                <w:iCs w:val="0"/>
                <w:color w:val="auto"/>
                <w:kern w:val="0"/>
                <w:sz w:val="24"/>
                <w:szCs w:val="24"/>
                <w:u w:val="none"/>
                <w:lang w:val="en-US" w:eastAsia="zh-CN" w:bidi="ar"/>
              </w:rPr>
              <w:t>工作站</w:t>
            </w:r>
            <w:r>
              <w:rPr>
                <w:rFonts w:hint="eastAsia" w:ascii="宋体" w:hAnsi="宋体" w:eastAsia="宋体" w:cs="宋体"/>
                <w:i w:val="0"/>
                <w:iCs w:val="0"/>
                <w:color w:val="auto"/>
                <w:kern w:val="0"/>
                <w:sz w:val="24"/>
                <w:szCs w:val="24"/>
                <w:u w:val="none"/>
                <w:lang w:val="en-US" w:eastAsia="zh-CN" w:bidi="ar"/>
              </w:rPr>
              <w:t>1台</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激光黑白打印2台（护理病历、费用清单）</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标签打印</w:t>
            </w:r>
            <w:r>
              <w:rPr>
                <w:rFonts w:hint="eastAsia" w:ascii="宋体" w:hAnsi="宋体" w:cs="宋体"/>
                <w:i w:val="0"/>
                <w:iCs w:val="0"/>
                <w:color w:val="auto"/>
                <w:kern w:val="0"/>
                <w:sz w:val="24"/>
                <w:szCs w:val="24"/>
                <w:u w:val="none"/>
                <w:lang w:val="en-US" w:eastAsia="zh-CN" w:bidi="ar"/>
              </w:rPr>
              <w:t>设备</w:t>
            </w:r>
            <w:r>
              <w:rPr>
                <w:rFonts w:hint="eastAsia" w:ascii="宋体" w:hAnsi="宋体" w:eastAsia="宋体" w:cs="宋体"/>
                <w:i w:val="0"/>
                <w:iCs w:val="0"/>
                <w:color w:val="auto"/>
                <w:kern w:val="0"/>
                <w:sz w:val="24"/>
                <w:szCs w:val="24"/>
                <w:u w:val="none"/>
                <w:lang w:val="en-US" w:eastAsia="zh-CN" w:bidi="ar"/>
              </w:rPr>
              <w:t>2台（输液瓶贴、检验条码）</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彩色激光打印</w:t>
            </w:r>
            <w:r>
              <w:rPr>
                <w:rFonts w:hint="eastAsia" w:ascii="宋体" w:hAnsi="宋体" w:cs="宋体"/>
                <w:i w:val="0"/>
                <w:iCs w:val="0"/>
                <w:color w:val="auto"/>
                <w:kern w:val="0"/>
                <w:sz w:val="24"/>
                <w:szCs w:val="24"/>
                <w:u w:val="none"/>
                <w:lang w:val="en-US" w:eastAsia="zh-CN" w:bidi="ar"/>
              </w:rPr>
              <w:t>设备</w:t>
            </w:r>
            <w:r>
              <w:rPr>
                <w:rFonts w:hint="eastAsia" w:ascii="宋体" w:hAnsi="宋体" w:eastAsia="宋体" w:cs="宋体"/>
                <w:i w:val="0"/>
                <w:iCs w:val="0"/>
                <w:color w:val="auto"/>
                <w:kern w:val="0"/>
                <w:sz w:val="24"/>
                <w:szCs w:val="24"/>
                <w:u w:val="none"/>
                <w:lang w:val="en-US" w:eastAsia="zh-CN" w:bidi="ar"/>
              </w:rPr>
              <w:t>1台（体温单）</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自助费用查询机1台</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移动护理车3台</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PDA 手持机5台</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扫描枪5把</w:t>
            </w:r>
          </w:p>
        </w:tc>
        <w:tc>
          <w:tcPr>
            <w:tcW w:w="2804" w:type="dxa"/>
            <w:vMerge w:val="restart"/>
            <w:tcBorders>
              <w:top w:val="single" w:color="000000" w:sz="4" w:space="0"/>
              <w:left w:val="single" w:color="000000" w:sz="4" w:space="0"/>
              <w:right w:val="single" w:color="000000" w:sz="4" w:space="0"/>
            </w:tcBorders>
            <w:noWrap w:val="0"/>
            <w:vAlign w:val="center"/>
          </w:tcPr>
          <w:p>
            <w:pPr>
              <w:keepNext w:val="0"/>
              <w:keepLines w:val="0"/>
              <w:widowControl/>
              <w:numPr>
                <w:ilvl w:val="0"/>
                <w:numId w:val="25"/>
              </w:numPr>
              <w:suppressLineNumbers w:val="0"/>
              <w:ind w:left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工作站配置（连接PACS系统的除外）</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台式品牌一体式工作站，11代i3,8G内存，128G SSD，1T机械硬盘以上配置，5年整机保修</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工作站配置（连接PACS系统的）</w:t>
            </w:r>
            <w:r>
              <w:rPr>
                <w:rFonts w:hint="eastAsia" w:ascii="宋体" w:hAnsi="宋体" w:cs="宋体"/>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t>分体式品牌（工作站，11代i5,8G内存，128G SSD，1T机械硬盘以上配置，5年整机保修</w:t>
            </w:r>
          </w:p>
          <w:p>
            <w:pPr>
              <w:keepNext w:val="0"/>
              <w:keepLines w:val="0"/>
              <w:widowControl/>
              <w:numPr>
                <w:ilvl w:val="0"/>
                <w:numId w:val="0"/>
              </w:numPr>
              <w:suppressLineNumbers w:val="0"/>
              <w:ind w:leftChars="0"/>
              <w:jc w:val="left"/>
              <w:textAlignment w:val="center"/>
              <w:rPr>
                <w:rFonts w:hint="eastAsia" w:ascii="宋体" w:hAnsi="宋体" w:cs="宋体"/>
                <w:i w:val="0"/>
                <w:iCs w:val="0"/>
                <w:color w:val="auto"/>
                <w:kern w:val="0"/>
                <w:sz w:val="24"/>
                <w:szCs w:val="24"/>
                <w:u w:val="none"/>
                <w:lang w:val="en-US" w:eastAsia="zh-CN" w:bidi="ar"/>
              </w:rPr>
            </w:pPr>
          </w:p>
          <w:p>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3、打印机：</w:t>
            </w:r>
            <w:r>
              <w:rPr>
                <w:rFonts w:hint="eastAsia" w:ascii="宋体" w:hAnsi="宋体" w:eastAsia="宋体" w:cs="宋体"/>
                <w:i w:val="0"/>
                <w:iCs w:val="0"/>
                <w:color w:val="auto"/>
                <w:kern w:val="0"/>
                <w:sz w:val="24"/>
                <w:szCs w:val="24"/>
                <w:u w:val="none"/>
                <w:lang w:val="en-US" w:eastAsia="zh-CN" w:bidi="ar"/>
              </w:rPr>
              <w:t>配置需带网络口打印机</w:t>
            </w:r>
          </w:p>
          <w:p>
            <w:pPr>
              <w:keepNext w:val="0"/>
              <w:keepLines w:val="0"/>
              <w:widowControl/>
              <w:numPr>
                <w:ilvl w:val="0"/>
                <w:numId w:val="0"/>
              </w:numPr>
              <w:suppressLineNumbers w:val="0"/>
              <w:jc w:val="left"/>
              <w:textAlignment w:val="center"/>
              <w:rPr>
                <w:rFonts w:hint="default"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每</w:t>
            </w:r>
            <w:r>
              <w:rPr>
                <w:rFonts w:hint="eastAsia" w:ascii="宋体" w:hAnsi="宋体" w:eastAsia="宋体" w:cs="宋体"/>
                <w:i w:val="0"/>
                <w:iCs w:val="0"/>
                <w:color w:val="auto"/>
                <w:kern w:val="0"/>
                <w:sz w:val="24"/>
                <w:szCs w:val="24"/>
                <w:u w:val="none"/>
                <w:lang w:val="en-US" w:eastAsia="zh-CN" w:bidi="ar"/>
              </w:rPr>
              <w:t>病区医生办公室*11</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6"/>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医生工作站8台</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激光黑白打印设备2台</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主任办</w:t>
            </w:r>
            <w:r>
              <w:rPr>
                <w:rFonts w:hint="eastAsia" w:ascii="宋体" w:hAnsi="宋体" w:cs="宋体"/>
                <w:i w:val="0"/>
                <w:iCs w:val="0"/>
                <w:color w:val="auto"/>
                <w:kern w:val="0"/>
                <w:sz w:val="24"/>
                <w:szCs w:val="24"/>
                <w:u w:val="none"/>
                <w:lang w:val="en-US" w:eastAsia="zh-CN" w:bidi="ar"/>
              </w:rPr>
              <w:t>工作站</w:t>
            </w:r>
            <w:r>
              <w:rPr>
                <w:rFonts w:hint="eastAsia" w:ascii="宋体" w:hAnsi="宋体" w:eastAsia="宋体" w:cs="宋体"/>
                <w:i w:val="0"/>
                <w:iCs w:val="0"/>
                <w:color w:val="auto"/>
                <w:kern w:val="0"/>
                <w:sz w:val="24"/>
                <w:szCs w:val="24"/>
                <w:u w:val="none"/>
                <w:lang w:val="en-US" w:eastAsia="zh-CN" w:bidi="ar"/>
              </w:rPr>
              <w:t>1台</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移动查房设备3台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3</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急诊、输液及留观室</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7"/>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护士工作站5台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护士长</w:t>
            </w:r>
            <w:r>
              <w:rPr>
                <w:rFonts w:hint="eastAsia" w:ascii="宋体" w:hAnsi="宋体" w:cs="宋体"/>
                <w:i w:val="0"/>
                <w:iCs w:val="0"/>
                <w:color w:val="auto"/>
                <w:kern w:val="0"/>
                <w:sz w:val="24"/>
                <w:szCs w:val="24"/>
                <w:u w:val="none"/>
                <w:lang w:val="en-US" w:eastAsia="zh-CN" w:bidi="ar"/>
              </w:rPr>
              <w:t>工作站</w:t>
            </w:r>
            <w:r>
              <w:rPr>
                <w:rFonts w:hint="eastAsia" w:ascii="宋体" w:hAnsi="宋体" w:eastAsia="宋体" w:cs="宋体"/>
                <w:i w:val="0"/>
                <w:iCs w:val="0"/>
                <w:color w:val="auto"/>
                <w:kern w:val="0"/>
                <w:sz w:val="24"/>
                <w:szCs w:val="24"/>
                <w:u w:val="none"/>
                <w:lang w:val="en-US" w:eastAsia="zh-CN" w:bidi="ar"/>
              </w:rPr>
              <w:t>1台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OA外网</w:t>
            </w:r>
            <w:r>
              <w:rPr>
                <w:rFonts w:hint="eastAsia" w:ascii="宋体" w:hAnsi="宋体" w:cs="宋体"/>
                <w:i w:val="0"/>
                <w:iCs w:val="0"/>
                <w:color w:val="auto"/>
                <w:kern w:val="0"/>
                <w:sz w:val="24"/>
                <w:szCs w:val="24"/>
                <w:u w:val="none"/>
                <w:lang w:val="en-US" w:eastAsia="zh-CN" w:bidi="ar"/>
              </w:rPr>
              <w:t>工作站</w:t>
            </w:r>
            <w:r>
              <w:rPr>
                <w:rFonts w:hint="eastAsia" w:ascii="宋体" w:hAnsi="宋体" w:eastAsia="宋体" w:cs="宋体"/>
                <w:i w:val="0"/>
                <w:iCs w:val="0"/>
                <w:color w:val="auto"/>
                <w:kern w:val="0"/>
                <w:sz w:val="24"/>
                <w:szCs w:val="24"/>
                <w:u w:val="none"/>
                <w:lang w:val="en-US" w:eastAsia="zh-CN" w:bidi="ar"/>
              </w:rPr>
              <w:t>1台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激光黑白打印2台（护理病历、费用清单）</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标签打印2台（输液瓶贴、检验条码）</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彩色激光打印</w:t>
            </w:r>
            <w:r>
              <w:rPr>
                <w:rFonts w:hint="eastAsia" w:ascii="宋体" w:hAnsi="宋体" w:cs="宋体"/>
                <w:i w:val="0"/>
                <w:iCs w:val="0"/>
                <w:color w:val="auto"/>
                <w:kern w:val="0"/>
                <w:sz w:val="24"/>
                <w:szCs w:val="24"/>
                <w:u w:val="none"/>
                <w:lang w:val="en-US" w:eastAsia="zh-CN" w:bidi="ar"/>
              </w:rPr>
              <w:t>设备</w:t>
            </w:r>
            <w:r>
              <w:rPr>
                <w:rFonts w:hint="eastAsia" w:ascii="宋体" w:hAnsi="宋体" w:eastAsia="宋体" w:cs="宋体"/>
                <w:i w:val="0"/>
                <w:iCs w:val="0"/>
                <w:color w:val="auto"/>
                <w:kern w:val="0"/>
                <w:sz w:val="24"/>
                <w:szCs w:val="24"/>
                <w:u w:val="none"/>
                <w:lang w:val="en-US" w:eastAsia="zh-CN" w:bidi="ar"/>
              </w:rPr>
              <w:t>1台（体温单）</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自助费用查询机1台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移动护理车3台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PDA 手持机5台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扫描枪5把</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医生工作站8台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激光黑白打印2台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主任办</w:t>
            </w:r>
            <w:r>
              <w:rPr>
                <w:rFonts w:hint="eastAsia" w:ascii="宋体" w:hAnsi="宋体" w:cs="宋体"/>
                <w:i w:val="0"/>
                <w:iCs w:val="0"/>
                <w:color w:val="auto"/>
                <w:kern w:val="0"/>
                <w:sz w:val="24"/>
                <w:szCs w:val="24"/>
                <w:u w:val="none"/>
                <w:lang w:val="en-US" w:eastAsia="zh-CN" w:bidi="ar"/>
              </w:rPr>
              <w:t>工作站</w:t>
            </w:r>
            <w:r>
              <w:rPr>
                <w:rFonts w:hint="eastAsia" w:ascii="宋体" w:hAnsi="宋体" w:eastAsia="宋体" w:cs="宋体"/>
                <w:i w:val="0"/>
                <w:iCs w:val="0"/>
                <w:color w:val="auto"/>
                <w:kern w:val="0"/>
                <w:sz w:val="24"/>
                <w:szCs w:val="24"/>
                <w:u w:val="none"/>
                <w:lang w:val="en-US" w:eastAsia="zh-CN" w:bidi="ar"/>
              </w:rPr>
              <w:t>1台</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移动查房设备1台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4</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每</w:t>
            </w:r>
            <w:r>
              <w:rPr>
                <w:rFonts w:hint="eastAsia" w:ascii="宋体" w:hAnsi="宋体" w:eastAsia="宋体" w:cs="宋体"/>
                <w:i w:val="0"/>
                <w:iCs w:val="0"/>
                <w:color w:val="auto"/>
                <w:kern w:val="0"/>
                <w:sz w:val="24"/>
                <w:szCs w:val="24"/>
                <w:u w:val="none"/>
                <w:lang w:val="en-US" w:eastAsia="zh-CN" w:bidi="ar"/>
              </w:rPr>
              <w:t>门诊医生诊室</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8"/>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医生工作站1台</w:t>
            </w:r>
          </w:p>
          <w:p>
            <w:pPr>
              <w:keepNext w:val="0"/>
              <w:keepLines w:val="0"/>
              <w:widowControl/>
              <w:numPr>
                <w:ilvl w:val="0"/>
                <w:numId w:val="28"/>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激光黑白打印机1台</w:t>
            </w:r>
          </w:p>
          <w:p>
            <w:pPr>
              <w:keepNext w:val="0"/>
              <w:keepLines w:val="0"/>
              <w:widowControl/>
              <w:numPr>
                <w:ilvl w:val="0"/>
                <w:numId w:val="28"/>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门诊病历自助打印机5台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5</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重症系统（每床位）</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29"/>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一体化推车（每二床1台）</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生命体征信息采集套件（每床一套)</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6</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手术室（每间手术室）</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麻醉机支臂工作站套装（每台麻醉机1套）</w:t>
            </w:r>
          </w:p>
          <w:p>
            <w:pPr>
              <w:keepNext w:val="0"/>
              <w:keepLines w:val="0"/>
              <w:widowControl/>
              <w:numPr>
                <w:ilvl w:val="0"/>
                <w:numId w:val="30"/>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床边采集套件</w:t>
            </w:r>
          </w:p>
          <w:p>
            <w:pPr>
              <w:keepNext w:val="0"/>
              <w:keepLines w:val="0"/>
              <w:widowControl/>
              <w:numPr>
                <w:ilvl w:val="0"/>
                <w:numId w:val="30"/>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床边一体机</w:t>
            </w:r>
            <w:r>
              <w:rPr>
                <w:rFonts w:hint="eastAsia" w:ascii="宋体" w:hAnsi="宋体" w:cs="宋体"/>
                <w:i w:val="0"/>
                <w:iCs w:val="0"/>
                <w:color w:val="auto"/>
                <w:kern w:val="0"/>
                <w:sz w:val="24"/>
                <w:szCs w:val="24"/>
                <w:u w:val="none"/>
                <w:lang w:val="en-US" w:eastAsia="zh-CN" w:bidi="ar"/>
              </w:rPr>
              <w:t>工作站</w:t>
            </w:r>
            <w:r>
              <w:rPr>
                <w:rFonts w:hint="eastAsia" w:ascii="宋体" w:hAnsi="宋体" w:eastAsia="宋体" w:cs="宋体"/>
                <w:i w:val="0"/>
                <w:iCs w:val="0"/>
                <w:color w:val="auto"/>
                <w:kern w:val="0"/>
                <w:sz w:val="24"/>
                <w:szCs w:val="24"/>
                <w:u w:val="none"/>
                <w:lang w:val="en-US" w:eastAsia="zh-CN" w:bidi="ar"/>
              </w:rPr>
              <w:t>1台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7</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放射科（连接PACS系统）</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1"/>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工作站电脑15台</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自助胶片打印设备5台</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激光黑白打印4台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8</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功能科（连接PACS系统）</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2"/>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每诊室工作站1台</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彩色喷墨打印机1台</w:t>
            </w:r>
          </w:p>
          <w:p>
            <w:pPr>
              <w:keepNext w:val="0"/>
              <w:keepLines w:val="0"/>
              <w:widowControl/>
              <w:numPr>
                <w:ilvl w:val="0"/>
                <w:numId w:val="32"/>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扫描枪1把</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9</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检验科</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3"/>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工作站40台</w:t>
            </w:r>
          </w:p>
          <w:p>
            <w:pPr>
              <w:keepNext w:val="0"/>
              <w:keepLines w:val="0"/>
              <w:widowControl/>
              <w:numPr>
                <w:ilvl w:val="0"/>
                <w:numId w:val="33"/>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扫描枪40把</w:t>
            </w:r>
          </w:p>
          <w:p>
            <w:pPr>
              <w:keepNext w:val="0"/>
              <w:keepLines w:val="0"/>
              <w:widowControl/>
              <w:numPr>
                <w:ilvl w:val="0"/>
                <w:numId w:val="33"/>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自助报告打印机5台</w:t>
            </w:r>
          </w:p>
          <w:p>
            <w:pPr>
              <w:keepNext w:val="0"/>
              <w:keepLines w:val="0"/>
              <w:widowControl/>
              <w:numPr>
                <w:ilvl w:val="0"/>
                <w:numId w:val="33"/>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激光黑白打印机10台</w:t>
            </w:r>
          </w:p>
          <w:p>
            <w:pPr>
              <w:keepNext w:val="0"/>
              <w:keepLines w:val="0"/>
              <w:widowControl/>
              <w:numPr>
                <w:ilvl w:val="0"/>
                <w:numId w:val="33"/>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彩色喷墨打印机5台</w:t>
            </w:r>
          </w:p>
          <w:p>
            <w:pPr>
              <w:keepNext w:val="0"/>
              <w:keepLines w:val="0"/>
              <w:widowControl/>
              <w:numPr>
                <w:ilvl w:val="0"/>
                <w:numId w:val="33"/>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标签条码打印机10台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10</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挂号室、住院处（每窗口）</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4"/>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工作站1台</w:t>
            </w:r>
          </w:p>
          <w:p>
            <w:pPr>
              <w:keepNext w:val="0"/>
              <w:keepLines w:val="0"/>
              <w:widowControl/>
              <w:numPr>
                <w:ilvl w:val="0"/>
                <w:numId w:val="3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身份证读卡器1台</w:t>
            </w:r>
          </w:p>
          <w:p>
            <w:pPr>
              <w:keepNext w:val="0"/>
              <w:keepLines w:val="0"/>
              <w:widowControl/>
              <w:numPr>
                <w:ilvl w:val="0"/>
                <w:numId w:val="3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医保读卡器1台</w:t>
            </w:r>
          </w:p>
          <w:p>
            <w:pPr>
              <w:keepNext w:val="0"/>
              <w:keepLines w:val="0"/>
              <w:widowControl/>
              <w:numPr>
                <w:ilvl w:val="0"/>
                <w:numId w:val="3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标签打印设备（窗口打印发票、实名制）2台</w:t>
            </w:r>
          </w:p>
          <w:p>
            <w:pPr>
              <w:keepNext w:val="0"/>
              <w:keepLines w:val="0"/>
              <w:widowControl/>
              <w:numPr>
                <w:ilvl w:val="0"/>
                <w:numId w:val="3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腕带打印设备（每住院窗口1台）</w:t>
            </w:r>
          </w:p>
          <w:p>
            <w:pPr>
              <w:keepNext w:val="0"/>
              <w:keepLines w:val="0"/>
              <w:widowControl/>
              <w:numPr>
                <w:ilvl w:val="0"/>
                <w:numId w:val="34"/>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病历本售卖机</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auto"/>
                <w:sz w:val="24"/>
                <w:szCs w:val="24"/>
                <w:u w:val="none"/>
                <w:lang w:val="en-US" w:eastAsia="zh-CN"/>
              </w:rPr>
            </w:pPr>
            <w:r>
              <w:rPr>
                <w:rFonts w:hint="eastAsia" w:ascii="宋体" w:hAnsi="宋体" w:cs="宋体"/>
                <w:i w:val="0"/>
                <w:iCs w:val="0"/>
                <w:color w:val="auto"/>
                <w:sz w:val="24"/>
                <w:szCs w:val="24"/>
                <w:u w:val="none"/>
                <w:lang w:val="en-US" w:eastAsia="zh-CN"/>
              </w:rPr>
              <w:t>1</w:t>
            </w:r>
            <w:r>
              <w:rPr>
                <w:rFonts w:hint="eastAsia" w:ascii="宋体" w:hAnsi="宋体" w:cs="宋体"/>
                <w:i w:val="0"/>
                <w:iCs w:val="0"/>
                <w:color w:val="auto"/>
                <w:kern w:val="0"/>
                <w:sz w:val="24"/>
                <w:szCs w:val="24"/>
                <w:u w:val="none"/>
                <w:lang w:val="en-US" w:eastAsia="zh-CN" w:bidi="ar"/>
              </w:rPr>
              <w:t>1</w:t>
            </w:r>
          </w:p>
        </w:tc>
        <w:tc>
          <w:tcPr>
            <w:tcW w:w="1004" w:type="dxa"/>
            <w:tcBorders>
              <w:top w:val="single" w:color="000000" w:sz="4" w:space="0"/>
              <w:left w:val="single" w:color="000000" w:sz="4" w:space="0"/>
              <w:bottom w:val="single" w:color="000000" w:sz="4" w:space="0"/>
              <w:right w:val="single" w:color="000000" w:sz="4" w:space="0"/>
            </w:tcBorders>
            <w:noWrap/>
            <w:vAlign w:val="bottom"/>
          </w:tcPr>
          <w:p>
            <w:pPr>
              <w:rPr>
                <w:rFonts w:hint="default" w:ascii="宋体" w:hAnsi="宋体" w:eastAsia="宋体" w:cs="宋体"/>
                <w:i w:val="0"/>
                <w:iCs w:val="0"/>
                <w:color w:val="auto"/>
                <w:sz w:val="24"/>
                <w:szCs w:val="24"/>
                <w:u w:val="none"/>
                <w:lang w:val="en-US" w:eastAsia="zh-CN"/>
              </w:rPr>
            </w:pPr>
            <w:r>
              <w:rPr>
                <w:rFonts w:hint="eastAsia" w:ascii="宋体" w:hAnsi="宋体" w:cs="宋体"/>
                <w:i w:val="0"/>
                <w:iCs w:val="0"/>
                <w:color w:val="auto"/>
                <w:sz w:val="24"/>
                <w:szCs w:val="24"/>
                <w:u w:val="none"/>
                <w:lang w:val="en-US" w:eastAsia="zh-CN"/>
              </w:rPr>
              <w:t>门诊大厅</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5"/>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自助发票打印设备4台</w:t>
            </w:r>
          </w:p>
          <w:p>
            <w:pPr>
              <w:keepNext w:val="0"/>
              <w:keepLines w:val="0"/>
              <w:widowControl/>
              <w:numPr>
                <w:ilvl w:val="0"/>
                <w:numId w:val="35"/>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电子病历打印设备8台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12</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行政职能科室</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6"/>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每个办公室配3台工作站</w:t>
            </w:r>
          </w:p>
          <w:p>
            <w:pPr>
              <w:keepNext w:val="0"/>
              <w:keepLines w:val="0"/>
              <w:widowControl/>
              <w:numPr>
                <w:ilvl w:val="0"/>
                <w:numId w:val="36"/>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每个办公室配激光黑白打印设备3台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13</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药房窗口</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7"/>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西药房工作站5台，激光黑白打印4台</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急诊药房工作站2台，激光黑白打印2台</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中心药房工作站3台，激光黑白打印3台</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静配中心工作站3台，激光黑白打印3台</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中药房工作站3台，激光黑白打印3台</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药库工作站3台，激光黑白打印2台</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发热门诊药房工作站1台，激光黑白打印1台；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14</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内镜中心（每一台内镜主机）（连接PACS系统）</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每一台内镜主机站工作站1台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15</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病理科（连接PACS系统）</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每个工作区配工作站1台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16</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康复治疗室</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8"/>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工作站30台</w:t>
            </w:r>
          </w:p>
          <w:p>
            <w:pPr>
              <w:keepNext w:val="0"/>
              <w:keepLines w:val="0"/>
              <w:widowControl/>
              <w:numPr>
                <w:ilvl w:val="0"/>
                <w:numId w:val="38"/>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激光黑白打印20台</w:t>
            </w:r>
          </w:p>
        </w:tc>
        <w:tc>
          <w:tcPr>
            <w:tcW w:w="2804" w:type="dxa"/>
            <w:vMerge w:val="continue"/>
            <w:tcBorders>
              <w:left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17</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总服务台</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numPr>
                <w:ilvl w:val="0"/>
                <w:numId w:val="39"/>
              </w:numPr>
              <w:suppressLineNumbers w:val="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工作站2台</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激光黑白打印1台</w:t>
            </w:r>
          </w:p>
        </w:tc>
        <w:tc>
          <w:tcPr>
            <w:tcW w:w="2804" w:type="dxa"/>
            <w:vMerge w:val="continue"/>
            <w:tcBorders>
              <w:left w:val="single" w:color="000000" w:sz="4" w:space="0"/>
              <w:right w:val="single" w:color="000000" w:sz="4" w:space="0"/>
            </w:tcBorders>
            <w:noWrap w:val="0"/>
            <w:vAlign w:val="center"/>
          </w:tcPr>
          <w:p>
            <w:pPr>
              <w:keepNext w:val="0"/>
              <w:keepLines w:val="0"/>
              <w:widowControl/>
              <w:numPr>
                <w:ilvl w:val="0"/>
                <w:numId w:val="0"/>
              </w:numPr>
              <w:suppressLineNumbers w:val="0"/>
              <w:jc w:val="left"/>
              <w:textAlignment w:val="center"/>
              <w:rPr>
                <w:rFonts w:hint="default" w:ascii="宋体" w:hAnsi="宋体" w:eastAsia="宋体" w:cs="宋体"/>
                <w:i w:val="0"/>
                <w:iCs w:val="0"/>
                <w:color w:val="auto"/>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18</w:t>
            </w:r>
          </w:p>
        </w:tc>
        <w:tc>
          <w:tcPr>
            <w:tcW w:w="10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感染楼</w:t>
            </w:r>
          </w:p>
        </w:tc>
        <w:tc>
          <w:tcPr>
            <w:tcW w:w="51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感染楼配置挂号室、检验科、放射科、护士办、医生办、药房工作站各一台</w:t>
            </w:r>
            <w:r>
              <w:rPr>
                <w:rFonts w:hint="eastAsia" w:ascii="宋体" w:hAnsi="宋体" w:cs="宋体"/>
                <w:i w:val="0"/>
                <w:iCs w:val="0"/>
                <w:color w:val="auto"/>
                <w:kern w:val="0"/>
                <w:sz w:val="24"/>
                <w:szCs w:val="24"/>
                <w:u w:val="none"/>
                <w:lang w:val="en-US" w:eastAsia="zh-CN" w:bidi="ar"/>
              </w:rPr>
              <w:t>、激光打印设备各一台</w:t>
            </w:r>
          </w:p>
        </w:tc>
        <w:tc>
          <w:tcPr>
            <w:tcW w:w="2804" w:type="dxa"/>
            <w:vMerge w:val="continue"/>
            <w:tcBorders>
              <w:left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bidi="ar"/>
              </w:rPr>
            </w:pPr>
          </w:p>
        </w:tc>
      </w:tr>
    </w:tbl>
    <w:p>
      <w:pPr>
        <w:pStyle w:val="2"/>
        <w:rPr>
          <w:rFonts w:hint="eastAsia"/>
          <w:lang w:val="zh-CN"/>
        </w:rPr>
      </w:pPr>
    </w:p>
    <w:p>
      <w:pPr>
        <w:pageBreakBefore w:val="0"/>
        <w:widowControl w:val="0"/>
        <w:numPr>
          <w:ilvl w:val="0"/>
          <w:numId w:val="0"/>
        </w:numPr>
        <w:kinsoku/>
        <w:wordWrap/>
        <w:overflowPunct/>
        <w:topLinePunct w:val="0"/>
        <w:autoSpaceDE/>
        <w:autoSpaceDN/>
        <w:bidi w:val="0"/>
        <w:adjustRightInd/>
        <w:snapToGrid/>
        <w:spacing w:line="360" w:lineRule="auto"/>
        <w:ind w:left="1552" w:leftChars="344" w:hanging="830" w:hangingChars="346"/>
        <w:rPr>
          <w:rFonts w:hint="eastAsia" w:ascii="宋体" w:hAnsi="宋体" w:eastAsia="宋体" w:cs="宋体"/>
          <w:b/>
          <w:bCs/>
          <w:smallCaps/>
          <w:kern w:val="2"/>
          <w:sz w:val="24"/>
          <w:szCs w:val="24"/>
          <w:lang w:val="en-US" w:eastAsia="zh-CN" w:bidi="ar-SA"/>
        </w:rPr>
      </w:pPr>
      <w:r>
        <w:rPr>
          <w:rFonts w:hint="eastAsia" w:ascii="宋体" w:hAnsi="宋体" w:eastAsia="宋体" w:cs="宋体"/>
          <w:b/>
          <w:bCs/>
          <w:smallCaps/>
          <w:kern w:val="2"/>
          <w:sz w:val="24"/>
          <w:szCs w:val="24"/>
          <w:lang w:val="en-US" w:eastAsia="zh-CN" w:bidi="ar-SA"/>
        </w:rPr>
        <w:t xml:space="preserve">附：《大楼平面设计图》  </w:t>
      </w:r>
    </w:p>
    <w:p>
      <w:pPr>
        <w:pageBreakBefore w:val="0"/>
        <w:widowControl w:val="0"/>
        <w:numPr>
          <w:ilvl w:val="0"/>
          <w:numId w:val="0"/>
        </w:numPr>
        <w:kinsoku/>
        <w:wordWrap/>
        <w:overflowPunct/>
        <w:topLinePunct w:val="0"/>
        <w:autoSpaceDE/>
        <w:autoSpaceDN/>
        <w:bidi w:val="0"/>
        <w:adjustRightInd/>
        <w:snapToGrid/>
        <w:spacing w:line="360" w:lineRule="auto"/>
        <w:ind w:left="1552" w:leftChars="344" w:hanging="830" w:hangingChars="346"/>
        <w:rPr>
          <w:rFonts w:hint="eastAsia" w:ascii="宋体" w:hAnsi="宋体" w:eastAsia="宋体" w:cs="宋体"/>
          <w:b/>
          <w:bCs/>
          <w:smallCaps/>
          <w:kern w:val="2"/>
          <w:sz w:val="24"/>
          <w:szCs w:val="24"/>
          <w:lang w:val="en-US" w:eastAsia="zh-CN" w:bidi="ar-SA"/>
        </w:rPr>
      </w:pPr>
      <w:r>
        <w:rPr>
          <w:rFonts w:hint="eastAsia" w:ascii="宋体" w:hAnsi="宋体" w:eastAsia="宋体" w:cs="宋体"/>
          <w:b/>
          <w:bCs/>
          <w:smallCaps/>
          <w:kern w:val="2"/>
          <w:sz w:val="24"/>
          <w:szCs w:val="24"/>
          <w:lang w:val="en-US" w:eastAsia="zh-CN" w:bidi="ar-SA"/>
        </w:rPr>
        <w:t>硬件设备配备按照《信息化工作站及打印设备配置要求》要求并参考《大楼平面设计图》确定。</w:t>
      </w:r>
    </w:p>
    <w:p>
      <w:pPr>
        <w:pStyle w:val="4"/>
        <w:rPr>
          <w:rFonts w:hint="default"/>
          <w:lang w:val="en-US" w:eastAsia="zh-CN"/>
        </w:rPr>
      </w:pPr>
      <w:r>
        <w:rPr>
          <w:rFonts w:hint="eastAsia" w:eastAsia="宋体"/>
          <w:lang w:eastAsia="zh-CN"/>
        </w:rPr>
        <w:drawing>
          <wp:inline distT="0" distB="0" distL="114300" distR="114300">
            <wp:extent cx="5272405" cy="7453630"/>
            <wp:effectExtent l="0" t="0" r="4445" b="13970"/>
            <wp:docPr id="6" name="图片 3" descr="组合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组合 1_00"/>
                    <pic:cNvPicPr>
                      <a:picLocks noChangeAspect="1"/>
                    </pic:cNvPicPr>
                  </pic:nvPicPr>
                  <pic:blipFill>
                    <a:blip r:embed="rId13"/>
                    <a:stretch>
                      <a:fillRect/>
                    </a:stretch>
                  </pic:blipFill>
                  <pic:spPr>
                    <a:xfrm>
                      <a:off x="0" y="0"/>
                      <a:ext cx="5272405" cy="7453630"/>
                    </a:xfrm>
                    <a:prstGeom prst="rect">
                      <a:avLst/>
                    </a:prstGeom>
                    <a:noFill/>
                    <a:ln>
                      <a:noFill/>
                    </a:ln>
                  </pic:spPr>
                </pic:pic>
              </a:graphicData>
            </a:graphic>
          </wp:inline>
        </w:drawing>
      </w:r>
      <w:r>
        <w:rPr>
          <w:rFonts w:hint="eastAsia" w:eastAsia="宋体"/>
          <w:lang w:eastAsia="zh-CN"/>
        </w:rPr>
        <w:drawing>
          <wp:inline distT="0" distB="0" distL="114300" distR="114300">
            <wp:extent cx="5272405" cy="7453630"/>
            <wp:effectExtent l="0" t="0" r="4445" b="13970"/>
            <wp:docPr id="7" name="图片 4" descr="组合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组合 1_01"/>
                    <pic:cNvPicPr>
                      <a:picLocks noChangeAspect="1"/>
                    </pic:cNvPicPr>
                  </pic:nvPicPr>
                  <pic:blipFill>
                    <a:blip r:embed="rId14"/>
                    <a:stretch>
                      <a:fillRect/>
                    </a:stretch>
                  </pic:blipFill>
                  <pic:spPr>
                    <a:xfrm>
                      <a:off x="0" y="0"/>
                      <a:ext cx="5272405" cy="7453630"/>
                    </a:xfrm>
                    <a:prstGeom prst="rect">
                      <a:avLst/>
                    </a:prstGeom>
                    <a:noFill/>
                    <a:ln>
                      <a:noFill/>
                    </a:ln>
                  </pic:spPr>
                </pic:pic>
              </a:graphicData>
            </a:graphic>
          </wp:inline>
        </w:drawing>
      </w:r>
      <w:r>
        <w:rPr>
          <w:rFonts w:hint="eastAsia" w:eastAsia="宋体"/>
          <w:lang w:eastAsia="zh-CN"/>
        </w:rPr>
        <w:drawing>
          <wp:inline distT="0" distB="0" distL="114300" distR="114300">
            <wp:extent cx="5272405" cy="7453630"/>
            <wp:effectExtent l="0" t="0" r="4445" b="13970"/>
            <wp:docPr id="4" name="图片 5" descr="组合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组合 1_02"/>
                    <pic:cNvPicPr>
                      <a:picLocks noChangeAspect="1"/>
                    </pic:cNvPicPr>
                  </pic:nvPicPr>
                  <pic:blipFill>
                    <a:blip r:embed="rId15"/>
                    <a:stretch>
                      <a:fillRect/>
                    </a:stretch>
                  </pic:blipFill>
                  <pic:spPr>
                    <a:xfrm>
                      <a:off x="0" y="0"/>
                      <a:ext cx="5272405" cy="7453630"/>
                    </a:xfrm>
                    <a:prstGeom prst="rect">
                      <a:avLst/>
                    </a:prstGeom>
                    <a:noFill/>
                    <a:ln>
                      <a:noFill/>
                    </a:ln>
                  </pic:spPr>
                </pic:pic>
              </a:graphicData>
            </a:graphic>
          </wp:inline>
        </w:drawing>
      </w:r>
      <w:r>
        <w:rPr>
          <w:rFonts w:hint="eastAsia" w:eastAsia="宋体"/>
          <w:lang w:eastAsia="zh-CN"/>
        </w:rPr>
        <w:drawing>
          <wp:inline distT="0" distB="0" distL="114300" distR="114300">
            <wp:extent cx="5263515" cy="7442835"/>
            <wp:effectExtent l="0" t="0" r="13335" b="5715"/>
            <wp:docPr id="5" name="图片 6" descr="组合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组合 1_03"/>
                    <pic:cNvPicPr>
                      <a:picLocks noChangeAspect="1"/>
                    </pic:cNvPicPr>
                  </pic:nvPicPr>
                  <pic:blipFill>
                    <a:blip r:embed="rId16"/>
                    <a:stretch>
                      <a:fillRect/>
                    </a:stretch>
                  </pic:blipFill>
                  <pic:spPr>
                    <a:xfrm>
                      <a:off x="0" y="0"/>
                      <a:ext cx="5263515" cy="7442835"/>
                    </a:xfrm>
                    <a:prstGeom prst="rect">
                      <a:avLst/>
                    </a:prstGeom>
                    <a:noFill/>
                    <a:ln>
                      <a:noFill/>
                    </a:ln>
                  </pic:spPr>
                </pic:pic>
              </a:graphicData>
            </a:graphic>
          </wp:inline>
        </w:drawing>
      </w:r>
      <w:r>
        <w:rPr>
          <w:rFonts w:hint="eastAsia" w:eastAsia="宋体"/>
          <w:lang w:eastAsia="zh-CN"/>
        </w:rPr>
        <w:drawing>
          <wp:inline distT="0" distB="0" distL="114300" distR="114300">
            <wp:extent cx="5263515" cy="7442835"/>
            <wp:effectExtent l="0" t="0" r="13335" b="5715"/>
            <wp:docPr id="12" name="图片 7" descr="组合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组合 1_04"/>
                    <pic:cNvPicPr>
                      <a:picLocks noChangeAspect="1"/>
                    </pic:cNvPicPr>
                  </pic:nvPicPr>
                  <pic:blipFill>
                    <a:blip r:embed="rId17"/>
                    <a:stretch>
                      <a:fillRect/>
                    </a:stretch>
                  </pic:blipFill>
                  <pic:spPr>
                    <a:xfrm>
                      <a:off x="0" y="0"/>
                      <a:ext cx="5263515" cy="7442835"/>
                    </a:xfrm>
                    <a:prstGeom prst="rect">
                      <a:avLst/>
                    </a:prstGeom>
                    <a:noFill/>
                    <a:ln>
                      <a:noFill/>
                    </a:ln>
                  </pic:spPr>
                </pic:pic>
              </a:graphicData>
            </a:graphic>
          </wp:inline>
        </w:drawing>
      </w:r>
      <w:r>
        <w:rPr>
          <w:rFonts w:hint="eastAsia" w:eastAsia="宋体"/>
          <w:lang w:eastAsia="zh-CN"/>
        </w:rPr>
        <w:drawing>
          <wp:inline distT="0" distB="0" distL="114300" distR="114300">
            <wp:extent cx="5263515" cy="7442835"/>
            <wp:effectExtent l="0" t="0" r="13335" b="5715"/>
            <wp:docPr id="14" name="图片 8" descr="组合 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组合 1_05"/>
                    <pic:cNvPicPr>
                      <a:picLocks noChangeAspect="1"/>
                    </pic:cNvPicPr>
                  </pic:nvPicPr>
                  <pic:blipFill>
                    <a:blip r:embed="rId18"/>
                    <a:stretch>
                      <a:fillRect/>
                    </a:stretch>
                  </pic:blipFill>
                  <pic:spPr>
                    <a:xfrm>
                      <a:off x="0" y="0"/>
                      <a:ext cx="5263515" cy="7442835"/>
                    </a:xfrm>
                    <a:prstGeom prst="rect">
                      <a:avLst/>
                    </a:prstGeom>
                    <a:noFill/>
                    <a:ln>
                      <a:noFill/>
                    </a:ln>
                  </pic:spPr>
                </pic:pic>
              </a:graphicData>
            </a:graphic>
          </wp:inline>
        </w:drawing>
      </w:r>
      <w:r>
        <w:rPr>
          <w:rFonts w:hint="eastAsia" w:eastAsia="宋体"/>
          <w:lang w:eastAsia="zh-CN"/>
        </w:rPr>
        <w:drawing>
          <wp:inline distT="0" distB="0" distL="114300" distR="114300">
            <wp:extent cx="5263515" cy="7442835"/>
            <wp:effectExtent l="0" t="0" r="13335" b="5715"/>
            <wp:docPr id="10" name="图片 9" descr="组合 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组合 1_06"/>
                    <pic:cNvPicPr>
                      <a:picLocks noChangeAspect="1"/>
                    </pic:cNvPicPr>
                  </pic:nvPicPr>
                  <pic:blipFill>
                    <a:blip r:embed="rId19"/>
                    <a:stretch>
                      <a:fillRect/>
                    </a:stretch>
                  </pic:blipFill>
                  <pic:spPr>
                    <a:xfrm>
                      <a:off x="0" y="0"/>
                      <a:ext cx="5263515" cy="7442835"/>
                    </a:xfrm>
                    <a:prstGeom prst="rect">
                      <a:avLst/>
                    </a:prstGeom>
                    <a:noFill/>
                    <a:ln>
                      <a:noFill/>
                    </a:ln>
                  </pic:spPr>
                </pic:pic>
              </a:graphicData>
            </a:graphic>
          </wp:inline>
        </w:drawing>
      </w:r>
      <w:r>
        <w:rPr>
          <w:rFonts w:hint="eastAsia" w:eastAsia="宋体"/>
          <w:lang w:eastAsia="zh-CN"/>
        </w:rPr>
        <w:drawing>
          <wp:inline distT="0" distB="0" distL="114300" distR="114300">
            <wp:extent cx="5263515" cy="7442835"/>
            <wp:effectExtent l="0" t="0" r="13335" b="5715"/>
            <wp:docPr id="11" name="图片 10" descr="组合 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组合 1_07"/>
                    <pic:cNvPicPr>
                      <a:picLocks noChangeAspect="1"/>
                    </pic:cNvPicPr>
                  </pic:nvPicPr>
                  <pic:blipFill>
                    <a:blip r:embed="rId20"/>
                    <a:stretch>
                      <a:fillRect/>
                    </a:stretch>
                  </pic:blipFill>
                  <pic:spPr>
                    <a:xfrm>
                      <a:off x="0" y="0"/>
                      <a:ext cx="5263515" cy="7442835"/>
                    </a:xfrm>
                    <a:prstGeom prst="rect">
                      <a:avLst/>
                    </a:prstGeom>
                    <a:noFill/>
                    <a:ln>
                      <a:noFill/>
                    </a:ln>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5261610" cy="3720465"/>
            <wp:effectExtent l="0" t="0" r="15240" b="13335"/>
            <wp:docPr id="13" name="图片 11" descr="组合 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组合 1_08"/>
                    <pic:cNvPicPr>
                      <a:picLocks noChangeAspect="1"/>
                    </pic:cNvPicPr>
                  </pic:nvPicPr>
                  <pic:blipFill>
                    <a:blip r:embed="rId21"/>
                    <a:stretch>
                      <a:fillRect/>
                    </a:stretch>
                  </pic:blipFill>
                  <pic:spPr>
                    <a:xfrm>
                      <a:off x="0" y="0"/>
                      <a:ext cx="5261610" cy="3720465"/>
                    </a:xfrm>
                    <a:prstGeom prst="rect">
                      <a:avLst/>
                    </a:prstGeom>
                    <a:noFill/>
                    <a:ln>
                      <a:noFill/>
                    </a:ln>
                  </pic:spPr>
                </pic:pic>
              </a:graphicData>
            </a:graphic>
          </wp:inline>
        </w:drawing>
      </w:r>
    </w:p>
    <w:p>
      <w:pPr>
        <w:pStyle w:val="4"/>
        <w:rPr>
          <w:rFonts w:hint="default"/>
          <w:color w:val="auto"/>
          <w:lang w:val="en-US" w:eastAsia="zh-CN"/>
        </w:rPr>
      </w:pPr>
      <w:r>
        <w:rPr>
          <w:rFonts w:hint="eastAsia"/>
          <w:color w:val="auto"/>
          <w:lang w:val="en-US" w:eastAsia="zh-CN"/>
        </w:rPr>
        <w:t>注：6-16共11个病区单元层均如上图</w:t>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lang w:val="en-US" w:eastAsia="zh-CN"/>
        </w:rPr>
      </w:pPr>
      <w:r>
        <w:rPr>
          <w:rFonts w:hint="eastAsia" w:eastAsia="宋体"/>
          <w:lang w:eastAsia="zh-CN"/>
        </w:rPr>
        <w:drawing>
          <wp:inline distT="0" distB="0" distL="114300" distR="114300">
            <wp:extent cx="5263515" cy="3721735"/>
            <wp:effectExtent l="0" t="0" r="13335" b="12065"/>
            <wp:docPr id="16" name="图片 12" descr="组合 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组合 1_09"/>
                    <pic:cNvPicPr>
                      <a:picLocks noChangeAspect="1"/>
                    </pic:cNvPicPr>
                  </pic:nvPicPr>
                  <pic:blipFill>
                    <a:blip r:embed="rId22"/>
                    <a:stretch>
                      <a:fillRect/>
                    </a:stretch>
                  </pic:blipFill>
                  <pic:spPr>
                    <a:xfrm>
                      <a:off x="0" y="0"/>
                      <a:ext cx="5263515" cy="3721735"/>
                    </a:xfrm>
                    <a:prstGeom prst="rect">
                      <a:avLst/>
                    </a:prstGeom>
                    <a:noFill/>
                    <a:ln>
                      <a:noFill/>
                    </a:ln>
                  </pic:spPr>
                </pic:pic>
              </a:graphicData>
            </a:graphic>
          </wp:inline>
        </w:drawing>
      </w:r>
      <w:r>
        <w:rPr>
          <w:rFonts w:hint="eastAsia" w:eastAsia="宋体"/>
          <w:lang w:eastAsia="zh-CN"/>
        </w:rPr>
        <w:drawing>
          <wp:inline distT="0" distB="0" distL="114300" distR="114300">
            <wp:extent cx="5263515" cy="3721735"/>
            <wp:effectExtent l="0" t="0" r="13335" b="12065"/>
            <wp:docPr id="15" name="图片 13" descr="组合 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组合 1_10"/>
                    <pic:cNvPicPr>
                      <a:picLocks noChangeAspect="1"/>
                    </pic:cNvPicPr>
                  </pic:nvPicPr>
                  <pic:blipFill>
                    <a:blip r:embed="rId23"/>
                    <a:stretch>
                      <a:fillRect/>
                    </a:stretch>
                  </pic:blipFill>
                  <pic:spPr>
                    <a:xfrm>
                      <a:off x="0" y="0"/>
                      <a:ext cx="5263515" cy="3721735"/>
                    </a:xfrm>
                    <a:prstGeom prst="rect">
                      <a:avLst/>
                    </a:prstGeom>
                    <a:noFill/>
                    <a:ln>
                      <a:noFill/>
                    </a:ln>
                  </pic:spPr>
                </pic:pic>
              </a:graphicData>
            </a:graphic>
          </wp:inline>
        </w:drawing>
      </w:r>
      <w:r>
        <w:rPr>
          <w:rFonts w:hint="eastAsia" w:eastAsia="宋体"/>
          <w:lang w:eastAsia="zh-CN"/>
        </w:rPr>
        <w:drawing>
          <wp:inline distT="0" distB="0" distL="114300" distR="114300">
            <wp:extent cx="5263515" cy="3721735"/>
            <wp:effectExtent l="0" t="0" r="13335" b="12065"/>
            <wp:docPr id="8" name="图片 14" descr="组合 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组合 1_11"/>
                    <pic:cNvPicPr>
                      <a:picLocks noChangeAspect="1"/>
                    </pic:cNvPicPr>
                  </pic:nvPicPr>
                  <pic:blipFill>
                    <a:blip r:embed="rId24"/>
                    <a:stretch>
                      <a:fillRect/>
                    </a:stretch>
                  </pic:blipFill>
                  <pic:spPr>
                    <a:xfrm>
                      <a:off x="0" y="0"/>
                      <a:ext cx="5263515" cy="3721735"/>
                    </a:xfrm>
                    <a:prstGeom prst="rect">
                      <a:avLst/>
                    </a:prstGeom>
                    <a:noFill/>
                    <a:ln>
                      <a:noFill/>
                    </a:ln>
                  </pic:spPr>
                </pic:pic>
              </a:graphicData>
            </a:graphic>
          </wp:inline>
        </w:drawing>
      </w:r>
      <w:r>
        <w:rPr>
          <w:rFonts w:hint="eastAsia" w:eastAsia="宋体"/>
          <w:lang w:eastAsia="zh-CN"/>
        </w:rPr>
        <w:drawing>
          <wp:inline distT="0" distB="0" distL="114300" distR="114300">
            <wp:extent cx="5263515" cy="3721735"/>
            <wp:effectExtent l="0" t="0" r="13335" b="12065"/>
            <wp:docPr id="9" name="图片 15" descr="组合 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组合 1_12"/>
                    <pic:cNvPicPr>
                      <a:picLocks noChangeAspect="1"/>
                    </pic:cNvPicPr>
                  </pic:nvPicPr>
                  <pic:blipFill>
                    <a:blip r:embed="rId25"/>
                    <a:stretch>
                      <a:fillRect/>
                    </a:stretch>
                  </pic:blipFill>
                  <pic:spPr>
                    <a:xfrm>
                      <a:off x="0" y="0"/>
                      <a:ext cx="5263515" cy="3721735"/>
                    </a:xfrm>
                    <a:prstGeom prst="rect">
                      <a:avLst/>
                    </a:prstGeom>
                    <a:noFill/>
                    <a:ln>
                      <a:noFill/>
                    </a:ln>
                  </pic:spPr>
                </pic:pic>
              </a:graphicData>
            </a:graphic>
          </wp:inline>
        </w:drawing>
      </w:r>
    </w:p>
    <w:p>
      <w:pPr>
        <w:keepNext/>
        <w:keepLines/>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left="576" w:leftChars="0" w:hanging="576"/>
        <w:outlineLvl w:val="1"/>
        <w:rPr>
          <w:rFonts w:ascii="宋体" w:hAnsi="等线 Light" w:eastAsia="宋体" w:cs="Times New Roman"/>
          <w:b/>
          <w:bCs w:val="0"/>
          <w:kern w:val="20"/>
          <w:sz w:val="24"/>
          <w:szCs w:val="24"/>
          <w:lang w:val="en-US" w:eastAsia="zh-CN" w:bidi="ar-SA"/>
        </w:rPr>
      </w:pPr>
      <w:bookmarkStart w:id="142" w:name="_Toc88568892"/>
      <w:r>
        <w:rPr>
          <w:rFonts w:hint="eastAsia" w:ascii="宋体" w:hAnsi="宋体" w:eastAsia="宋体" w:cs="Times New Roman"/>
          <w:b/>
          <w:bCs w:val="0"/>
          <w:kern w:val="20"/>
          <w:sz w:val="24"/>
          <w:szCs w:val="24"/>
          <w:lang w:val="en-US" w:eastAsia="zh-CN" w:bidi="ar-SA"/>
        </w:rPr>
        <w:t>1.5建设原则</w:t>
      </w:r>
      <w:bookmarkEnd w:id="142"/>
    </w:p>
    <w:p>
      <w:pPr>
        <w:pageBreakBefore w:val="0"/>
        <w:widowControl/>
        <w:kinsoku/>
        <w:wordWrap/>
        <w:overflowPunct/>
        <w:topLinePunct w:val="0"/>
        <w:autoSpaceDE/>
        <w:autoSpaceDN/>
        <w:bidi w:val="0"/>
        <w:adjustRightInd/>
        <w:snapToGrid/>
        <w:spacing w:beforeAutospacing="0" w:line="360" w:lineRule="auto"/>
        <w:ind w:firstLine="480" w:firstLineChars="200"/>
        <w:jc w:val="left"/>
        <w:rPr>
          <w:rFonts w:ascii="宋体" w:hAnsi="Cambria"/>
          <w:bCs/>
          <w:kern w:val="20"/>
          <w:sz w:val="24"/>
          <w:szCs w:val="24"/>
          <w:lang w:val="zh-CN"/>
        </w:rPr>
      </w:pPr>
      <w:r>
        <w:rPr>
          <w:rFonts w:hint="eastAsia" w:ascii="宋体" w:hAnsi="宋体"/>
          <w:bCs/>
          <w:kern w:val="20"/>
          <w:sz w:val="24"/>
          <w:szCs w:val="24"/>
          <w:lang w:val="zh-CN"/>
        </w:rPr>
        <w:t>（</w:t>
      </w:r>
      <w:r>
        <w:rPr>
          <w:rFonts w:ascii="宋体" w:hAnsi="宋体"/>
          <w:bCs/>
          <w:kern w:val="20"/>
          <w:sz w:val="24"/>
          <w:szCs w:val="24"/>
          <w:lang w:val="zh-CN"/>
        </w:rPr>
        <w:t>1</w:t>
      </w:r>
      <w:r>
        <w:rPr>
          <w:rFonts w:hint="eastAsia" w:ascii="宋体" w:hAnsi="宋体"/>
          <w:bCs/>
          <w:kern w:val="20"/>
          <w:sz w:val="24"/>
          <w:szCs w:val="24"/>
          <w:lang w:val="zh-CN"/>
        </w:rPr>
        <w:t>）前瞻性原则</w:t>
      </w:r>
    </w:p>
    <w:p>
      <w:pPr>
        <w:pageBreakBefore w:val="0"/>
        <w:widowControl/>
        <w:kinsoku/>
        <w:wordWrap/>
        <w:overflowPunct/>
        <w:topLinePunct w:val="0"/>
        <w:autoSpaceDE/>
        <w:autoSpaceDN/>
        <w:bidi w:val="0"/>
        <w:adjustRightInd/>
        <w:snapToGrid/>
        <w:spacing w:line="360" w:lineRule="auto"/>
        <w:ind w:firstLine="480" w:firstLineChars="200"/>
        <w:jc w:val="left"/>
        <w:rPr>
          <w:rFonts w:ascii="宋体" w:hAnsi="Cambria"/>
          <w:kern w:val="20"/>
          <w:sz w:val="24"/>
          <w:szCs w:val="20"/>
          <w:lang w:val="zh-CN"/>
        </w:rPr>
      </w:pPr>
      <w:r>
        <w:rPr>
          <w:rFonts w:hint="eastAsia" w:ascii="宋体" w:hAnsi="宋体"/>
          <w:kern w:val="20"/>
          <w:sz w:val="24"/>
          <w:szCs w:val="20"/>
          <w:lang w:val="zh-CN"/>
        </w:rPr>
        <w:t>本着“整体规划，分步实施”的信息系统建设原则，保证系统建成后能尽快地投入运行，发挥作用。</w:t>
      </w:r>
    </w:p>
    <w:p>
      <w:pPr>
        <w:pageBreakBefore w:val="0"/>
        <w:widowControl/>
        <w:kinsoku/>
        <w:wordWrap/>
        <w:overflowPunct/>
        <w:topLinePunct w:val="0"/>
        <w:autoSpaceDE/>
        <w:autoSpaceDN/>
        <w:bidi w:val="0"/>
        <w:adjustRightInd/>
        <w:snapToGrid/>
        <w:spacing w:line="360" w:lineRule="auto"/>
        <w:ind w:firstLine="480" w:firstLineChars="200"/>
        <w:jc w:val="left"/>
        <w:rPr>
          <w:rFonts w:ascii="宋体" w:hAnsi="Cambria"/>
          <w:bCs/>
          <w:kern w:val="20"/>
          <w:sz w:val="24"/>
          <w:szCs w:val="24"/>
          <w:lang w:val="zh-CN"/>
        </w:rPr>
      </w:pPr>
      <w:r>
        <w:rPr>
          <w:rFonts w:hint="eastAsia" w:ascii="宋体" w:hAnsi="宋体"/>
          <w:bCs/>
          <w:kern w:val="20"/>
          <w:sz w:val="24"/>
          <w:szCs w:val="24"/>
          <w:lang w:val="zh-CN"/>
        </w:rPr>
        <w:t>（</w:t>
      </w:r>
      <w:r>
        <w:rPr>
          <w:rFonts w:ascii="宋体" w:hAnsi="宋体"/>
          <w:bCs/>
          <w:kern w:val="20"/>
          <w:sz w:val="24"/>
          <w:szCs w:val="24"/>
          <w:lang w:val="zh-CN"/>
        </w:rPr>
        <w:t>2</w:t>
      </w:r>
      <w:r>
        <w:rPr>
          <w:rFonts w:hint="eastAsia" w:ascii="宋体" w:hAnsi="宋体"/>
          <w:bCs/>
          <w:kern w:val="20"/>
          <w:sz w:val="24"/>
          <w:szCs w:val="24"/>
          <w:lang w:val="zh-CN"/>
        </w:rPr>
        <w:t>）规范性原则</w:t>
      </w:r>
    </w:p>
    <w:p>
      <w:pPr>
        <w:pageBreakBefore w:val="0"/>
        <w:widowControl/>
        <w:kinsoku/>
        <w:wordWrap/>
        <w:overflowPunct/>
        <w:topLinePunct w:val="0"/>
        <w:autoSpaceDE/>
        <w:autoSpaceDN/>
        <w:bidi w:val="0"/>
        <w:adjustRightInd/>
        <w:snapToGrid/>
        <w:spacing w:line="360" w:lineRule="auto"/>
        <w:ind w:firstLine="480" w:firstLineChars="200"/>
        <w:jc w:val="left"/>
        <w:rPr>
          <w:rFonts w:ascii="宋体" w:hAnsi="Cambria"/>
          <w:kern w:val="20"/>
          <w:sz w:val="24"/>
          <w:szCs w:val="20"/>
          <w:lang w:val="zh-CN"/>
        </w:rPr>
      </w:pPr>
      <w:r>
        <w:rPr>
          <w:rFonts w:hint="eastAsia" w:ascii="宋体" w:hAnsi="宋体"/>
          <w:kern w:val="20"/>
          <w:sz w:val="24"/>
          <w:szCs w:val="20"/>
          <w:lang w:val="zh-CN"/>
        </w:rPr>
        <w:t>系统在功能设计上以卫生部《医院信息系统基本功能规范》和《电子病历基本架构和数据标准》等标准为蓝本，确保系统的规范化。</w:t>
      </w:r>
    </w:p>
    <w:p>
      <w:pPr>
        <w:pageBreakBefore w:val="0"/>
        <w:widowControl/>
        <w:kinsoku/>
        <w:wordWrap/>
        <w:overflowPunct/>
        <w:topLinePunct w:val="0"/>
        <w:autoSpaceDE/>
        <w:autoSpaceDN/>
        <w:bidi w:val="0"/>
        <w:adjustRightInd/>
        <w:snapToGrid/>
        <w:spacing w:line="360" w:lineRule="auto"/>
        <w:ind w:firstLine="480" w:firstLineChars="200"/>
        <w:jc w:val="left"/>
        <w:rPr>
          <w:rFonts w:ascii="宋体" w:hAnsi="Cambria"/>
          <w:bCs/>
          <w:kern w:val="20"/>
          <w:sz w:val="24"/>
          <w:szCs w:val="24"/>
          <w:lang w:val="zh-CN"/>
        </w:rPr>
      </w:pPr>
      <w:r>
        <w:rPr>
          <w:rFonts w:hint="eastAsia" w:ascii="宋体" w:hAnsi="宋体"/>
          <w:bCs/>
          <w:kern w:val="20"/>
          <w:sz w:val="24"/>
          <w:szCs w:val="24"/>
          <w:lang w:val="zh-CN"/>
        </w:rPr>
        <w:t>（</w:t>
      </w:r>
      <w:r>
        <w:rPr>
          <w:rFonts w:ascii="宋体" w:hAnsi="宋体"/>
          <w:bCs/>
          <w:kern w:val="20"/>
          <w:sz w:val="24"/>
          <w:szCs w:val="24"/>
          <w:lang w:val="zh-CN"/>
        </w:rPr>
        <w:t>3</w:t>
      </w:r>
      <w:r>
        <w:rPr>
          <w:rFonts w:hint="eastAsia" w:ascii="宋体" w:hAnsi="宋体"/>
          <w:bCs/>
          <w:kern w:val="20"/>
          <w:sz w:val="24"/>
          <w:szCs w:val="24"/>
          <w:lang w:val="zh-CN"/>
        </w:rPr>
        <w:t>）适用性原则</w:t>
      </w:r>
    </w:p>
    <w:p>
      <w:pPr>
        <w:pageBreakBefore w:val="0"/>
        <w:widowControl/>
        <w:kinsoku/>
        <w:wordWrap/>
        <w:overflowPunct/>
        <w:topLinePunct w:val="0"/>
        <w:autoSpaceDE/>
        <w:autoSpaceDN/>
        <w:bidi w:val="0"/>
        <w:adjustRightInd/>
        <w:snapToGrid/>
        <w:spacing w:line="360" w:lineRule="auto"/>
        <w:ind w:firstLine="480" w:firstLineChars="200"/>
        <w:jc w:val="left"/>
        <w:rPr>
          <w:rFonts w:ascii="宋体" w:hAnsi="Cambria"/>
          <w:kern w:val="20"/>
          <w:sz w:val="24"/>
          <w:szCs w:val="20"/>
          <w:lang w:val="zh-CN"/>
        </w:rPr>
      </w:pPr>
      <w:r>
        <w:rPr>
          <w:rFonts w:hint="eastAsia" w:ascii="宋体" w:hAnsi="宋体"/>
          <w:kern w:val="20"/>
          <w:sz w:val="24"/>
          <w:szCs w:val="20"/>
          <w:lang w:val="zh-CN"/>
        </w:rPr>
        <w:t>方案设计基于无锡市康复医院当前及可期的未来在运作模式、业务、服务和管理的特点，进行针对性的规划，适用性是最重要的评判要求。</w:t>
      </w:r>
    </w:p>
    <w:p>
      <w:pPr>
        <w:pageBreakBefore w:val="0"/>
        <w:widowControl/>
        <w:kinsoku/>
        <w:wordWrap/>
        <w:overflowPunct/>
        <w:topLinePunct w:val="0"/>
        <w:autoSpaceDE/>
        <w:autoSpaceDN/>
        <w:bidi w:val="0"/>
        <w:adjustRightInd/>
        <w:snapToGrid/>
        <w:spacing w:line="360" w:lineRule="auto"/>
        <w:ind w:firstLine="480" w:firstLineChars="200"/>
        <w:jc w:val="left"/>
        <w:rPr>
          <w:rFonts w:ascii="宋体" w:hAnsi="Cambria"/>
          <w:bCs/>
          <w:kern w:val="20"/>
          <w:sz w:val="24"/>
          <w:szCs w:val="24"/>
          <w:lang w:val="zh-CN"/>
        </w:rPr>
      </w:pPr>
      <w:r>
        <w:rPr>
          <w:rFonts w:hint="eastAsia" w:ascii="宋体" w:hAnsi="宋体"/>
          <w:bCs/>
          <w:kern w:val="20"/>
          <w:sz w:val="24"/>
          <w:szCs w:val="24"/>
          <w:lang w:val="zh-CN"/>
        </w:rPr>
        <w:t>（</w:t>
      </w:r>
      <w:r>
        <w:rPr>
          <w:rFonts w:ascii="宋体" w:hAnsi="宋体"/>
          <w:bCs/>
          <w:kern w:val="20"/>
          <w:sz w:val="24"/>
          <w:szCs w:val="24"/>
          <w:lang w:val="zh-CN"/>
        </w:rPr>
        <w:t>4</w:t>
      </w:r>
      <w:r>
        <w:rPr>
          <w:rFonts w:hint="eastAsia" w:ascii="宋体" w:hAnsi="宋体"/>
          <w:bCs/>
          <w:kern w:val="20"/>
          <w:sz w:val="24"/>
          <w:szCs w:val="24"/>
          <w:lang w:val="zh-CN"/>
        </w:rPr>
        <w:t>）扩展性原则</w:t>
      </w:r>
    </w:p>
    <w:p>
      <w:pPr>
        <w:pageBreakBefore w:val="0"/>
        <w:widowControl/>
        <w:kinsoku/>
        <w:wordWrap/>
        <w:overflowPunct/>
        <w:topLinePunct w:val="0"/>
        <w:autoSpaceDE/>
        <w:autoSpaceDN/>
        <w:bidi w:val="0"/>
        <w:adjustRightInd/>
        <w:snapToGrid/>
        <w:spacing w:afterAutospacing="0" w:line="360" w:lineRule="auto"/>
        <w:ind w:firstLine="480" w:firstLineChars="200"/>
        <w:jc w:val="left"/>
        <w:rPr>
          <w:rFonts w:ascii="宋体" w:hAnsi="Cambria"/>
          <w:kern w:val="20"/>
          <w:sz w:val="24"/>
          <w:szCs w:val="20"/>
          <w:lang w:val="zh-CN"/>
        </w:rPr>
      </w:pPr>
      <w:r>
        <w:rPr>
          <w:rFonts w:hint="eastAsia" w:ascii="宋体" w:hAnsi="宋体"/>
          <w:kern w:val="20"/>
          <w:sz w:val="24"/>
          <w:szCs w:val="20"/>
          <w:lang w:val="zh-CN"/>
        </w:rPr>
        <w:t>系统整体框架采用开放式的架构设计，新增的功能模块或子系统可以无缝的以积木方式叠加到系统的框架上，保证系统随着业务发展而不断扩展的特性。</w:t>
      </w:r>
    </w:p>
    <w:p>
      <w:pPr>
        <w:keepNext/>
        <w:keepLines/>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left="576" w:hanging="576"/>
        <w:outlineLvl w:val="1"/>
        <w:rPr>
          <w:rFonts w:hint="eastAsia" w:ascii="宋体" w:hAnsi="等线 Light" w:eastAsia="宋体" w:cs="Times New Roman"/>
          <w:b/>
          <w:bCs w:val="0"/>
          <w:kern w:val="20"/>
          <w:sz w:val="24"/>
          <w:szCs w:val="24"/>
          <w:lang w:val="en-US" w:eastAsia="zh-CN" w:bidi="ar-SA"/>
        </w:rPr>
      </w:pPr>
      <w:bookmarkStart w:id="143" w:name="_Toc88568900"/>
      <w:r>
        <w:rPr>
          <w:rFonts w:hint="eastAsia" w:ascii="宋体" w:hAnsi="宋体" w:eastAsia="宋体" w:cs="Times New Roman"/>
          <w:b/>
          <w:bCs w:val="0"/>
          <w:kern w:val="20"/>
          <w:sz w:val="24"/>
          <w:szCs w:val="24"/>
          <w:lang w:val="en-US" w:eastAsia="zh-CN" w:bidi="ar-SA"/>
        </w:rPr>
        <w:t>1.6项目建设周期</w:t>
      </w:r>
      <w:bookmarkEnd w:id="143"/>
      <w:r>
        <w:rPr>
          <w:rFonts w:hint="eastAsia" w:ascii="宋体" w:hAnsi="宋体" w:eastAsia="宋体" w:cs="Times New Roman"/>
          <w:b/>
          <w:bCs w:val="0"/>
          <w:kern w:val="20"/>
          <w:sz w:val="24"/>
          <w:szCs w:val="24"/>
          <w:lang w:val="en-US" w:eastAsia="zh-CN" w:bidi="ar-SA"/>
        </w:rPr>
        <w:t>及实施要求</w:t>
      </w:r>
    </w:p>
    <w:p>
      <w:pPr>
        <w:pageBreakBefore w:val="0"/>
        <w:widowControl/>
        <w:kinsoku/>
        <w:wordWrap/>
        <w:overflowPunct/>
        <w:topLinePunct w:val="0"/>
        <w:autoSpaceDE/>
        <w:autoSpaceDN/>
        <w:bidi w:val="0"/>
        <w:adjustRightInd/>
        <w:snapToGrid/>
        <w:spacing w:beforeAutospacing="0"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本项目总体建设周期为36个月。</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1</w:t>
      </w:r>
      <w:r>
        <w:rPr>
          <w:rFonts w:hint="eastAsia" w:ascii="宋体" w:hAnsi="宋体" w:eastAsia="宋体" w:cs="Times New Roman"/>
          <w:kern w:val="20"/>
          <w:sz w:val="24"/>
          <w:szCs w:val="20"/>
          <w:lang w:val="zh-CN" w:eastAsia="zh-Hans"/>
        </w:rPr>
        <w:t>、</w:t>
      </w:r>
      <w:r>
        <w:rPr>
          <w:rFonts w:hint="eastAsia" w:ascii="宋体" w:hAnsi="宋体" w:eastAsia="宋体" w:cs="Times New Roman"/>
          <w:kern w:val="20"/>
          <w:sz w:val="24"/>
          <w:szCs w:val="20"/>
          <w:lang w:val="zh-CN"/>
        </w:rPr>
        <w:t>根据要求的时间内完成项目现场调研及设计工作。</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2</w:t>
      </w:r>
      <w:r>
        <w:rPr>
          <w:rFonts w:hint="eastAsia" w:ascii="宋体" w:hAnsi="宋体" w:eastAsia="宋体" w:cs="Times New Roman"/>
          <w:kern w:val="20"/>
          <w:sz w:val="24"/>
          <w:szCs w:val="20"/>
          <w:lang w:val="zh-CN" w:eastAsia="zh-Hans"/>
        </w:rPr>
        <w:t>、</w:t>
      </w:r>
      <w:r>
        <w:rPr>
          <w:rFonts w:hint="eastAsia" w:ascii="宋体" w:hAnsi="宋体" w:eastAsia="宋体" w:cs="Times New Roman"/>
          <w:kern w:val="20"/>
          <w:sz w:val="24"/>
          <w:szCs w:val="20"/>
          <w:lang w:val="zh-CN"/>
        </w:rPr>
        <w:t>按电子病历应用水平4级、5级分步推进，列出明确实施时间计划表</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3</w:t>
      </w:r>
      <w:r>
        <w:rPr>
          <w:rFonts w:hint="eastAsia" w:ascii="宋体" w:hAnsi="宋体" w:eastAsia="宋体" w:cs="Times New Roman"/>
          <w:kern w:val="20"/>
          <w:sz w:val="24"/>
          <w:szCs w:val="20"/>
          <w:lang w:val="zh-CN" w:eastAsia="zh-Hans"/>
        </w:rPr>
        <w:t>、</w:t>
      </w:r>
      <w:r>
        <w:rPr>
          <w:rFonts w:hint="eastAsia" w:ascii="宋体" w:hAnsi="宋体" w:eastAsia="宋体" w:cs="Times New Roman"/>
          <w:kern w:val="20"/>
          <w:sz w:val="24"/>
          <w:szCs w:val="20"/>
          <w:lang w:val="zh-CN"/>
        </w:rPr>
        <w:t>项目设计内所有应用系统上线详细计划表</w:t>
      </w:r>
    </w:p>
    <w:p>
      <w:pPr>
        <w:pageBreakBefore w:val="0"/>
        <w:widowControl/>
        <w:kinsoku/>
        <w:wordWrap/>
        <w:overflowPunct/>
        <w:topLinePunct w:val="0"/>
        <w:autoSpaceDE/>
        <w:autoSpaceDN/>
        <w:bidi w:val="0"/>
        <w:adjustRightInd/>
        <w:snapToGrid/>
        <w:spacing w:afterAutospacing="0" w:line="360" w:lineRule="auto"/>
        <w:ind w:firstLine="480" w:firstLineChars="200"/>
        <w:jc w:val="left"/>
        <w:rPr>
          <w:rFonts w:hint="eastAsia" w:ascii="宋体" w:hAnsi="宋体" w:eastAsia="宋体" w:cs="Times New Roman"/>
          <w:kern w:val="20"/>
          <w:sz w:val="24"/>
          <w:szCs w:val="20"/>
          <w:lang w:val="en-US" w:eastAsia="zh-CN"/>
        </w:rPr>
      </w:pPr>
      <w:r>
        <w:rPr>
          <w:rFonts w:hint="eastAsia" w:ascii="宋体" w:hAnsi="宋体" w:eastAsia="宋体" w:cs="Times New Roman"/>
          <w:kern w:val="20"/>
          <w:sz w:val="24"/>
          <w:szCs w:val="20"/>
          <w:lang w:val="en-US" w:eastAsia="zh-CN"/>
        </w:rPr>
        <w:t>4、</w:t>
      </w:r>
      <w:r>
        <w:rPr>
          <w:rFonts w:hint="eastAsia" w:ascii="宋体" w:hAnsi="宋体" w:eastAsia="宋体" w:cs="Times New Roman"/>
          <w:kern w:val="20"/>
          <w:sz w:val="24"/>
          <w:szCs w:val="20"/>
          <w:lang w:val="zh-CN"/>
        </w:rPr>
        <w:t>中标供应商需要遵循国际质量保障体系，并保证该体系有效正常运行。中标供应商需要在软件开发与实施服务的国际质量保障体系之下，建立本项目的质量保障体系并获得公司的资源支持。中标供应商不得缩小项目人员的组成或其他资源，核心人员在项目结束前未经允许，不得更换或者中途退出。为了保障信息系统的的正常运行，提供项目驻场实施服务团队，实施期内根据项目进度由中标供应商出具详细方案，确保按进度实施完成</w:t>
      </w:r>
    </w:p>
    <w:p>
      <w:pPr>
        <w:keepNext/>
        <w:keepLines/>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left="576" w:hanging="576"/>
        <w:outlineLvl w:val="1"/>
        <w:rPr>
          <w:rFonts w:hint="eastAsia" w:ascii="宋体" w:hAnsi="宋体" w:eastAsia="宋体" w:cs="Times New Roman"/>
          <w:b/>
          <w:bCs/>
          <w:kern w:val="20"/>
          <w:sz w:val="24"/>
          <w:szCs w:val="24"/>
          <w:lang w:val="en-US" w:eastAsia="zh-CN" w:bidi="ar-SA"/>
        </w:rPr>
      </w:pPr>
      <w:r>
        <w:rPr>
          <w:rFonts w:hint="eastAsia" w:ascii="宋体" w:hAnsi="宋体" w:eastAsia="宋体" w:cs="Times New Roman"/>
          <w:b/>
          <w:bCs/>
          <w:kern w:val="20"/>
          <w:sz w:val="24"/>
          <w:szCs w:val="24"/>
          <w:lang w:val="en-US" w:eastAsia="zh-CN" w:bidi="ar-SA"/>
        </w:rPr>
        <w:t>1.7验收标准</w:t>
      </w:r>
    </w:p>
    <w:p>
      <w:pPr>
        <w:pageBreakBefore w:val="0"/>
        <w:widowControl/>
        <w:kinsoku/>
        <w:wordWrap/>
        <w:overflowPunct/>
        <w:topLinePunct w:val="0"/>
        <w:autoSpaceDE/>
        <w:autoSpaceDN/>
        <w:bidi w:val="0"/>
        <w:adjustRightInd/>
        <w:snapToGrid/>
        <w:spacing w:beforeAutospacing="0"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中标供应商应当根据采购方要求向采购方公开信息系统有关技术细节，提供必要的技术资料和技术支持。</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中标供应商应当负责在项目整体验收前将系统的全部各种相关的系统软件，各阶段开发文档，以及有关产品和系统操作说明、安装手册、技术文件、测试报告、培训资料等文档汇集成册交付给采购方，如中标供应商不提供以上资料，采购方有权不办理项目整体验收程序。</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系统经过试运行，各项功能和性能指标满足建设要求，并通过相关的国家等级评测可进行最终验收。具体要求如下：</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1、医院信息化建设电子病历系统应用水平分级评价通过五级测评。</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2、医院信息化建设达到互联互通标准化成熟度通过四级甲等评测。</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3、医院智慧服务分级评估通过三级评测</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Cambria" w:hAnsi="Cambria"/>
          <w:kern w:val="20"/>
          <w:szCs w:val="20"/>
          <w:lang w:val="zh-CN"/>
        </w:rPr>
      </w:pPr>
      <w:r>
        <w:rPr>
          <w:rFonts w:hint="eastAsia" w:ascii="宋体" w:hAnsi="宋体" w:eastAsia="宋体" w:cs="Times New Roman"/>
          <w:kern w:val="20"/>
          <w:sz w:val="24"/>
          <w:szCs w:val="20"/>
          <w:lang w:val="zh-CN"/>
        </w:rPr>
        <w:t>4、信息安全等保2.0三级（软件部分</w:t>
      </w:r>
      <w:r>
        <w:rPr>
          <w:rFonts w:hint="eastAsia" w:ascii="Cambria" w:hAnsi="Cambria"/>
          <w:kern w:val="20"/>
          <w:szCs w:val="20"/>
          <w:lang w:val="zh-CN"/>
        </w:rPr>
        <w:t>）</w:t>
      </w:r>
    </w:p>
    <w:p>
      <w:pPr>
        <w:pageBreakBefore w:val="0"/>
        <w:widowControl/>
        <w:kinsoku/>
        <w:wordWrap/>
        <w:overflowPunct/>
        <w:topLinePunct w:val="0"/>
        <w:autoSpaceDE/>
        <w:autoSpaceDN/>
        <w:bidi w:val="0"/>
        <w:adjustRightInd/>
        <w:snapToGrid/>
        <w:spacing w:line="360" w:lineRule="auto"/>
        <w:ind w:left="0" w:leftChars="0" w:firstLine="0" w:firstLineChars="0"/>
        <w:jc w:val="left"/>
        <w:rPr>
          <w:rFonts w:hint="eastAsia" w:ascii="宋体" w:hAnsi="宋体" w:eastAsia="宋体" w:cs="宋体"/>
          <w:color w:val="auto"/>
          <w:sz w:val="24"/>
          <w:szCs w:val="24"/>
          <w:highlight w:val="none"/>
        </w:rPr>
      </w:pPr>
      <w:r>
        <w:rPr>
          <w:rFonts w:hint="eastAsia" w:ascii="宋体" w:hAnsi="宋体" w:eastAsia="宋体" w:cs="Times New Roman"/>
          <w:b/>
          <w:bCs/>
          <w:kern w:val="20"/>
          <w:sz w:val="24"/>
          <w:szCs w:val="24"/>
          <w:lang w:val="en-US" w:eastAsia="zh-CN" w:bidi="ar-SA"/>
        </w:rPr>
        <w:t>1.8售后服务要求</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中标供应商必须为本项目建立技术支持和</w:t>
      </w:r>
      <w:r>
        <w:rPr>
          <w:rFonts w:hint="eastAsia" w:ascii="宋体" w:hAnsi="宋体" w:cs="Times New Roman"/>
          <w:kern w:val="20"/>
          <w:sz w:val="24"/>
          <w:szCs w:val="20"/>
          <w:lang w:val="en-US" w:eastAsia="zh-CN"/>
        </w:rPr>
        <w:t>驻场实施的</w:t>
      </w:r>
      <w:r>
        <w:rPr>
          <w:rFonts w:hint="eastAsia" w:ascii="宋体" w:hAnsi="宋体" w:eastAsia="宋体" w:cs="Times New Roman"/>
          <w:kern w:val="20"/>
          <w:sz w:val="24"/>
          <w:szCs w:val="20"/>
          <w:lang w:val="zh-CN"/>
        </w:rPr>
        <w:t>售后服务队伍，项目内软件系统须提供三年免费运维保障，各软件系统三年维保期以项目整体验收通过日期为起始日期，如招标文件中有具体要求的以招标要求为准。中标供应商在维保期内应保障向采购方提供的软件业务功能正常运行，在接到采购方系统故障报修通知后，尽快提出解决方案，1小时内修复（系统恢复正常运行）。</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中标供应商应提供特殊措施，无论由于哪一方产生的问题而使系统发生不正常情况时，在得到采购方通知后，全力协助采购方使系统尽快恢复正常。</w:t>
      </w:r>
    </w:p>
    <w:p>
      <w:pPr>
        <w:pageBreakBefore w:val="0"/>
        <w:widowControl/>
        <w:kinsoku/>
        <w:wordWrap/>
        <w:overflowPunct/>
        <w:topLinePunct w:val="0"/>
        <w:autoSpaceDE/>
        <w:autoSpaceDN/>
        <w:bidi w:val="0"/>
        <w:adjustRightInd/>
        <w:snapToGrid/>
        <w:spacing w:line="360" w:lineRule="auto"/>
        <w:ind w:firstLine="480" w:firstLineChars="200"/>
        <w:jc w:val="left"/>
        <w:rPr>
          <w:rFonts w:hint="eastAsia" w:ascii="宋体" w:hAnsi="宋体" w:eastAsia="宋体" w:cs="Times New Roman"/>
          <w:kern w:val="20"/>
          <w:sz w:val="24"/>
          <w:szCs w:val="20"/>
          <w:lang w:val="zh-CN"/>
        </w:rPr>
      </w:pPr>
      <w:r>
        <w:rPr>
          <w:rFonts w:hint="eastAsia" w:ascii="宋体" w:hAnsi="宋体" w:eastAsia="宋体" w:cs="Times New Roman"/>
          <w:kern w:val="20"/>
          <w:sz w:val="24"/>
          <w:szCs w:val="20"/>
          <w:lang w:val="zh-CN"/>
        </w:rPr>
        <w:t>原则上维护期内不得少于4名驻场服务人员</w:t>
      </w:r>
    </w:p>
    <w:p>
      <w:pPr>
        <w:pageBreakBefore w:val="0"/>
        <w:widowControl/>
        <w:kinsoku/>
        <w:wordWrap/>
        <w:overflowPunct/>
        <w:topLinePunct w:val="0"/>
        <w:autoSpaceDE/>
        <w:autoSpaceDN/>
        <w:bidi w:val="0"/>
        <w:adjustRightInd/>
        <w:snapToGrid/>
        <w:spacing w:line="360" w:lineRule="auto"/>
        <w:ind w:firstLine="480" w:firstLineChars="200"/>
        <w:jc w:val="left"/>
      </w:pPr>
      <w:r>
        <w:rPr>
          <w:rFonts w:hint="eastAsia" w:ascii="宋体" w:hAnsi="宋体" w:eastAsia="宋体" w:cs="Times New Roman"/>
          <w:kern w:val="20"/>
          <w:sz w:val="24"/>
          <w:szCs w:val="20"/>
          <w:lang w:val="zh-CN"/>
        </w:rPr>
        <w:t>售后服务期间，要求有熟悉系统和系统运行情况的专职技术人员负责与采购方联系对接，提供7*24小时服务。</w:t>
      </w:r>
    </w:p>
    <w:p>
      <w:pPr>
        <w:pStyle w:val="2"/>
        <w:rPr>
          <w:rFonts w:ascii="宋体"/>
        </w:rPr>
      </w:pPr>
    </w:p>
    <w:p>
      <w:pPr>
        <w:spacing w:line="360" w:lineRule="auto"/>
        <w:ind w:firstLine="480" w:firstLineChars="200"/>
        <w:rPr>
          <w:sz w:val="24"/>
          <w:szCs w:val="24"/>
        </w:rPr>
      </w:pPr>
      <w:r>
        <w:rPr>
          <w:rFonts w:hint="eastAsia" w:ascii="黑体" w:eastAsia="黑体"/>
          <w:sz w:val="24"/>
          <w:szCs w:val="24"/>
          <w:u w:color="000000"/>
        </w:rPr>
        <w:t>（二） 有关说明：</w:t>
      </w:r>
    </w:p>
    <w:p>
      <w:pPr>
        <w:numPr>
          <w:ilvl w:val="1"/>
          <w:numId w:val="40"/>
        </w:numPr>
        <w:tabs>
          <w:tab w:val="left" w:pos="525"/>
          <w:tab w:val="left" w:pos="945"/>
          <w:tab w:val="clear" w:pos="780"/>
        </w:tabs>
        <w:spacing w:line="460" w:lineRule="exact"/>
        <w:ind w:left="0" w:firstLine="527"/>
        <w:rPr>
          <w:rFonts w:ascii="宋体"/>
          <w:bCs/>
          <w:sz w:val="24"/>
          <w:szCs w:val="24"/>
        </w:rPr>
      </w:pPr>
      <w:r>
        <w:rPr>
          <w:rFonts w:hint="eastAsia" w:ascii="宋体" w:hAnsi="宋体"/>
          <w:bCs/>
          <w:sz w:val="24"/>
          <w:szCs w:val="24"/>
        </w:rPr>
        <w:t>投标总报价包括满足本项目要求的所有产品及其配件、包装、运杂、安装调试及售后服务等从项目中标起到项目正式交付以及质保期内所发生的一切费用。</w:t>
      </w:r>
    </w:p>
    <w:p>
      <w:pPr>
        <w:numPr>
          <w:ilvl w:val="1"/>
          <w:numId w:val="40"/>
        </w:numPr>
        <w:tabs>
          <w:tab w:val="left" w:pos="525"/>
          <w:tab w:val="left" w:pos="945"/>
          <w:tab w:val="clear" w:pos="780"/>
        </w:tabs>
        <w:spacing w:line="460" w:lineRule="exact"/>
        <w:ind w:left="0" w:firstLine="527"/>
        <w:rPr>
          <w:rFonts w:ascii="宋体"/>
          <w:bCs/>
          <w:sz w:val="24"/>
          <w:szCs w:val="24"/>
        </w:rPr>
      </w:pPr>
      <w:r>
        <w:rPr>
          <w:rFonts w:hint="eastAsia" w:ascii="宋体" w:hAnsi="宋体"/>
          <w:bCs/>
          <w:sz w:val="24"/>
          <w:szCs w:val="24"/>
        </w:rPr>
        <w:t>通过中国海关报关验放进入中国境内且产自关境外的产品不在本项目的报价范围。</w:t>
      </w:r>
    </w:p>
    <w:p>
      <w:pPr>
        <w:numPr>
          <w:ilvl w:val="1"/>
          <w:numId w:val="40"/>
        </w:numPr>
        <w:tabs>
          <w:tab w:val="left" w:pos="525"/>
          <w:tab w:val="left" w:pos="945"/>
          <w:tab w:val="clear" w:pos="780"/>
        </w:tabs>
        <w:spacing w:line="460" w:lineRule="exact"/>
        <w:ind w:left="0" w:firstLine="527"/>
        <w:rPr>
          <w:rFonts w:ascii="宋体"/>
          <w:bCs/>
          <w:sz w:val="24"/>
          <w:szCs w:val="24"/>
        </w:rPr>
      </w:pPr>
      <w:r>
        <w:rPr>
          <w:rFonts w:hint="eastAsia" w:ascii="宋体" w:hAnsi="宋体"/>
          <w:bCs/>
          <w:sz w:val="24"/>
          <w:szCs w:val="24"/>
        </w:rPr>
        <w:t>本项目中有信息安全产品的，必须选择经国家认证的信息安全产品，并提供由中国信息安全认证中心颁发的有效认证证书复印件。</w:t>
      </w:r>
    </w:p>
    <w:p>
      <w:pPr>
        <w:numPr>
          <w:ilvl w:val="1"/>
          <w:numId w:val="40"/>
        </w:numPr>
        <w:tabs>
          <w:tab w:val="left" w:pos="525"/>
          <w:tab w:val="left" w:pos="945"/>
          <w:tab w:val="clear" w:pos="780"/>
        </w:tabs>
        <w:spacing w:line="460" w:lineRule="exact"/>
        <w:ind w:left="0" w:firstLine="527"/>
        <w:rPr>
          <w:rFonts w:ascii="宋体"/>
          <w:bCs/>
          <w:sz w:val="24"/>
          <w:szCs w:val="24"/>
        </w:rPr>
      </w:pPr>
      <w:r>
        <w:rPr>
          <w:rFonts w:hint="eastAsia" w:ascii="宋体" w:hAnsi="宋体"/>
          <w:bCs/>
          <w:sz w:val="24"/>
          <w:szCs w:val="24"/>
        </w:rPr>
        <w:t>依据财政部、发展改革委发布的《节能产品政府采购品目清单》，本项目中有政府强制采购节能产品的（属于清</w:t>
      </w:r>
      <w:r>
        <w:rPr>
          <w:rFonts w:ascii="宋体" w:hAnsi="宋体" w:cs="宋体"/>
          <w:sz w:val="24"/>
          <w:szCs w:val="24"/>
        </w:rPr>
        <w:t>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pPr>
        <w:numPr>
          <w:ilvl w:val="1"/>
          <w:numId w:val="40"/>
        </w:numPr>
        <w:tabs>
          <w:tab w:val="left" w:pos="525"/>
          <w:tab w:val="left" w:pos="945"/>
          <w:tab w:val="clear" w:pos="780"/>
        </w:tabs>
        <w:spacing w:line="460" w:lineRule="exact"/>
        <w:ind w:left="0" w:firstLine="527"/>
        <w:rPr>
          <w:rFonts w:ascii="宋体" w:hAnsi="宋体"/>
          <w:bCs/>
          <w:sz w:val="24"/>
          <w:szCs w:val="24"/>
        </w:rPr>
      </w:pPr>
      <w:r>
        <w:rPr>
          <w:rFonts w:hint="eastAsia" w:ascii="宋体" w:hAnsi="宋体"/>
          <w:bCs/>
          <w:sz w:val="24"/>
          <w:szCs w:val="24"/>
        </w:rPr>
        <w:t>投标人必须在满足招标文件要求的基础上进行报价，如有技术偏离请于投标偏离表中说明。</w:t>
      </w:r>
    </w:p>
    <w:p>
      <w:pPr>
        <w:numPr>
          <w:ilvl w:val="1"/>
          <w:numId w:val="40"/>
        </w:numPr>
        <w:tabs>
          <w:tab w:val="left" w:pos="525"/>
          <w:tab w:val="left" w:pos="945"/>
          <w:tab w:val="clear" w:pos="780"/>
        </w:tabs>
        <w:spacing w:line="460" w:lineRule="exact"/>
        <w:ind w:left="0" w:firstLine="527"/>
        <w:rPr>
          <w:rFonts w:hint="eastAsia" w:ascii="宋体" w:hAnsi="宋体"/>
          <w:bCs/>
          <w:sz w:val="24"/>
          <w:szCs w:val="24"/>
        </w:rPr>
      </w:pPr>
      <w:r>
        <w:rPr>
          <w:rFonts w:hint="eastAsia" w:ascii="宋体" w:hAnsi="宋体"/>
          <w:bCs/>
          <w:sz w:val="24"/>
          <w:szCs w:val="24"/>
          <w:lang w:val="en-US" w:eastAsia="zh-CN"/>
        </w:rPr>
        <w:t>质保期</w:t>
      </w:r>
      <w:r>
        <w:rPr>
          <w:rFonts w:hint="eastAsia" w:ascii="宋体" w:hAnsi="宋体"/>
          <w:bCs/>
          <w:sz w:val="24"/>
          <w:szCs w:val="24"/>
        </w:rPr>
        <w:t>：软件整体验收完成3年质保，硬件自安装验收合格5年质保</w:t>
      </w:r>
      <w:r>
        <w:rPr>
          <w:rFonts w:hint="eastAsia" w:ascii="宋体" w:hAnsi="宋体"/>
          <w:bCs/>
          <w:sz w:val="24"/>
          <w:szCs w:val="24"/>
          <w:lang w:eastAsia="zh-CN"/>
        </w:rPr>
        <w:t>。</w:t>
      </w:r>
    </w:p>
    <w:p>
      <w:pPr>
        <w:numPr>
          <w:ilvl w:val="1"/>
          <w:numId w:val="40"/>
        </w:numPr>
        <w:tabs>
          <w:tab w:val="left" w:pos="525"/>
          <w:tab w:val="left" w:pos="945"/>
          <w:tab w:val="clear" w:pos="780"/>
        </w:tabs>
        <w:spacing w:line="460" w:lineRule="exact"/>
        <w:ind w:left="0" w:firstLine="527"/>
        <w:rPr>
          <w:rFonts w:hint="eastAsia" w:ascii="宋体" w:hAnsi="宋体"/>
          <w:bCs/>
          <w:sz w:val="24"/>
          <w:szCs w:val="24"/>
        </w:rPr>
      </w:pPr>
      <w:r>
        <w:rPr>
          <w:rFonts w:hint="eastAsia" w:ascii="宋体" w:hAnsi="宋体"/>
          <w:bCs/>
          <w:sz w:val="24"/>
          <w:szCs w:val="24"/>
        </w:rPr>
        <w:t>完工期：合同签订生效后36个月内完成。</w:t>
      </w:r>
    </w:p>
    <w:p>
      <w:pPr>
        <w:numPr>
          <w:ilvl w:val="1"/>
          <w:numId w:val="40"/>
        </w:numPr>
        <w:tabs>
          <w:tab w:val="left" w:pos="525"/>
          <w:tab w:val="left" w:pos="945"/>
          <w:tab w:val="clear" w:pos="780"/>
        </w:tabs>
        <w:spacing w:line="460" w:lineRule="exact"/>
        <w:ind w:left="0" w:firstLine="527"/>
        <w:rPr>
          <w:rFonts w:ascii="宋体" w:hAnsi="宋体"/>
          <w:bCs/>
          <w:sz w:val="24"/>
          <w:szCs w:val="24"/>
        </w:rPr>
      </w:pPr>
      <w:r>
        <w:rPr>
          <w:rFonts w:hint="eastAsia" w:ascii="宋体" w:hAnsi="宋体"/>
          <w:bCs/>
          <w:sz w:val="24"/>
          <w:szCs w:val="24"/>
        </w:rPr>
        <w:t>本项目合同履行地点为无锡市梁溪区，具体地点以采购人指定为准。</w:t>
      </w:r>
    </w:p>
    <w:p>
      <w:pPr>
        <w:numPr>
          <w:ilvl w:val="1"/>
          <w:numId w:val="40"/>
        </w:numPr>
        <w:tabs>
          <w:tab w:val="left" w:pos="525"/>
          <w:tab w:val="left" w:pos="945"/>
          <w:tab w:val="clear" w:pos="780"/>
        </w:tabs>
        <w:spacing w:line="460" w:lineRule="exact"/>
        <w:ind w:left="0" w:firstLine="527"/>
        <w:rPr>
          <w:rFonts w:hint="eastAsia" w:ascii="宋体" w:hAnsi="宋体"/>
          <w:bCs/>
          <w:sz w:val="24"/>
          <w:szCs w:val="24"/>
        </w:rPr>
      </w:pPr>
      <w:r>
        <w:rPr>
          <w:rFonts w:hint="eastAsia" w:ascii="宋体" w:hAnsi="宋体"/>
          <w:bCs/>
          <w:sz w:val="24"/>
          <w:szCs w:val="24"/>
        </w:rPr>
        <w:t>付款方式：  本项目由无锡安家医院管理有限公司按以下方式负责付款。</w:t>
      </w:r>
    </w:p>
    <w:p>
      <w:pPr>
        <w:numPr>
          <w:ilvl w:val="0"/>
          <w:numId w:val="0"/>
        </w:numPr>
        <w:tabs>
          <w:tab w:val="left" w:pos="525"/>
          <w:tab w:val="left" w:pos="945"/>
        </w:tabs>
        <w:spacing w:line="460" w:lineRule="exact"/>
        <w:ind w:left="527" w:leftChars="0"/>
        <w:rPr>
          <w:rFonts w:hint="eastAsia" w:ascii="宋体" w:hAnsi="宋体"/>
          <w:bCs/>
          <w:sz w:val="24"/>
          <w:szCs w:val="24"/>
        </w:rPr>
      </w:pPr>
      <w:r>
        <w:rPr>
          <w:rFonts w:hint="eastAsia" w:ascii="宋体" w:hAnsi="宋体"/>
          <w:bCs/>
          <w:sz w:val="24"/>
          <w:szCs w:val="24"/>
        </w:rPr>
        <w:t>一、预付款：合同签订生效后，支付合同金额的10%作为预付款</w:t>
      </w:r>
    </w:p>
    <w:p>
      <w:pPr>
        <w:numPr>
          <w:ilvl w:val="0"/>
          <w:numId w:val="0"/>
        </w:numPr>
        <w:tabs>
          <w:tab w:val="left" w:pos="525"/>
          <w:tab w:val="left" w:pos="945"/>
        </w:tabs>
        <w:spacing w:line="460" w:lineRule="exact"/>
        <w:ind w:left="527" w:leftChars="0"/>
        <w:rPr>
          <w:rFonts w:hint="eastAsia" w:ascii="宋体" w:hAnsi="宋体"/>
          <w:bCs/>
          <w:sz w:val="24"/>
          <w:szCs w:val="24"/>
        </w:rPr>
      </w:pPr>
      <w:r>
        <w:rPr>
          <w:rFonts w:hint="eastAsia" w:ascii="宋体" w:hAnsi="宋体"/>
          <w:bCs/>
          <w:sz w:val="24"/>
          <w:szCs w:val="24"/>
        </w:rPr>
        <w:t>二、分批付款：</w:t>
      </w:r>
    </w:p>
    <w:p>
      <w:pPr>
        <w:numPr>
          <w:ilvl w:val="0"/>
          <w:numId w:val="0"/>
        </w:numPr>
        <w:tabs>
          <w:tab w:val="left" w:pos="525"/>
          <w:tab w:val="left" w:pos="945"/>
        </w:tabs>
        <w:spacing w:line="460" w:lineRule="exact"/>
        <w:ind w:firstLine="480" w:firstLineChars="200"/>
        <w:rPr>
          <w:rFonts w:hint="eastAsia" w:ascii="宋体" w:hAnsi="宋体"/>
          <w:bCs/>
          <w:sz w:val="24"/>
          <w:szCs w:val="24"/>
        </w:rPr>
      </w:pPr>
      <w:r>
        <w:rPr>
          <w:rFonts w:hint="eastAsia" w:ascii="宋体" w:hAnsi="宋体"/>
          <w:bCs/>
          <w:sz w:val="24"/>
          <w:szCs w:val="24"/>
        </w:rPr>
        <w:t>1）硬件部分：到货安装完成付70%，验收完成付15%，验收合格满1年无质量问题付清5%余款。</w:t>
      </w:r>
    </w:p>
    <w:p>
      <w:pPr>
        <w:numPr>
          <w:ilvl w:val="0"/>
          <w:numId w:val="0"/>
        </w:numPr>
        <w:tabs>
          <w:tab w:val="left" w:pos="525"/>
          <w:tab w:val="left" w:pos="945"/>
        </w:tabs>
        <w:spacing w:line="460" w:lineRule="exact"/>
        <w:ind w:firstLine="480" w:firstLineChars="200"/>
        <w:rPr>
          <w:rFonts w:ascii="宋体" w:hAnsi="宋体"/>
          <w:bCs/>
          <w:sz w:val="24"/>
          <w:szCs w:val="24"/>
        </w:rPr>
      </w:pPr>
      <w:r>
        <w:rPr>
          <w:rFonts w:hint="eastAsia" w:ascii="宋体" w:hAnsi="宋体"/>
          <w:bCs/>
          <w:sz w:val="24"/>
          <w:szCs w:val="24"/>
        </w:rPr>
        <w:t>2）软件部分：乙方按时</w:t>
      </w:r>
      <w:r>
        <w:rPr>
          <w:rFonts w:hint="eastAsia" w:ascii="宋体" w:hAnsi="宋体"/>
          <w:bCs/>
          <w:sz w:val="24"/>
          <w:szCs w:val="24"/>
          <w:highlight w:val="none"/>
        </w:rPr>
        <w:t>提交项目深化设计方案并经院方专家评审通过后，支付合同金额的10%；系统软件按项目进度分步上线、三方签署《系统上线报告》，支付实际完成项目合同金额的30%；系统软件分批验收，支付实际完成验收项目合同金额的20%；取得互联互通四级甲等证明后支付合同金额的10%；取得电子病历5级证明后支付合同金额的10%；取得智慧服务三级证明后支付合同金额的5%；项目总体验收完成，三方签署《系统验</w:t>
      </w:r>
      <w:r>
        <w:rPr>
          <w:rFonts w:hint="eastAsia" w:ascii="宋体" w:hAnsi="宋体"/>
          <w:bCs/>
          <w:sz w:val="24"/>
          <w:szCs w:val="24"/>
        </w:rPr>
        <w:t>收报告》后质保期满付清5%余款。</w:t>
      </w:r>
    </w:p>
    <w:p>
      <w:pPr>
        <w:numPr>
          <w:ilvl w:val="1"/>
          <w:numId w:val="40"/>
        </w:numPr>
        <w:tabs>
          <w:tab w:val="left" w:pos="525"/>
          <w:tab w:val="left" w:pos="945"/>
          <w:tab w:val="clear" w:pos="780"/>
        </w:tabs>
        <w:spacing w:line="460" w:lineRule="exact"/>
        <w:ind w:left="0" w:firstLine="527"/>
        <w:rPr>
          <w:rFonts w:ascii="宋体" w:hAnsi="宋体"/>
          <w:bCs/>
          <w:sz w:val="24"/>
          <w:szCs w:val="24"/>
        </w:rPr>
      </w:pPr>
      <w:r>
        <w:rPr>
          <w:rFonts w:hint="eastAsia" w:ascii="宋体" w:hAnsi="宋体"/>
          <w:bCs/>
          <w:sz w:val="24"/>
          <w:szCs w:val="24"/>
        </w:rPr>
        <w:t>质量及验收：采购人根据国家有关规定、招标文件、中标方的投标文件以及合同约定的内容和验收标准进行验收。验收情况作为支付货款的依据。如有质疑，以相关质量技术检验检测机构的检验结果为准，如产生检验费用，则该费用由过失方承担。</w:t>
      </w:r>
    </w:p>
    <w:p>
      <w:pPr>
        <w:numPr>
          <w:ilvl w:val="1"/>
          <w:numId w:val="40"/>
        </w:numPr>
        <w:tabs>
          <w:tab w:val="left" w:pos="525"/>
          <w:tab w:val="left" w:pos="630"/>
          <w:tab w:val="left" w:pos="735"/>
          <w:tab w:val="left" w:pos="945"/>
          <w:tab w:val="clear" w:pos="780"/>
        </w:tabs>
        <w:spacing w:line="360" w:lineRule="auto"/>
        <w:ind w:left="0" w:firstLine="525"/>
        <w:rPr>
          <w:rFonts w:ascii="宋体" w:hAnsi="宋体"/>
          <w:bCs/>
          <w:sz w:val="24"/>
          <w:szCs w:val="24"/>
        </w:rPr>
      </w:pPr>
      <w:r>
        <w:rPr>
          <w:rFonts w:hint="eastAsia" w:ascii="宋体" w:hAnsi="宋体"/>
          <w:bCs/>
          <w:sz w:val="24"/>
        </w:rPr>
        <w:t>根据国家扶持中小企业的有关政策，在我中心组织的采购项目中标的供应商，如需要政府采购合同融资，请按锡财购【2020】17号文件执行。</w:t>
      </w:r>
    </w:p>
    <w:p>
      <w:pPr>
        <w:tabs>
          <w:tab w:val="left" w:pos="525"/>
          <w:tab w:val="left" w:pos="630"/>
          <w:tab w:val="left" w:pos="735"/>
          <w:tab w:val="left" w:pos="945"/>
        </w:tabs>
        <w:spacing w:line="360" w:lineRule="auto"/>
        <w:ind w:firstLine="480" w:firstLineChars="200"/>
        <w:rPr>
          <w:rFonts w:ascii="宋体" w:hAnsi="宋体"/>
          <w:bCs/>
          <w:sz w:val="24"/>
          <w:szCs w:val="22"/>
        </w:rPr>
      </w:pPr>
      <w:r>
        <w:rPr>
          <w:rFonts w:hint="eastAsia" w:ascii="宋体" w:hAnsi="宋体"/>
          <w:bCs/>
          <w:sz w:val="24"/>
          <w:szCs w:val="22"/>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pPr>
        <w:tabs>
          <w:tab w:val="left" w:pos="525"/>
          <w:tab w:val="left" w:pos="630"/>
          <w:tab w:val="left" w:pos="735"/>
          <w:tab w:val="left" w:pos="945"/>
        </w:tabs>
        <w:spacing w:line="360" w:lineRule="auto"/>
        <w:ind w:firstLine="480" w:firstLineChars="200"/>
        <w:rPr>
          <w:rFonts w:ascii="宋体" w:hAnsi="宋体"/>
          <w:bCs/>
          <w:sz w:val="24"/>
          <w:szCs w:val="22"/>
        </w:rPr>
      </w:pPr>
      <w:r>
        <w:rPr>
          <w:rFonts w:hint="eastAsia" w:ascii="宋体" w:hAnsi="宋体"/>
          <w:bCs/>
          <w:sz w:val="24"/>
          <w:szCs w:val="22"/>
        </w:rPr>
        <w:t>中标、成交供应商可根据自身情况，自行决定是否选择采用合同融资形式，在无锡政府采购网——政采贷专栏提供的银行名录内自主选择合作银行。</w:t>
      </w:r>
    </w:p>
    <w:p>
      <w:pPr>
        <w:numPr>
          <w:ilvl w:val="1"/>
          <w:numId w:val="40"/>
        </w:numPr>
        <w:tabs>
          <w:tab w:val="left" w:pos="525"/>
          <w:tab w:val="left" w:pos="630"/>
          <w:tab w:val="left" w:pos="735"/>
          <w:tab w:val="left" w:pos="945"/>
          <w:tab w:val="clear" w:pos="780"/>
        </w:tabs>
        <w:spacing w:line="360" w:lineRule="auto"/>
        <w:ind w:left="0" w:firstLine="525"/>
        <w:rPr>
          <w:rFonts w:ascii="宋体" w:hAnsi="宋体"/>
          <w:bCs/>
          <w:sz w:val="24"/>
          <w:szCs w:val="22"/>
        </w:rPr>
      </w:pPr>
      <w:r>
        <w:rPr>
          <w:rFonts w:hint="eastAsia" w:ascii="宋体" w:hAnsi="宋体"/>
          <w:bCs/>
          <w:sz w:val="24"/>
          <w:szCs w:val="22"/>
        </w:rPr>
        <w:t>履约担保，是指由专业担保机构为中标、成交供应商支付履约保证金的义务向采购人提供的保函担保。专业担保机构根据中标、成交供应商的中标（成交）通知书为凭据，进行资信审查后出具保函, 中标、成交供应商以保函形式缴纳履约保证金；供应商未按政府采购合同履行约定义务而应实际支付保证金的，由专业担保机构按照担保函约定履行担保责任。供应商可以自愿选择是否采取履约担保函的形式交纳履约保证金。</w:t>
      </w:r>
    </w:p>
    <w:p>
      <w:pPr>
        <w:tabs>
          <w:tab w:val="left" w:pos="525"/>
          <w:tab w:val="left" w:pos="630"/>
          <w:tab w:val="left" w:pos="735"/>
          <w:tab w:val="left" w:pos="945"/>
        </w:tabs>
        <w:spacing w:line="360" w:lineRule="auto"/>
        <w:ind w:firstLine="480" w:firstLineChars="200"/>
        <w:rPr>
          <w:rFonts w:ascii="宋体" w:hAnsi="宋体"/>
          <w:bCs/>
          <w:sz w:val="24"/>
          <w:szCs w:val="22"/>
        </w:rPr>
      </w:pPr>
      <w:r>
        <w:rPr>
          <w:rFonts w:hint="eastAsia" w:ascii="宋体" w:hAnsi="宋体"/>
          <w:bCs/>
          <w:sz w:val="24"/>
          <w:szCs w:val="22"/>
        </w:rPr>
        <w:t>中标、成交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浙商银行无锡分行可以在无锡市范围内开展政府采购履约担保业务。</w:t>
      </w:r>
    </w:p>
    <w:p>
      <w:pPr>
        <w:numPr>
          <w:ilvl w:val="1"/>
          <w:numId w:val="40"/>
        </w:numPr>
        <w:tabs>
          <w:tab w:val="left" w:pos="525"/>
          <w:tab w:val="left" w:pos="945"/>
          <w:tab w:val="clear" w:pos="780"/>
        </w:tabs>
        <w:spacing w:line="460" w:lineRule="exact"/>
        <w:ind w:left="0" w:firstLine="527"/>
        <w:rPr>
          <w:rFonts w:ascii="宋体"/>
          <w:color w:val="000000" w:themeColor="text1"/>
          <w:kern w:val="0"/>
          <w:sz w:val="24"/>
          <w:szCs w:val="24"/>
          <w:u w:color="000000"/>
          <w14:textFill>
            <w14:solidFill>
              <w14:schemeClr w14:val="tx1"/>
            </w14:solidFill>
          </w14:textFill>
        </w:rPr>
      </w:pPr>
      <w:r>
        <w:rPr>
          <w:rFonts w:hint="eastAsia" w:ascii="宋体" w:hAnsi="宋体"/>
          <w:bCs/>
          <w:sz w:val="24"/>
          <w:szCs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pPr>
        <w:numPr>
          <w:ilvl w:val="1"/>
          <w:numId w:val="40"/>
        </w:numPr>
        <w:tabs>
          <w:tab w:val="left" w:pos="525"/>
          <w:tab w:val="left" w:pos="945"/>
          <w:tab w:val="clear" w:pos="780"/>
        </w:tabs>
        <w:spacing w:line="460" w:lineRule="exact"/>
        <w:ind w:left="0" w:firstLine="527"/>
        <w:rPr>
          <w:rFonts w:ascii="宋体" w:hAnsi="宋体"/>
          <w:bCs/>
          <w:sz w:val="24"/>
          <w:szCs w:val="24"/>
        </w:rPr>
      </w:pPr>
      <w:r>
        <w:rPr>
          <w:rFonts w:hint="eastAsia" w:ascii="宋体" w:hAnsi="宋体"/>
          <w:bCs/>
          <w:sz w:val="24"/>
          <w:szCs w:val="24"/>
        </w:rPr>
        <w:t>依据《政府采购促进中小企业发展管理办法》规定享受扶持政策获得政府采购合同的，小微企业不得将合同分包给大中型企业，中型企业不得将合同分包给大型企业。</w:t>
      </w:r>
    </w:p>
    <w:p>
      <w:pPr>
        <w:spacing w:line="360" w:lineRule="auto"/>
        <w:ind w:firstLine="480" w:firstLineChars="200"/>
        <w:rPr>
          <w:rFonts w:ascii="宋体" w:hAnsi="宋体"/>
          <w:bCs/>
          <w:sz w:val="24"/>
        </w:rPr>
      </w:pPr>
    </w:p>
    <w:p>
      <w:pPr>
        <w:spacing w:line="360" w:lineRule="auto"/>
        <w:ind w:firstLine="480" w:firstLineChars="200"/>
        <w:rPr>
          <w:rFonts w:ascii="宋体" w:hAnsi="宋体"/>
          <w:bCs/>
          <w:sz w:val="24"/>
        </w:rPr>
      </w:pPr>
    </w:p>
    <w:p>
      <w:pPr>
        <w:spacing w:line="360" w:lineRule="auto"/>
        <w:ind w:firstLine="480" w:firstLineChars="200"/>
        <w:rPr>
          <w:rFonts w:ascii="宋体" w:hAnsi="宋体"/>
          <w:bCs/>
          <w:sz w:val="24"/>
        </w:rPr>
      </w:pPr>
    </w:p>
    <w:p>
      <w:pPr>
        <w:spacing w:line="360" w:lineRule="auto"/>
        <w:ind w:firstLine="480" w:firstLineChars="200"/>
        <w:rPr>
          <w:rFonts w:ascii="宋体" w:hAnsi="宋体"/>
          <w:bCs/>
          <w:sz w:val="24"/>
        </w:rPr>
      </w:pPr>
    </w:p>
    <w:p>
      <w:pPr>
        <w:spacing w:line="360" w:lineRule="auto"/>
        <w:ind w:firstLine="480" w:firstLineChars="200"/>
        <w:rPr>
          <w:rFonts w:ascii="宋体" w:hAnsi="宋体"/>
          <w:bCs/>
          <w:sz w:val="24"/>
        </w:rPr>
      </w:pPr>
    </w:p>
    <w:p>
      <w:pPr>
        <w:spacing w:line="360" w:lineRule="auto"/>
        <w:ind w:firstLine="480" w:firstLineChars="200"/>
        <w:rPr>
          <w:rFonts w:ascii="宋体" w:hAnsi="宋体"/>
          <w:bCs/>
          <w:sz w:val="24"/>
        </w:rPr>
      </w:pPr>
    </w:p>
    <w:p>
      <w:pPr>
        <w:spacing w:line="360" w:lineRule="auto"/>
        <w:ind w:firstLine="480" w:firstLineChars="200"/>
        <w:rPr>
          <w:rFonts w:ascii="宋体" w:hAnsi="宋体"/>
          <w:bCs/>
          <w:sz w:val="24"/>
        </w:rPr>
      </w:pPr>
    </w:p>
    <w:p>
      <w:pPr>
        <w:spacing w:line="360" w:lineRule="auto"/>
        <w:ind w:firstLine="480" w:firstLineChars="200"/>
        <w:rPr>
          <w:rFonts w:ascii="宋体" w:hAnsi="宋体"/>
          <w:bCs/>
          <w:sz w:val="24"/>
        </w:rPr>
      </w:pPr>
    </w:p>
    <w:p>
      <w:pPr>
        <w:spacing w:line="360" w:lineRule="auto"/>
        <w:rPr>
          <w:rFonts w:ascii="宋体" w:hAnsi="宋体"/>
          <w:bCs/>
          <w:sz w:val="24"/>
        </w:rPr>
      </w:pPr>
    </w:p>
    <w:p>
      <w:pPr>
        <w:pStyle w:val="2"/>
      </w:pPr>
    </w:p>
    <w:p>
      <w:pPr>
        <w:spacing w:line="360" w:lineRule="auto"/>
        <w:jc w:val="center"/>
        <w:rPr>
          <w:rFonts w:ascii="黑体" w:hAnsi="宋体" w:eastAsia="黑体"/>
          <w:b/>
          <w:color w:val="000000"/>
          <w:sz w:val="28"/>
          <w:szCs w:val="28"/>
        </w:rPr>
      </w:pPr>
      <w:r>
        <w:rPr>
          <w:rFonts w:hint="eastAsia" w:ascii="黑体" w:eastAsia="黑体"/>
          <w:bCs/>
          <w:color w:val="000000"/>
          <w:sz w:val="28"/>
          <w:szCs w:val="28"/>
        </w:rPr>
        <w:t>四．合同书（格式文本）</w:t>
      </w:r>
    </w:p>
    <w:p>
      <w:pPr>
        <w:snapToGrid w:val="0"/>
        <w:spacing w:line="288" w:lineRule="auto"/>
        <w:jc w:val="center"/>
        <w:rPr>
          <w:rFonts w:hint="eastAsia" w:ascii="黑体" w:hAnsi="宋体" w:eastAsia="黑体"/>
          <w:b/>
          <w:color w:val="000000"/>
          <w:sz w:val="28"/>
          <w:szCs w:val="28"/>
        </w:rPr>
      </w:pPr>
      <w:r>
        <w:rPr>
          <w:rFonts w:hint="eastAsia" w:ascii="黑体" w:hAnsi="宋体" w:eastAsia="黑体"/>
          <w:b/>
          <w:color w:val="000000"/>
          <w:sz w:val="28"/>
          <w:szCs w:val="28"/>
        </w:rPr>
        <w:t>合同书(货物）格式条款</w:t>
      </w:r>
    </w:p>
    <w:p>
      <w:pPr>
        <w:snapToGrid w:val="0"/>
        <w:spacing w:line="288" w:lineRule="auto"/>
        <w:ind w:firstLine="480" w:firstLineChars="200"/>
        <w:jc w:val="left"/>
        <w:rPr>
          <w:rFonts w:hint="eastAsia" w:ascii="黑体" w:hAnsi="宋体" w:eastAsia="黑体"/>
          <w:b/>
          <w:color w:val="000000"/>
          <w:sz w:val="28"/>
          <w:szCs w:val="28"/>
        </w:rPr>
      </w:pPr>
      <w:r>
        <w:rPr>
          <w:rFonts w:hint="eastAsia" w:ascii="宋体" w:hAnsi="宋体"/>
          <w:b/>
          <w:color w:val="000000"/>
          <w:sz w:val="24"/>
          <w:szCs w:val="24"/>
        </w:rPr>
        <w:t>根据《中华人民共和国政府采购法》及相关法规、《中华人民共和国民法典》，遵循平等、自愿、公平和诚实信用的原则，甲乙双方就项目（项目编号：</w:t>
      </w:r>
      <w:r>
        <w:rPr>
          <w:rFonts w:hint="eastAsia" w:ascii="宋体" w:hAnsi="宋体"/>
          <w:b/>
          <w:color w:val="000000"/>
          <w:sz w:val="24"/>
          <w:szCs w:val="24"/>
          <w:u w:val="single"/>
        </w:rPr>
        <w:t xml:space="preserve">          </w:t>
      </w:r>
      <w:r>
        <w:rPr>
          <w:rFonts w:hint="eastAsia" w:ascii="宋体" w:hAnsi="宋体"/>
          <w:b/>
          <w:color w:val="000000"/>
          <w:sz w:val="24"/>
          <w:szCs w:val="24"/>
        </w:rPr>
        <w:t xml:space="preserve"> ）采购及有关事项协商一致，共同达成如下协议：</w:t>
      </w:r>
    </w:p>
    <w:p>
      <w:pPr>
        <w:snapToGrid w:val="0"/>
        <w:spacing w:line="288" w:lineRule="auto"/>
        <w:rPr>
          <w:rFonts w:hint="eastAsia" w:ascii="宋体" w:hAnsi="Calibri"/>
          <w:bCs/>
          <w:color w:val="000000"/>
          <w:sz w:val="24"/>
          <w:szCs w:val="24"/>
          <w:u w:val="single"/>
        </w:rPr>
      </w:pPr>
      <w:r>
        <w:rPr>
          <w:rFonts w:hint="eastAsia" w:ascii="宋体" w:hAnsi="宋体"/>
          <w:bCs/>
          <w:color w:val="000000"/>
          <w:sz w:val="24"/>
          <w:szCs w:val="24"/>
        </w:rPr>
        <w:t>需方（采购人）：</w:t>
      </w:r>
    </w:p>
    <w:p>
      <w:pPr>
        <w:snapToGrid w:val="0"/>
        <w:spacing w:line="288" w:lineRule="auto"/>
        <w:rPr>
          <w:rFonts w:hint="eastAsia" w:ascii="宋体"/>
          <w:bCs/>
          <w:color w:val="000000"/>
          <w:sz w:val="24"/>
          <w:szCs w:val="24"/>
          <w:u w:val="single"/>
        </w:rPr>
      </w:pPr>
      <w:r>
        <w:rPr>
          <w:rFonts w:hint="eastAsia" w:ascii="宋体" w:hAnsi="宋体"/>
          <w:bCs/>
          <w:color w:val="000000"/>
          <w:sz w:val="24"/>
          <w:szCs w:val="24"/>
        </w:rPr>
        <w:t>供方（中标方）：</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一、采购项目编号：</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二、采购项目名称：</w:t>
      </w:r>
    </w:p>
    <w:p>
      <w:pPr>
        <w:tabs>
          <w:tab w:val="left" w:pos="210"/>
          <w:tab w:val="left" w:pos="840"/>
          <w:tab w:val="left" w:pos="1260"/>
        </w:tabs>
        <w:snapToGrid w:val="0"/>
        <w:spacing w:line="288" w:lineRule="auto"/>
        <w:ind w:left="420" w:leftChars="200"/>
        <w:rPr>
          <w:rFonts w:hint="eastAsia" w:ascii="宋体"/>
          <w:bCs/>
          <w:color w:val="000000"/>
          <w:sz w:val="24"/>
          <w:szCs w:val="24"/>
        </w:rPr>
      </w:pPr>
      <w:r>
        <w:rPr>
          <w:rFonts w:hint="eastAsia" w:ascii="宋体" w:hAnsi="宋体"/>
          <w:bCs/>
          <w:color w:val="000000"/>
          <w:sz w:val="24"/>
          <w:szCs w:val="24"/>
        </w:rPr>
        <w:t>三、中标（成交）金额：</w:t>
      </w:r>
      <w:r>
        <w:rPr>
          <w:rFonts w:hint="eastAsia" w:ascii="宋体" w:hAnsi="宋体"/>
          <w:bCs/>
          <w:color w:val="000000"/>
          <w:sz w:val="24"/>
          <w:szCs w:val="24"/>
          <w:u w:val="single"/>
        </w:rPr>
        <w:t xml:space="preserve">                       </w:t>
      </w:r>
      <w:r>
        <w:rPr>
          <w:rFonts w:hint="eastAsia" w:ascii="宋体" w:hAnsi="宋体"/>
          <w:bCs/>
          <w:color w:val="000000"/>
          <w:sz w:val="24"/>
          <w:szCs w:val="24"/>
        </w:rPr>
        <w:t>（大写）；</w:t>
      </w:r>
      <w:r>
        <w:rPr>
          <w:rFonts w:hint="eastAsia" w:ascii="宋体" w:hAnsi="宋体"/>
          <w:bCs/>
          <w:color w:val="000000"/>
          <w:sz w:val="24"/>
          <w:szCs w:val="24"/>
          <w:u w:val="single"/>
        </w:rPr>
        <w:t xml:space="preserve">                  </w:t>
      </w:r>
      <w:r>
        <w:rPr>
          <w:rFonts w:hint="eastAsia" w:ascii="宋体" w:hAnsi="宋体"/>
          <w:bCs/>
          <w:color w:val="000000"/>
          <w:sz w:val="24"/>
          <w:szCs w:val="24"/>
        </w:rPr>
        <w:t>（小写）；</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四、交货期或完工期：</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五、项目整体质保期：</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六、交货地点和方式：</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七、货款支付步骤和办法：</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八、合同书不可分割部分：</w:t>
      </w:r>
    </w:p>
    <w:p>
      <w:pPr>
        <w:tabs>
          <w:tab w:val="left" w:pos="21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招标（采购）文件、投标（报价）文件、合同条款及中标</w:t>
      </w:r>
      <w:r>
        <w:rPr>
          <w:rFonts w:hint="eastAsia" w:ascii="宋体" w:hAnsi="宋体"/>
          <w:color w:val="000000"/>
          <w:sz w:val="24"/>
          <w:szCs w:val="24"/>
        </w:rPr>
        <w:t>（成交）</w:t>
      </w:r>
      <w:r>
        <w:rPr>
          <w:rFonts w:hint="eastAsia" w:ascii="宋体" w:hAnsi="宋体"/>
          <w:bCs/>
          <w:color w:val="000000"/>
          <w:sz w:val="24"/>
          <w:szCs w:val="24"/>
        </w:rPr>
        <w:t>通知书，供方在投标（响应）、评标（评审）过程中所作其它有关承诺、声明、书面澄清等均为合同不可分割的部分，与主合同具有同等法律效力。</w:t>
      </w:r>
    </w:p>
    <w:p>
      <w:pPr>
        <w:tabs>
          <w:tab w:val="left" w:pos="210"/>
          <w:tab w:val="left" w:pos="735"/>
          <w:tab w:val="left" w:pos="1155"/>
        </w:tabs>
        <w:snapToGrid w:val="0"/>
        <w:spacing w:line="288" w:lineRule="auto"/>
        <w:ind w:firstLine="480" w:firstLineChars="200"/>
        <w:rPr>
          <w:rFonts w:hint="eastAsia" w:ascii="宋体" w:hAnsi="宋体"/>
          <w:color w:val="000000"/>
          <w:sz w:val="24"/>
          <w:szCs w:val="24"/>
        </w:rPr>
      </w:pPr>
      <w:r>
        <w:rPr>
          <w:rFonts w:hint="eastAsia" w:ascii="宋体" w:hAnsi="宋体"/>
          <w:color w:val="000000"/>
          <w:sz w:val="24"/>
          <w:szCs w:val="24"/>
        </w:rPr>
        <w:t>九、合同书组成：</w:t>
      </w:r>
    </w:p>
    <w:p>
      <w:pPr>
        <w:tabs>
          <w:tab w:val="left" w:pos="210"/>
          <w:tab w:val="left" w:pos="735"/>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color w:val="000000"/>
          <w:sz w:val="24"/>
          <w:szCs w:val="24"/>
        </w:rPr>
        <w:t>合同书由格式条款</w:t>
      </w:r>
      <w:r>
        <w:rPr>
          <w:rFonts w:hint="eastAsia" w:ascii="宋体" w:hAnsi="宋体"/>
          <w:bCs/>
          <w:color w:val="000000"/>
          <w:sz w:val="24"/>
          <w:szCs w:val="24"/>
        </w:rPr>
        <w:t>和合同条款二部分组成。合同条款应当包含法定必备条款和采购需求的所有内容，并应与“合同书不可分割部分”的内容一致，包括但不限于</w:t>
      </w:r>
      <w:r>
        <w:rPr>
          <w:rFonts w:hint="eastAsia" w:ascii="宋体" w:hAnsi="宋体"/>
          <w:color w:val="000000"/>
          <w:sz w:val="24"/>
          <w:szCs w:val="24"/>
        </w:rPr>
        <w:t>合同类型,</w:t>
      </w:r>
      <w:r>
        <w:rPr>
          <w:rFonts w:hint="eastAsia" w:ascii="宋体" w:hAnsi="宋体"/>
          <w:bCs/>
          <w:color w:val="000000"/>
          <w:sz w:val="24"/>
          <w:szCs w:val="24"/>
        </w:rPr>
        <w:t>标的名称、采购标的质量、数量，履行时间、地点和方式，包装方式，履约保证金要求，价款或报酬、付款进度安排、</w:t>
      </w:r>
      <w:r>
        <w:rPr>
          <w:rFonts w:hint="eastAsia" w:ascii="宋体" w:hAnsi="宋体" w:cs="宋体"/>
          <w:color w:val="000000"/>
          <w:sz w:val="24"/>
          <w:szCs w:val="24"/>
        </w:rPr>
        <w:t>与履约验收挂钩的资金支付条件及时间</w:t>
      </w:r>
      <w:r>
        <w:rPr>
          <w:rFonts w:hint="eastAsia" w:ascii="宋体" w:hAnsi="宋体"/>
          <w:bCs/>
          <w:color w:val="000000"/>
          <w:sz w:val="24"/>
          <w:szCs w:val="24"/>
        </w:rPr>
        <w:t>，验收、交付标准和方法，质量保修范围和保修期，违约责任与解决争议的方法，甲乙双方权利与义务，合同分包要求等。</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十、合同书生效及注意事项：</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合同书格式条款与合同条款共同组成完整合同书。采购人在确定中标（成交）供应商之日起三十个日历天内，完成合同书签订工作。供需双方在合同书上确认签章后，合同即生效并经系统自动将合同书推送“无锡市政府采购网”进行公示。</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一、供需双方如有其它要求，可参照招标（采购）文件、投标（报价）文件（采购人不得向供应商提出超出采购文件以外的任何要求作为签订合同的条件，不得与成交供应商订立背离采购文件确定的合同文本以及采购标的、规格型号、采购金额、采购数量、技术和服务要求等实质性内容的协议），并在不违反本合同条款的前提下，供需双方自行拟定补充条款。</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十二、根据《政府采购法》第四十九、五十条规定，甲乙双方不得擅自变更、中止或终止合同。</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见证方：</w:t>
      </w:r>
      <w:r>
        <w:rPr>
          <w:rFonts w:hint="eastAsia" w:ascii="宋体" w:hAnsi="宋体"/>
          <w:bCs/>
          <w:color w:val="000000" w:themeColor="text1"/>
          <w:sz w:val="24"/>
          <w:szCs w:val="24"/>
          <w14:textFill>
            <w14:solidFill>
              <w14:schemeClr w14:val="tx1"/>
            </w14:solidFill>
          </w14:textFill>
        </w:rPr>
        <w:t>无锡市公共资源交易中心梁溪分中心（盖章）</w:t>
      </w:r>
    </w:p>
    <w:p>
      <w:pPr>
        <w:wordWrap w:val="0"/>
        <w:snapToGrid w:val="0"/>
        <w:spacing w:line="288" w:lineRule="auto"/>
        <w:ind w:right="960" w:firstLine="4080" w:firstLineChars="1700"/>
        <w:rPr>
          <w:rFonts w:hint="eastAsia" w:ascii="宋体" w:hAnsi="宋体"/>
          <w:bCs/>
          <w:color w:val="000000"/>
          <w:sz w:val="24"/>
          <w:szCs w:val="24"/>
        </w:rPr>
      </w:pPr>
      <w:r>
        <w:rPr>
          <w:rFonts w:hint="eastAsia" w:ascii="宋体" w:hAnsi="宋体"/>
          <w:bCs/>
          <w:color w:val="000000"/>
          <w:sz w:val="24"/>
          <w:szCs w:val="24"/>
        </w:rPr>
        <w:t xml:space="preserve">见证人：                          </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 xml:space="preserve">     年   月   日</w:t>
      </w:r>
    </w:p>
    <w:p>
      <w:pPr>
        <w:snapToGrid w:val="0"/>
        <w:spacing w:line="288" w:lineRule="auto"/>
        <w:jc w:val="both"/>
        <w:rPr>
          <w:rFonts w:hint="eastAsia" w:ascii="黑体" w:hAnsi="宋体" w:eastAsia="黑体"/>
          <w:b/>
          <w:color w:val="000000"/>
          <w:sz w:val="28"/>
          <w:szCs w:val="28"/>
        </w:rPr>
      </w:pPr>
    </w:p>
    <w:p>
      <w:pPr>
        <w:snapToGrid w:val="0"/>
        <w:spacing w:line="288" w:lineRule="auto"/>
        <w:jc w:val="center"/>
        <w:rPr>
          <w:rFonts w:hint="eastAsia" w:ascii="黑体" w:hAnsi="宋体" w:eastAsia="黑体"/>
          <w:b/>
          <w:color w:val="000000"/>
          <w:sz w:val="28"/>
          <w:szCs w:val="28"/>
        </w:rPr>
      </w:pPr>
      <w:r>
        <w:rPr>
          <w:rFonts w:hint="eastAsia" w:ascii="黑体" w:hAnsi="宋体" w:eastAsia="黑体"/>
          <w:b/>
          <w:color w:val="000000"/>
          <w:sz w:val="28"/>
          <w:szCs w:val="28"/>
        </w:rPr>
        <w:t>合同书（服务）格式条款</w:t>
      </w:r>
    </w:p>
    <w:p>
      <w:pPr>
        <w:snapToGrid w:val="0"/>
        <w:spacing w:line="288" w:lineRule="auto"/>
        <w:ind w:firstLine="480" w:firstLineChars="200"/>
        <w:rPr>
          <w:rFonts w:hint="eastAsia" w:ascii="黑体" w:hAnsi="Calibri" w:eastAsia="黑体"/>
          <w:b/>
          <w:color w:val="000000"/>
          <w:sz w:val="28"/>
          <w:szCs w:val="28"/>
        </w:rPr>
      </w:pPr>
      <w:r>
        <w:rPr>
          <w:rFonts w:hint="eastAsia" w:ascii="宋体" w:hAnsi="宋体"/>
          <w:b/>
          <w:color w:val="000000"/>
          <w:sz w:val="24"/>
          <w:szCs w:val="24"/>
        </w:rPr>
        <w:t>根据《中华人民共和国政府采购法》及相关法规、《中华人民共和国民法典》，遵循平等、自愿、公平和诚实信用的原则，甲乙双方就项目（项目编号：</w:t>
      </w:r>
      <w:r>
        <w:rPr>
          <w:rFonts w:hint="eastAsia" w:ascii="宋体" w:hAnsi="宋体"/>
          <w:b/>
          <w:color w:val="000000"/>
          <w:sz w:val="24"/>
          <w:szCs w:val="24"/>
          <w:u w:val="single"/>
        </w:rPr>
        <w:t xml:space="preserve">        </w:t>
      </w:r>
      <w:r>
        <w:rPr>
          <w:rFonts w:hint="eastAsia" w:ascii="宋体" w:hAnsi="宋体"/>
          <w:b/>
          <w:color w:val="000000"/>
          <w:sz w:val="24"/>
          <w:szCs w:val="24"/>
        </w:rPr>
        <w:t xml:space="preserve"> ）实施及有关事项协商一致，共同达成如下协议：</w:t>
      </w:r>
    </w:p>
    <w:p>
      <w:pPr>
        <w:snapToGrid w:val="0"/>
        <w:spacing w:line="288" w:lineRule="auto"/>
        <w:rPr>
          <w:rFonts w:hint="eastAsia" w:ascii="宋体"/>
          <w:bCs/>
          <w:color w:val="000000"/>
          <w:sz w:val="24"/>
          <w:szCs w:val="24"/>
          <w:u w:val="single"/>
        </w:rPr>
      </w:pPr>
      <w:r>
        <w:rPr>
          <w:rFonts w:hint="eastAsia" w:ascii="宋体" w:hAnsi="宋体"/>
          <w:bCs/>
          <w:color w:val="000000"/>
          <w:sz w:val="24"/>
          <w:szCs w:val="24"/>
        </w:rPr>
        <w:t>需方（采购人）：</w:t>
      </w:r>
    </w:p>
    <w:p>
      <w:pPr>
        <w:snapToGrid w:val="0"/>
        <w:spacing w:line="288" w:lineRule="auto"/>
        <w:rPr>
          <w:rFonts w:hint="eastAsia" w:ascii="宋体" w:hAnsi="宋体"/>
          <w:bCs/>
          <w:color w:val="000000"/>
          <w:sz w:val="24"/>
          <w:szCs w:val="24"/>
        </w:rPr>
      </w:pPr>
      <w:r>
        <w:rPr>
          <w:rFonts w:hint="eastAsia" w:ascii="宋体" w:hAnsi="宋体"/>
          <w:bCs/>
          <w:color w:val="000000"/>
          <w:sz w:val="24"/>
          <w:szCs w:val="24"/>
        </w:rPr>
        <w:t>供方（中标方）：</w:t>
      </w:r>
    </w:p>
    <w:p>
      <w:pPr>
        <w:snapToGrid w:val="0"/>
        <w:spacing w:line="288" w:lineRule="auto"/>
        <w:ind w:firstLine="480" w:firstLineChars="200"/>
        <w:rPr>
          <w:rFonts w:hint="eastAsia" w:ascii="宋体" w:hAnsi="Calibri"/>
          <w:bCs/>
          <w:color w:val="000000"/>
          <w:sz w:val="24"/>
          <w:szCs w:val="24"/>
          <w:u w:val="single"/>
        </w:rPr>
      </w:pPr>
      <w:r>
        <w:rPr>
          <w:rFonts w:hint="eastAsia" w:ascii="宋体" w:hAnsi="宋体"/>
          <w:bCs/>
          <w:color w:val="000000"/>
          <w:sz w:val="24"/>
          <w:szCs w:val="24"/>
        </w:rPr>
        <w:t>一、采购项目编号：</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二、采购项目名称：</w:t>
      </w:r>
    </w:p>
    <w:p>
      <w:pPr>
        <w:tabs>
          <w:tab w:val="left" w:pos="210"/>
          <w:tab w:val="left" w:pos="840"/>
          <w:tab w:val="left" w:pos="1260"/>
        </w:tabs>
        <w:snapToGrid w:val="0"/>
        <w:spacing w:line="288" w:lineRule="auto"/>
        <w:ind w:left="420" w:leftChars="200"/>
        <w:rPr>
          <w:rFonts w:hint="eastAsia" w:ascii="宋体"/>
          <w:bCs/>
          <w:color w:val="000000"/>
          <w:sz w:val="24"/>
          <w:szCs w:val="24"/>
        </w:rPr>
      </w:pPr>
      <w:r>
        <w:rPr>
          <w:rFonts w:hint="eastAsia" w:ascii="宋体" w:hAnsi="宋体"/>
          <w:bCs/>
          <w:color w:val="000000"/>
          <w:sz w:val="24"/>
          <w:szCs w:val="24"/>
        </w:rPr>
        <w:t>三、中标（成交）金额：</w:t>
      </w:r>
      <w:r>
        <w:rPr>
          <w:rFonts w:hint="eastAsia" w:ascii="宋体" w:hAnsi="宋体"/>
          <w:bCs/>
          <w:color w:val="000000"/>
          <w:sz w:val="24"/>
          <w:szCs w:val="24"/>
          <w:u w:val="single"/>
        </w:rPr>
        <w:t xml:space="preserve">                    </w:t>
      </w:r>
      <w:r>
        <w:rPr>
          <w:rFonts w:hint="eastAsia" w:ascii="宋体" w:hAnsi="宋体"/>
          <w:bCs/>
          <w:color w:val="000000"/>
          <w:sz w:val="24"/>
          <w:szCs w:val="24"/>
        </w:rPr>
        <w:t>（大写）；</w:t>
      </w:r>
      <w:r>
        <w:rPr>
          <w:rFonts w:hint="eastAsia" w:ascii="宋体" w:hAnsi="宋体"/>
          <w:bCs/>
          <w:color w:val="000000"/>
          <w:sz w:val="24"/>
          <w:szCs w:val="24"/>
          <w:u w:val="single"/>
        </w:rPr>
        <w:t xml:space="preserve">                 </w:t>
      </w:r>
      <w:r>
        <w:rPr>
          <w:rFonts w:hint="eastAsia" w:ascii="宋体" w:hAnsi="宋体"/>
          <w:bCs/>
          <w:color w:val="000000"/>
          <w:sz w:val="24"/>
          <w:szCs w:val="24"/>
        </w:rPr>
        <w:t>（小写）；</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四、项目服务期限：</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五、项目整体免费服务期：</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六、货款支付步骤和办法：</w:t>
      </w:r>
    </w:p>
    <w:p>
      <w:pPr>
        <w:tabs>
          <w:tab w:val="left" w:pos="210"/>
          <w:tab w:val="left" w:pos="450"/>
          <w:tab w:val="left" w:pos="840"/>
          <w:tab w:val="left" w:pos="1260"/>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七、合同书不可分割部分：</w:t>
      </w:r>
    </w:p>
    <w:p>
      <w:pPr>
        <w:tabs>
          <w:tab w:val="left" w:pos="210"/>
          <w:tab w:val="left" w:pos="420"/>
          <w:tab w:val="left" w:pos="1155"/>
        </w:tabs>
        <w:snapToGrid w:val="0"/>
        <w:spacing w:line="288" w:lineRule="auto"/>
        <w:ind w:firstLine="480" w:firstLineChars="200"/>
        <w:rPr>
          <w:rFonts w:hint="eastAsia" w:ascii="宋体"/>
          <w:bCs/>
          <w:color w:val="000000"/>
          <w:sz w:val="24"/>
          <w:szCs w:val="24"/>
        </w:rPr>
      </w:pPr>
      <w:r>
        <w:rPr>
          <w:rFonts w:hint="eastAsia" w:ascii="宋体" w:hAnsi="宋体"/>
          <w:bCs/>
          <w:color w:val="000000"/>
          <w:sz w:val="24"/>
          <w:szCs w:val="24"/>
        </w:rPr>
        <w:t>招标（采购）文件、投标（报价）文件、合同条款及中标</w:t>
      </w:r>
      <w:r>
        <w:rPr>
          <w:rFonts w:hint="eastAsia" w:ascii="宋体" w:hAnsi="宋体"/>
          <w:color w:val="000000"/>
          <w:sz w:val="24"/>
          <w:szCs w:val="24"/>
        </w:rPr>
        <w:t>（成交）</w:t>
      </w:r>
      <w:r>
        <w:rPr>
          <w:rFonts w:hint="eastAsia" w:ascii="宋体" w:hAnsi="宋体"/>
          <w:bCs/>
          <w:color w:val="000000"/>
          <w:sz w:val="24"/>
          <w:szCs w:val="24"/>
        </w:rPr>
        <w:t>通知书，供方在投标（响应）、评标（评审）过程中所作其它有关承诺、声明、书面澄清等均为合同不可分割的部分，与主合同具有同等法律效力。</w:t>
      </w:r>
    </w:p>
    <w:p>
      <w:pPr>
        <w:tabs>
          <w:tab w:val="left" w:pos="210"/>
          <w:tab w:val="left" w:pos="735"/>
          <w:tab w:val="left" w:pos="1155"/>
        </w:tabs>
        <w:snapToGrid w:val="0"/>
        <w:spacing w:line="288" w:lineRule="auto"/>
        <w:ind w:firstLine="480" w:firstLineChars="200"/>
        <w:rPr>
          <w:rFonts w:hint="eastAsia" w:ascii="宋体" w:hAnsi="宋体"/>
          <w:color w:val="000000"/>
          <w:sz w:val="24"/>
          <w:szCs w:val="24"/>
        </w:rPr>
      </w:pPr>
      <w:r>
        <w:rPr>
          <w:rFonts w:hint="eastAsia" w:ascii="宋体" w:hAnsi="宋体"/>
          <w:color w:val="000000"/>
          <w:sz w:val="24"/>
          <w:szCs w:val="24"/>
        </w:rPr>
        <w:t>八、合同书组成：</w:t>
      </w:r>
    </w:p>
    <w:p>
      <w:pPr>
        <w:tabs>
          <w:tab w:val="left" w:pos="210"/>
          <w:tab w:val="left" w:pos="735"/>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color w:val="000000"/>
          <w:sz w:val="24"/>
          <w:szCs w:val="24"/>
        </w:rPr>
        <w:t>合同书由格式条款</w:t>
      </w:r>
      <w:r>
        <w:rPr>
          <w:rFonts w:hint="eastAsia" w:ascii="宋体" w:hAnsi="宋体"/>
          <w:bCs/>
          <w:color w:val="000000"/>
          <w:sz w:val="24"/>
          <w:szCs w:val="24"/>
        </w:rPr>
        <w:t>和合同条款二部分组成。合同条款应当包含法定必备条款和采购需求的所有内容，并应与“合同书不可分割部分”的内容一致，包括但不限于标的名称、采购标的质量、规模，知识产权归属和处理方式，履行期限、地点和方式，包装方式，履约保证金要求，价款或报酬、付款进度安排、</w:t>
      </w:r>
      <w:r>
        <w:rPr>
          <w:rFonts w:hint="eastAsia" w:ascii="宋体" w:hAnsi="宋体" w:cs="宋体"/>
          <w:color w:val="000000"/>
          <w:sz w:val="24"/>
          <w:szCs w:val="24"/>
        </w:rPr>
        <w:t>与履约验收挂钩的资金支付条件及时间</w:t>
      </w:r>
      <w:r>
        <w:rPr>
          <w:rFonts w:hint="eastAsia" w:ascii="宋体" w:hAnsi="宋体"/>
          <w:bCs/>
          <w:color w:val="000000"/>
          <w:sz w:val="24"/>
          <w:szCs w:val="24"/>
        </w:rPr>
        <w:t>，验收、交付标准和方法，质量保修范围和保修期，违约责任与解决争议的方法，甲乙双方权利与义务，合同分包要求，</w:t>
      </w:r>
      <w:r>
        <w:rPr>
          <w:rFonts w:hint="eastAsia" w:ascii="宋体" w:hAnsi="宋体"/>
          <w:color w:val="000000"/>
          <w:sz w:val="24"/>
          <w:szCs w:val="24"/>
        </w:rPr>
        <w:t>合同类型</w:t>
      </w:r>
      <w:r>
        <w:rPr>
          <w:rFonts w:hint="eastAsia" w:ascii="宋体" w:hAnsi="宋体"/>
          <w:bCs/>
          <w:color w:val="000000"/>
          <w:sz w:val="24"/>
          <w:szCs w:val="24"/>
        </w:rPr>
        <w:t>等。</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九、合同书生效及注意事项：</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合同书格式条款与合同条款共同组成完整合同书。采购人在确定中标（成交）供应商之日起三十个日历天内，完成合同书签订工作。供需双方在合同书上确认签章后，合同即生效并经系统自动将合同书推送“无锡市政府采购网”进行公示。</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供需双方如有其它要求，可参照招标（采购）文件、投标（报价）文件（采购人不得向供应商提出超出采购文件以外的任何要求作为签订合同的条件，不得与成交供应商订立背离采购文件确定的合同文本以及采购标的、规格型号、采购金额、采购数量、技术和服务要求等实质性内容的协议），并在不违反本合同条款的前提下，供需双方自行拟定补充条款。</w:t>
      </w:r>
    </w:p>
    <w:p>
      <w:pPr>
        <w:tabs>
          <w:tab w:val="left" w:pos="210"/>
          <w:tab w:val="left" w:pos="840"/>
          <w:tab w:val="left" w:pos="1155"/>
        </w:tabs>
        <w:snapToGrid w:val="0"/>
        <w:spacing w:line="288" w:lineRule="auto"/>
        <w:ind w:firstLine="480" w:firstLineChars="200"/>
        <w:rPr>
          <w:rFonts w:hint="eastAsia" w:ascii="宋体" w:hAnsi="宋体"/>
          <w:bCs/>
          <w:color w:val="000000"/>
          <w:sz w:val="24"/>
          <w:szCs w:val="24"/>
        </w:rPr>
      </w:pPr>
      <w:r>
        <w:rPr>
          <w:rFonts w:hint="eastAsia" w:ascii="宋体" w:hAnsi="宋体"/>
          <w:bCs/>
          <w:color w:val="000000"/>
          <w:sz w:val="24"/>
          <w:szCs w:val="24"/>
        </w:rPr>
        <w:t>十一、根据《政府采购法》第四十九、五十条规定，甲乙双方不得擅自变更、中止或终止合同。</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见证方：</w:t>
      </w:r>
      <w:r>
        <w:rPr>
          <w:rFonts w:hint="eastAsia" w:ascii="宋体" w:hAnsi="宋体"/>
          <w:bCs/>
          <w:color w:val="000000" w:themeColor="text1"/>
          <w:sz w:val="24"/>
          <w:szCs w:val="24"/>
          <w14:textFill>
            <w14:solidFill>
              <w14:schemeClr w14:val="tx1"/>
            </w14:solidFill>
          </w14:textFill>
        </w:rPr>
        <w:t>无锡市公共资源交易中心梁溪分中心（盖章）</w:t>
      </w:r>
    </w:p>
    <w:p>
      <w:pPr>
        <w:wordWrap w:val="0"/>
        <w:snapToGrid w:val="0"/>
        <w:spacing w:line="288" w:lineRule="auto"/>
        <w:ind w:right="1920"/>
        <w:jc w:val="center"/>
        <w:rPr>
          <w:rFonts w:hint="eastAsia" w:ascii="宋体" w:hAnsi="宋体"/>
          <w:bCs/>
          <w:color w:val="000000"/>
          <w:sz w:val="24"/>
          <w:szCs w:val="24"/>
        </w:rPr>
      </w:pPr>
      <w:r>
        <w:rPr>
          <w:rFonts w:hint="eastAsia" w:ascii="宋体" w:hAnsi="宋体"/>
          <w:bCs/>
          <w:color w:val="000000"/>
          <w:sz w:val="24"/>
          <w:szCs w:val="24"/>
        </w:rPr>
        <w:t xml:space="preserve">                            见证人：                  </w:t>
      </w:r>
    </w:p>
    <w:p>
      <w:pPr>
        <w:snapToGrid w:val="0"/>
        <w:spacing w:line="288" w:lineRule="auto"/>
        <w:jc w:val="right"/>
        <w:rPr>
          <w:rFonts w:hint="eastAsia" w:ascii="宋体" w:hAnsi="宋体"/>
          <w:bCs/>
          <w:color w:val="000000"/>
          <w:sz w:val="24"/>
          <w:szCs w:val="24"/>
        </w:rPr>
      </w:pPr>
      <w:r>
        <w:rPr>
          <w:rFonts w:hint="eastAsia" w:ascii="宋体" w:hAnsi="宋体"/>
          <w:bCs/>
          <w:color w:val="000000"/>
          <w:sz w:val="24"/>
          <w:szCs w:val="24"/>
        </w:rPr>
        <w:t xml:space="preserve">   年   月    日</w:t>
      </w:r>
    </w:p>
    <w:p>
      <w:pPr>
        <w:pStyle w:val="2"/>
      </w:pPr>
    </w:p>
    <w:p>
      <w:pPr>
        <w:pStyle w:val="2"/>
      </w:pPr>
    </w:p>
    <w:p>
      <w:pPr>
        <w:spacing w:line="360" w:lineRule="auto"/>
        <w:jc w:val="center"/>
        <w:rPr>
          <w:rFonts w:ascii="黑体" w:eastAsia="黑体"/>
          <w:bCs/>
          <w:color w:val="000000"/>
          <w:sz w:val="28"/>
          <w:szCs w:val="28"/>
        </w:rPr>
      </w:pPr>
      <w:r>
        <w:rPr>
          <w:rFonts w:hint="eastAsia" w:ascii="黑体" w:eastAsia="黑体"/>
          <w:bCs/>
          <w:color w:val="000000"/>
          <w:sz w:val="28"/>
          <w:szCs w:val="28"/>
        </w:rPr>
        <w:t>五．合同条款</w:t>
      </w:r>
    </w:p>
    <w:p>
      <w:pPr>
        <w:snapToGrid w:val="0"/>
        <w:spacing w:line="336" w:lineRule="auto"/>
        <w:ind w:firstLine="480" w:firstLineChars="200"/>
        <w:jc w:val="center"/>
        <w:rPr>
          <w:rFonts w:hint="eastAsia" w:ascii="宋体" w:hAnsi="宋体"/>
          <w:bCs/>
          <w:color w:val="000000"/>
          <w:sz w:val="24"/>
          <w:szCs w:val="24"/>
        </w:rPr>
      </w:pPr>
      <w:r>
        <w:rPr>
          <w:rFonts w:hint="eastAsia" w:ascii="宋体" w:hAnsi="宋体"/>
          <w:bCs/>
          <w:color w:val="000000"/>
          <w:sz w:val="24"/>
          <w:szCs w:val="24"/>
        </w:rPr>
        <w:t>（根据相关法律规定以及采购文件确定事项订立）</w:t>
      </w:r>
    </w:p>
    <w:p>
      <w:pPr>
        <w:snapToGrid w:val="0"/>
        <w:spacing w:line="336" w:lineRule="auto"/>
        <w:ind w:firstLine="525"/>
        <w:rPr>
          <w:rFonts w:hint="eastAsia" w:ascii="宋体" w:hAnsi="Calibri"/>
          <w:bCs/>
          <w:color w:val="000000"/>
          <w:sz w:val="24"/>
          <w:szCs w:val="24"/>
        </w:rPr>
      </w:pPr>
      <w:r>
        <w:rPr>
          <w:rFonts w:hint="eastAsia" w:ascii="宋体" w:hAnsi="宋体"/>
          <w:bCs/>
          <w:color w:val="000000"/>
          <w:sz w:val="24"/>
          <w:szCs w:val="24"/>
        </w:rPr>
        <w:t>（一）合同内容：需方向供方购买。</w:t>
      </w:r>
    </w:p>
    <w:p>
      <w:pPr>
        <w:snapToGrid w:val="0"/>
        <w:spacing w:line="336" w:lineRule="auto"/>
        <w:ind w:firstLine="525"/>
        <w:rPr>
          <w:rFonts w:hint="eastAsia" w:ascii="宋体"/>
          <w:bCs/>
          <w:color w:val="000000"/>
          <w:sz w:val="24"/>
          <w:szCs w:val="24"/>
        </w:rPr>
      </w:pPr>
      <w:r>
        <w:rPr>
          <w:rFonts w:hint="eastAsia" w:ascii="宋体" w:hAnsi="宋体"/>
          <w:bCs/>
          <w:color w:val="000000"/>
          <w:sz w:val="24"/>
          <w:szCs w:val="24"/>
        </w:rPr>
        <w:t>（二）价格及支付：</w:t>
      </w:r>
    </w:p>
    <w:p>
      <w:pPr>
        <w:tabs>
          <w:tab w:val="left" w:pos="525"/>
          <w:tab w:val="left" w:pos="1050"/>
          <w:tab w:val="left" w:pos="1155"/>
        </w:tabs>
        <w:snapToGrid w:val="0"/>
        <w:spacing w:line="336" w:lineRule="auto"/>
        <w:ind w:firstLine="523" w:firstLineChars="218"/>
        <w:rPr>
          <w:rFonts w:hint="eastAsia" w:ascii="宋体"/>
          <w:bCs/>
          <w:color w:val="000000"/>
          <w:sz w:val="24"/>
          <w:szCs w:val="24"/>
        </w:rPr>
      </w:pPr>
      <w:r>
        <w:rPr>
          <w:rFonts w:hint="eastAsia" w:ascii="宋体" w:hAnsi="宋体"/>
          <w:bCs/>
          <w:color w:val="000000"/>
          <w:sz w:val="24"/>
          <w:szCs w:val="24"/>
        </w:rPr>
        <w:t>1. 按此次中标价格执行，合同总标的额为</w:t>
      </w:r>
      <w:r>
        <w:rPr>
          <w:rFonts w:hint="eastAsia" w:ascii="宋体" w:hAnsi="宋体"/>
          <w:bCs/>
          <w:color w:val="000000"/>
          <w:sz w:val="24"/>
          <w:szCs w:val="24"/>
          <w:u w:val="single"/>
        </w:rPr>
        <w:t xml:space="preserve">        </w:t>
      </w:r>
      <w:r>
        <w:rPr>
          <w:rFonts w:hint="eastAsia" w:ascii="宋体" w:hAnsi="宋体"/>
          <w:bCs/>
          <w:color w:val="000000"/>
          <w:sz w:val="24"/>
          <w:szCs w:val="24"/>
        </w:rPr>
        <w:t>元。</w:t>
      </w:r>
    </w:p>
    <w:p>
      <w:pPr>
        <w:numPr>
          <w:ilvl w:val="1"/>
          <w:numId w:val="41"/>
        </w:numPr>
        <w:tabs>
          <w:tab w:val="left" w:pos="945"/>
          <w:tab w:val="left" w:pos="1770"/>
          <w:tab w:val="left" w:pos="2100"/>
        </w:tabs>
        <w:snapToGrid w:val="0"/>
        <w:spacing w:line="336" w:lineRule="auto"/>
        <w:ind w:left="0" w:firstLine="525"/>
        <w:rPr>
          <w:rFonts w:hint="eastAsia" w:ascii="宋体"/>
          <w:bCs/>
          <w:color w:val="000000"/>
          <w:sz w:val="24"/>
          <w:szCs w:val="24"/>
        </w:rPr>
      </w:pPr>
      <w:r>
        <w:rPr>
          <w:rFonts w:hint="eastAsia" w:ascii="宋体" w:hAnsi="宋体"/>
          <w:bCs/>
          <w:color w:val="000000"/>
          <w:sz w:val="24"/>
          <w:szCs w:val="24"/>
        </w:rPr>
        <w:t>付款方式：</w:t>
      </w:r>
    </w:p>
    <w:p>
      <w:pPr>
        <w:numPr>
          <w:ilvl w:val="1"/>
          <w:numId w:val="41"/>
        </w:numPr>
        <w:tabs>
          <w:tab w:val="left" w:pos="945"/>
          <w:tab w:val="left" w:pos="1770"/>
          <w:tab w:val="left" w:pos="2100"/>
        </w:tabs>
        <w:snapToGrid w:val="0"/>
        <w:spacing w:line="336" w:lineRule="auto"/>
        <w:ind w:left="0" w:firstLine="525"/>
        <w:rPr>
          <w:rFonts w:hint="eastAsia" w:ascii="宋体"/>
          <w:bCs/>
          <w:color w:val="000000"/>
          <w:sz w:val="24"/>
          <w:szCs w:val="24"/>
        </w:rPr>
      </w:pPr>
      <w:r>
        <w:rPr>
          <w:rFonts w:hint="eastAsia" w:ascii="宋体" w:hAnsi="宋体"/>
          <w:bCs/>
          <w:color w:val="000000"/>
          <w:sz w:val="24"/>
          <w:szCs w:val="24"/>
        </w:rPr>
        <w:t>履约保证金的缴纳和退付：</w:t>
      </w:r>
    </w:p>
    <w:p>
      <w:pPr>
        <w:tabs>
          <w:tab w:val="left" w:pos="945"/>
          <w:tab w:val="left" w:pos="2100"/>
        </w:tabs>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本项目是/否向采购人缴纳履约保证金：</w:t>
      </w:r>
      <w:r>
        <w:rPr>
          <w:rFonts w:hint="eastAsia" w:ascii="宋体" w:hAnsi="宋体"/>
          <w:bCs/>
          <w:color w:val="000000"/>
          <w:sz w:val="24"/>
          <w:szCs w:val="24"/>
          <w:u w:val="single"/>
        </w:rPr>
        <w:t xml:space="preserve">           </w:t>
      </w:r>
      <w:r>
        <w:rPr>
          <w:rFonts w:hint="eastAsia" w:ascii="宋体" w:hAnsi="宋体"/>
          <w:bCs/>
          <w:color w:val="000000"/>
          <w:sz w:val="24"/>
          <w:szCs w:val="24"/>
        </w:rPr>
        <w:t xml:space="preserve"> 。</w:t>
      </w:r>
    </w:p>
    <w:p>
      <w:pPr>
        <w:tabs>
          <w:tab w:val="left" w:pos="945"/>
          <w:tab w:val="left" w:pos="2100"/>
        </w:tabs>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履约保证金缴纳金额：</w:t>
      </w:r>
      <w:r>
        <w:rPr>
          <w:rFonts w:hint="eastAsia" w:ascii="宋体" w:hAnsi="宋体"/>
          <w:bCs/>
          <w:color w:val="000000"/>
          <w:sz w:val="24"/>
          <w:szCs w:val="24"/>
          <w:u w:val="single"/>
        </w:rPr>
        <w:t xml:space="preserve">                         </w:t>
      </w:r>
      <w:r>
        <w:rPr>
          <w:rFonts w:hint="eastAsia" w:ascii="宋体" w:hAnsi="宋体"/>
          <w:bCs/>
          <w:color w:val="000000"/>
          <w:sz w:val="24"/>
          <w:szCs w:val="24"/>
        </w:rPr>
        <w:t>元。</w:t>
      </w:r>
    </w:p>
    <w:p>
      <w:pPr>
        <w:tabs>
          <w:tab w:val="left" w:pos="945"/>
          <w:tab w:val="left" w:pos="2100"/>
        </w:tabs>
        <w:snapToGrid w:val="0"/>
        <w:spacing w:line="336" w:lineRule="auto"/>
        <w:ind w:firstLine="480" w:firstLineChars="200"/>
        <w:rPr>
          <w:rFonts w:hint="eastAsia" w:ascii="宋体" w:hAnsi="宋体"/>
          <w:bCs/>
          <w:color w:val="000000"/>
          <w:sz w:val="24"/>
          <w:szCs w:val="22"/>
        </w:rPr>
      </w:pPr>
      <w:r>
        <w:rPr>
          <w:rFonts w:hint="eastAsia" w:ascii="宋体" w:hAnsi="宋体"/>
          <w:bCs/>
          <w:color w:val="000000"/>
          <w:sz w:val="24"/>
          <w:szCs w:val="24"/>
        </w:rPr>
        <w:t>履约保证金的缴纳时间：</w:t>
      </w:r>
      <w:r>
        <w:rPr>
          <w:rFonts w:hint="eastAsia" w:ascii="宋体" w:hAnsi="宋体"/>
          <w:bCs/>
          <w:color w:val="000000"/>
          <w:sz w:val="24"/>
          <w:szCs w:val="24"/>
          <w:u w:val="single"/>
        </w:rPr>
        <w:t xml:space="preserve">       </w:t>
      </w:r>
      <w:r>
        <w:rPr>
          <w:rFonts w:hint="eastAsia" w:ascii="宋体" w:hAnsi="宋体"/>
          <w:bCs/>
          <w:color w:val="000000"/>
          <w:sz w:val="24"/>
          <w:szCs w:val="24"/>
        </w:rPr>
        <w:t>，缴纳形式：</w:t>
      </w:r>
      <w:r>
        <w:rPr>
          <w:rFonts w:hint="eastAsia" w:ascii="宋体" w:hAnsi="宋体"/>
          <w:bCs/>
          <w:color w:val="000000"/>
          <w:sz w:val="24"/>
          <w:szCs w:val="24"/>
          <w:u w:val="single"/>
        </w:rPr>
        <w:t xml:space="preserve">      </w:t>
      </w:r>
      <w:r>
        <w:rPr>
          <w:rFonts w:hint="eastAsia" w:ascii="宋体" w:hAnsi="宋体"/>
          <w:bCs/>
          <w:color w:val="000000"/>
          <w:sz w:val="24"/>
        </w:rPr>
        <w:t>。</w:t>
      </w:r>
    </w:p>
    <w:p>
      <w:pPr>
        <w:tabs>
          <w:tab w:val="left" w:pos="945"/>
          <w:tab w:val="left" w:pos="2100"/>
        </w:tabs>
        <w:snapToGrid w:val="0"/>
        <w:spacing w:line="336" w:lineRule="auto"/>
        <w:ind w:firstLine="480" w:firstLineChars="200"/>
        <w:rPr>
          <w:rFonts w:hint="eastAsia" w:ascii="宋体" w:hAnsi="宋体"/>
          <w:bCs/>
          <w:color w:val="000000"/>
          <w:sz w:val="24"/>
        </w:rPr>
      </w:pPr>
      <w:r>
        <w:rPr>
          <w:rFonts w:hint="eastAsia" w:ascii="宋体" w:hAnsi="宋体"/>
          <w:bCs/>
          <w:color w:val="000000"/>
          <w:sz w:val="24"/>
          <w:szCs w:val="24"/>
        </w:rPr>
        <w:t>履约保证金的退付时间：</w:t>
      </w:r>
      <w:r>
        <w:rPr>
          <w:rFonts w:hint="eastAsia" w:ascii="宋体" w:hAnsi="宋体"/>
          <w:bCs/>
          <w:color w:val="000000"/>
          <w:sz w:val="24"/>
          <w:szCs w:val="24"/>
          <w:u w:val="single"/>
        </w:rPr>
        <w:t xml:space="preserve">       </w:t>
      </w:r>
      <w:r>
        <w:rPr>
          <w:rFonts w:hint="eastAsia" w:ascii="宋体" w:hAnsi="宋体"/>
          <w:bCs/>
          <w:color w:val="000000"/>
          <w:sz w:val="24"/>
          <w:szCs w:val="24"/>
        </w:rPr>
        <w:t>，退付办法：</w:t>
      </w:r>
      <w:r>
        <w:rPr>
          <w:rFonts w:hint="eastAsia" w:ascii="宋体" w:hAnsi="宋体"/>
          <w:bCs/>
          <w:color w:val="000000"/>
          <w:sz w:val="24"/>
          <w:szCs w:val="24"/>
          <w:u w:val="single"/>
        </w:rPr>
        <w:t xml:space="preserve">      </w:t>
      </w:r>
      <w:r>
        <w:rPr>
          <w:rFonts w:hint="eastAsia" w:ascii="宋体" w:hAnsi="宋体"/>
          <w:bCs/>
          <w:color w:val="000000"/>
          <w:sz w:val="24"/>
        </w:rPr>
        <w:t>。</w:t>
      </w:r>
    </w:p>
    <w:p>
      <w:pPr>
        <w:tabs>
          <w:tab w:val="left" w:pos="945"/>
          <w:tab w:val="left" w:pos="2100"/>
        </w:tabs>
        <w:snapToGrid w:val="0"/>
        <w:spacing w:line="336" w:lineRule="auto"/>
        <w:ind w:firstLine="480" w:firstLineChars="200"/>
        <w:rPr>
          <w:rFonts w:hint="eastAsia" w:ascii="宋体" w:hAnsi="宋体"/>
          <w:bCs/>
          <w:color w:val="000000"/>
          <w:sz w:val="24"/>
        </w:rPr>
      </w:pPr>
      <w:r>
        <w:rPr>
          <w:rFonts w:hint="eastAsia" w:ascii="宋体" w:hAnsi="宋体"/>
          <w:bCs/>
          <w:color w:val="000000"/>
          <w:sz w:val="24"/>
        </w:rPr>
        <w:t>履约保证金不予退还的情形：</w:t>
      </w:r>
      <w:r>
        <w:rPr>
          <w:rFonts w:hint="eastAsia" w:ascii="宋体" w:hAnsi="宋体"/>
          <w:bCs/>
          <w:color w:val="000000"/>
          <w:sz w:val="24"/>
          <w:u w:val="single"/>
        </w:rPr>
        <w:t xml:space="preserve">                     </w:t>
      </w:r>
      <w:r>
        <w:rPr>
          <w:rFonts w:hint="eastAsia" w:ascii="宋体" w:hAnsi="宋体"/>
          <w:bCs/>
          <w:color w:val="000000"/>
          <w:sz w:val="24"/>
        </w:rPr>
        <w:t>。</w:t>
      </w:r>
    </w:p>
    <w:p>
      <w:pPr>
        <w:tabs>
          <w:tab w:val="left" w:pos="945"/>
          <w:tab w:val="left" w:pos="2100"/>
        </w:tabs>
        <w:snapToGrid w:val="0"/>
        <w:spacing w:line="336" w:lineRule="auto"/>
        <w:ind w:firstLine="480" w:firstLineChars="200"/>
        <w:rPr>
          <w:rFonts w:hint="eastAsia" w:ascii="宋体" w:hAnsi="Calibri"/>
          <w:bCs/>
          <w:color w:val="000000"/>
          <w:sz w:val="24"/>
          <w:szCs w:val="24"/>
        </w:rPr>
      </w:pPr>
      <w:r>
        <w:rPr>
          <w:rFonts w:hint="eastAsia" w:ascii="宋体" w:hAnsi="宋体"/>
          <w:bCs/>
          <w:color w:val="000000"/>
          <w:sz w:val="24"/>
        </w:rPr>
        <w:t>逾期退还履约保证金的违约责任：</w:t>
      </w:r>
      <w:r>
        <w:rPr>
          <w:rFonts w:hint="eastAsia" w:ascii="宋体" w:hAnsi="宋体"/>
          <w:bCs/>
          <w:color w:val="000000"/>
          <w:sz w:val="24"/>
          <w:u w:val="single"/>
        </w:rPr>
        <w:t xml:space="preserve">                 </w:t>
      </w:r>
      <w:r>
        <w:rPr>
          <w:rFonts w:hint="eastAsia" w:ascii="宋体" w:hAnsi="宋体"/>
          <w:bCs/>
          <w:color w:val="000000"/>
          <w:sz w:val="24"/>
        </w:rPr>
        <w:t>。</w:t>
      </w:r>
    </w:p>
    <w:p>
      <w:pPr>
        <w:tabs>
          <w:tab w:val="left" w:pos="0"/>
          <w:tab w:val="left" w:pos="13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（三）知识产权</w:t>
      </w:r>
    </w:p>
    <w:p>
      <w:pPr>
        <w:tabs>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供方应保证需方在使用其交付物、服务及其任何部分时不受到第三方关于侵犯专利权、商标权或软件著作权等知识产权的指控。任何第三方如果提出侵权指控，供方应承担可能发生的一切法律责任和费用。</w:t>
      </w:r>
    </w:p>
    <w:p>
      <w:pPr>
        <w:tabs>
          <w:tab w:val="left" w:pos="73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（四）质量要求与检验：</w:t>
      </w:r>
    </w:p>
    <w:p>
      <w:pPr>
        <w:tabs>
          <w:tab w:val="left" w:pos="525"/>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1.供方应严格按照招标文件的有关规定和供方投标文件提供合格的货物及服务。</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如果任何被检验的货物或服务不符合质量要求，需方均可以拒绝接受，供方应及时更换被拒绝的货物或重新提供服务，且不得影响需方正常工作，费用由供方承担，如因更换或重作导致供方逾期交付货物的，供方还应承担逾期交付的违约责任。本规定并不免除供方在本合同项下的货物质量保证义务或其他义务。</w:t>
      </w:r>
    </w:p>
    <w:p>
      <w:pPr>
        <w:tabs>
          <w:tab w:val="left" w:pos="420"/>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3.货物的到货验收包括：数量、外观、质量、性能、随机备件、装箱单、质量证书等随机资料及包装完整无破损。</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4.货物和系统调试验收标准：按行业通行标准、厂方出厂标准、招标文件要求和供方投标文件的承诺，并不低于国家相关标准。</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5.货物运到需方指定地点并经需方验证签收后，由于需方保管不善造成的质量问题，供方应负责修理，但有关费用由需方承担。</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6.经验收不合格的，供方应当按照需方要求在指定的合理期限内进行整改和完善，直至符合招标文件要求的相关标准。逾期不予整改或经整改仍不能符合相关要求，或者导致合同目的无法实现，需方有权依照法律程序解除合同，并追究供方的违约责任。</w:t>
      </w:r>
    </w:p>
    <w:p>
      <w:pPr>
        <w:tabs>
          <w:tab w:val="left" w:pos="105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7.需方不得擅自变更招投标文件约定的性能、指标等相关内容，如有变更应按《中华人民共和国政府采购法》、财政部《政府采购货物和服务招标投标管理办法》的相关程序执行。</w:t>
      </w:r>
    </w:p>
    <w:p>
      <w:pPr>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（五）交货条件：</w:t>
      </w:r>
    </w:p>
    <w:p>
      <w:pPr>
        <w:tabs>
          <w:tab w:val="left" w:pos="420"/>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1.交货日期（或完工期）：</w:t>
      </w:r>
    </w:p>
    <w:p>
      <w:pPr>
        <w:tabs>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2.供方在验收时应先用信函、传真、电子邮件等书面方式通知需方。</w:t>
      </w:r>
    </w:p>
    <w:p>
      <w:pPr>
        <w:tabs>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货物的外观、包装、运输应按国家有关规定或相关部颁标准执行。如因供方包装或运输不当等原因造成损坏或丢失，应由供方负责调换或补缺，如因此导致供方逾期交付货物的，供方还应承担逾期交付的违约责任。</w:t>
      </w:r>
    </w:p>
    <w:p>
      <w:pPr>
        <w:tabs>
          <w:tab w:val="left" w:pos="115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4.货物交货时，所有货物必须带有货物质量检验合格证书、中文质保单、装箱单、中文货物安装使用说明书。其它附件所有部件必须原包装。</w:t>
      </w:r>
    </w:p>
    <w:p>
      <w:pPr>
        <w:tabs>
          <w:tab w:val="left" w:pos="945"/>
          <w:tab w:val="left" w:pos="1155"/>
        </w:tabs>
        <w:snapToGrid w:val="0"/>
        <w:spacing w:line="336" w:lineRule="auto"/>
        <w:ind w:left="2" w:firstLine="480" w:firstLineChars="200"/>
        <w:rPr>
          <w:rFonts w:hint="eastAsia" w:ascii="宋体"/>
          <w:bCs/>
          <w:color w:val="000000"/>
          <w:sz w:val="24"/>
          <w:szCs w:val="24"/>
        </w:rPr>
      </w:pPr>
      <w:r>
        <w:rPr>
          <w:rFonts w:hint="eastAsia" w:ascii="宋体" w:hAnsi="宋体"/>
          <w:bCs/>
          <w:color w:val="000000"/>
          <w:sz w:val="24"/>
          <w:szCs w:val="24"/>
        </w:rPr>
        <w:t>5.运输及到货地点：由供方负责办理运输并承担所有费用，直接送到需方指定地点，即：以合同书上的地点为准。</w:t>
      </w:r>
    </w:p>
    <w:p>
      <w:pPr>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（六）安装调试及售后服务：</w:t>
      </w:r>
    </w:p>
    <w:p>
      <w:pPr>
        <w:tabs>
          <w:tab w:val="left" w:pos="525"/>
          <w:tab w:val="left" w:pos="840"/>
          <w:tab w:val="left" w:pos="945"/>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1.供方负责本项目的安装和调试，并保证其提供的货物符合国家、行业、地方、招投标文件及合同规定的质量、性能和标准，并正确且安全地安装。</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2.供方提供的服务全部按照国家有关法律法规规章和“三包”规定以及按招标文件要求和供方投标文件中的承诺执行。</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3.质保期后的货物维护由双方协商再定。</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4.需方应向供方现场调试的技术人员及维修人员提供方便条件，有关费用由供方负责。</w:t>
      </w:r>
    </w:p>
    <w:p>
      <w:pPr>
        <w:tabs>
          <w:tab w:val="left" w:pos="525"/>
          <w:tab w:val="left" w:pos="840"/>
          <w:tab w:val="left" w:pos="945"/>
          <w:tab w:val="left" w:pos="1050"/>
          <w:tab w:val="left" w:pos="196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5.需方如要求供方提供招标文件及供方投标文件以外的其它服务，其费用另定。</w:t>
      </w:r>
    </w:p>
    <w:p>
      <w:pPr>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（七）违约责任：</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依照法律程序解除部分或全部合同。延期应通过签订补充合同的方式由双方认可并履行。</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2.如供方逾期交货且未经需方同意延长交货时间，除不可抗力外，每逾期一日，供方应按照逾期交货金额的万分之五的标准累计计算向需方支付违约金。逾期超过20个工作日的，需方有权依照法律程序解除合同，需方如已支付费用的，供方全部返还，且供方应按照合同总价的30%向需方支付违约金，如给需方造成损失的，还应赔偿损失。</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3.需方无正当理由逾期付款时，每逾期一日，需方应按照逾期付款金额的万分之五的标准累计计算向供方支付违约金。</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4.由于需方的原因要求延期交货，需方应按规定承付货款，并承担供方提供的代为保管费。（有关仓储规定另议）</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5.供方如无不可抗力，又未履行招标文件、投标文件和合同条款的，一经查实，由供方赔偿由此给需方造成的损失，并按照合同总价的30%向需方支付违约金，因招、投标产生的其他责任及后果按招标文件的相关要求及处理方式执行。</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6.由于供方提供货物质量和安装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20%向需方支付违约金，如给需方造成其他损失的，供方还应负责赔偿。</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7.如遭遇不可抗力事件，遭遇不可抗力的一方应尽快以书面形式将不可抗力的情况和原因通知另一方，并积极采取措施防止损失扩大。因不可抗力造成的损失，供、需双方按照法律规定处理。</w:t>
      </w:r>
    </w:p>
    <w:p>
      <w:pPr>
        <w:tabs>
          <w:tab w:val="left" w:pos="105"/>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8.招标文件及合同中所述之“不可抗力”系指不可预见、不可避免、不可克服的事件，包括但不限于：战争、洪水、台风、地震及其他法律、法规规定的事件。</w:t>
      </w:r>
    </w:p>
    <w:p>
      <w:pPr>
        <w:pStyle w:val="74"/>
        <w:numPr>
          <w:ilvl w:val="0"/>
          <w:numId w:val="42"/>
        </w:numPr>
        <w:snapToGrid w:val="0"/>
        <w:spacing w:line="336" w:lineRule="auto"/>
        <w:ind w:firstLineChars="0"/>
        <w:rPr>
          <w:rFonts w:hint="eastAsia" w:ascii="宋体"/>
          <w:bCs/>
          <w:color w:val="000000"/>
          <w:sz w:val="24"/>
          <w:szCs w:val="24"/>
        </w:rPr>
      </w:pPr>
      <w:r>
        <w:rPr>
          <w:rFonts w:hint="eastAsia" w:ascii="宋体" w:hAnsi="宋体"/>
          <w:bCs/>
          <w:color w:val="000000"/>
          <w:sz w:val="24"/>
          <w:szCs w:val="24"/>
        </w:rPr>
        <w:t>合同生效及其它：</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1.合同经供需双方代表签字并盖章，且在无锡市政府采购中心见证后即生效。</w:t>
      </w:r>
    </w:p>
    <w:p>
      <w:pPr>
        <w:tabs>
          <w:tab w:val="left" w:pos="0"/>
          <w:tab w:val="left" w:pos="315"/>
          <w:tab w:val="left" w:pos="525"/>
          <w:tab w:val="left" w:pos="945"/>
        </w:tabs>
        <w:snapToGrid w:val="0"/>
        <w:spacing w:line="336" w:lineRule="auto"/>
        <w:ind w:firstLine="480" w:firstLineChars="200"/>
        <w:rPr>
          <w:rFonts w:hint="eastAsia" w:ascii="宋体" w:hAnsi="宋体"/>
          <w:bCs/>
          <w:color w:val="000000"/>
          <w:sz w:val="24"/>
          <w:szCs w:val="24"/>
        </w:rPr>
      </w:pPr>
      <w:r>
        <w:rPr>
          <w:rFonts w:hint="eastAsia" w:ascii="宋体" w:hAnsi="宋体"/>
          <w:bCs/>
          <w:color w:val="000000"/>
          <w:sz w:val="24"/>
          <w:szCs w:val="24"/>
        </w:rPr>
        <w:t>2.合同签订后供需双方即直接产生权利与义务的关系，合同执行过程中出现的问题应按照合同约定、法律法规的规定办理。在合同履行过程中，双方如有争议，</w:t>
      </w:r>
      <w:r>
        <w:rPr>
          <w:rFonts w:hint="eastAsia" w:ascii="宋体" w:hAnsi="宋体"/>
          <w:color w:val="000000"/>
          <w:sz w:val="24"/>
          <w:szCs w:val="24"/>
        </w:rPr>
        <w:t>由供需双方协商处理，若协商不成，</w:t>
      </w:r>
      <w:r>
        <w:rPr>
          <w:rFonts w:hint="eastAsia" w:ascii="宋体" w:hAnsi="宋体"/>
          <w:bCs/>
          <w:color w:val="000000"/>
          <w:sz w:val="24"/>
          <w:szCs w:val="24"/>
        </w:rPr>
        <w:t>可选择以下方式处理：</w:t>
      </w:r>
    </w:p>
    <w:p>
      <w:pPr>
        <w:tabs>
          <w:tab w:val="left" w:pos="0"/>
          <w:tab w:val="left" w:pos="315"/>
          <w:tab w:val="left" w:pos="525"/>
          <w:tab w:val="left" w:pos="945"/>
        </w:tabs>
        <w:snapToGrid w:val="0"/>
        <w:spacing w:line="336" w:lineRule="auto"/>
        <w:ind w:firstLine="480" w:firstLineChars="200"/>
        <w:rPr>
          <w:rFonts w:hint="eastAsia" w:ascii="宋体" w:hAnsi="宋体"/>
          <w:color w:val="000000"/>
          <w:sz w:val="24"/>
          <w:szCs w:val="24"/>
        </w:rPr>
      </w:pPr>
      <w:r>
        <w:rPr>
          <w:rFonts w:hint="eastAsia" w:ascii="宋体" w:hAnsi="宋体"/>
          <w:color w:val="000000"/>
          <w:sz w:val="24"/>
          <w:szCs w:val="24"/>
        </w:rPr>
        <w:t>（1）向无锡仲裁委员会申请仲裁。</w:t>
      </w:r>
    </w:p>
    <w:p>
      <w:pPr>
        <w:tabs>
          <w:tab w:val="left" w:pos="0"/>
          <w:tab w:val="left" w:pos="315"/>
          <w:tab w:val="left" w:pos="525"/>
          <w:tab w:val="left" w:pos="945"/>
        </w:tabs>
        <w:snapToGrid w:val="0"/>
        <w:spacing w:line="336" w:lineRule="auto"/>
        <w:ind w:firstLine="480" w:firstLineChars="200"/>
        <w:rPr>
          <w:rFonts w:hint="eastAsia" w:ascii="宋体" w:hAnsi="Calibri"/>
          <w:color w:val="000000"/>
          <w:sz w:val="24"/>
          <w:szCs w:val="24"/>
        </w:rPr>
      </w:pPr>
      <w:r>
        <w:rPr>
          <w:rFonts w:hint="eastAsia" w:ascii="宋体" w:hAnsi="宋体"/>
          <w:color w:val="000000"/>
          <w:sz w:val="24"/>
          <w:szCs w:val="24"/>
        </w:rPr>
        <w:t>（2）向需方所在地法院提起诉讼。</w:t>
      </w:r>
    </w:p>
    <w:p>
      <w:pPr>
        <w:tabs>
          <w:tab w:val="left" w:pos="0"/>
          <w:tab w:val="left" w:pos="315"/>
          <w:tab w:val="left" w:pos="525"/>
          <w:tab w:val="left" w:pos="945"/>
        </w:tabs>
        <w:snapToGrid w:val="0"/>
        <w:spacing w:line="336" w:lineRule="auto"/>
        <w:ind w:firstLine="480" w:firstLineChars="200"/>
        <w:rPr>
          <w:rFonts w:hint="eastAsia" w:ascii="宋体"/>
          <w:bCs/>
          <w:color w:val="000000"/>
          <w:sz w:val="24"/>
          <w:szCs w:val="24"/>
        </w:rPr>
      </w:pPr>
      <w:r>
        <w:rPr>
          <w:rFonts w:hint="eastAsia" w:ascii="宋体" w:hAnsi="宋体"/>
          <w:bCs/>
          <w:color w:val="000000"/>
          <w:sz w:val="24"/>
          <w:szCs w:val="24"/>
        </w:rPr>
        <w:t>3.合同在执行过程中出现的未尽事宜，双方在不违背本合同和招标文件的原则下协商解决，协商结果以书面形式签订补充协议，且补充协议与本合同具有同等效力。</w:t>
      </w:r>
    </w:p>
    <w:p>
      <w:pPr>
        <w:tabs>
          <w:tab w:val="left" w:pos="0"/>
          <w:tab w:val="left" w:pos="315"/>
          <w:tab w:val="left" w:pos="525"/>
          <w:tab w:val="left" w:pos="945"/>
        </w:tabs>
        <w:snapToGrid w:val="0"/>
        <w:spacing w:line="336" w:lineRule="auto"/>
        <w:ind w:firstLine="480" w:firstLineChars="200"/>
        <w:rPr>
          <w:rFonts w:hint="eastAsia" w:ascii="宋体" w:hAnsi="宋体"/>
          <w:color w:val="000000"/>
          <w:sz w:val="24"/>
          <w:szCs w:val="24"/>
        </w:rPr>
      </w:pPr>
      <w:r>
        <w:rPr>
          <w:rFonts w:hint="eastAsia" w:ascii="宋体" w:hAnsi="宋体"/>
          <w:color w:val="000000"/>
          <w:sz w:val="24"/>
          <w:szCs w:val="24"/>
        </w:rPr>
        <w:t>4.合同中未有约定的按照有关的法律法规以及国家行业标准或技术文件规定予以解决。</w:t>
      </w:r>
    </w:p>
    <w:p>
      <w:pPr>
        <w:tabs>
          <w:tab w:val="left" w:pos="0"/>
          <w:tab w:val="left" w:pos="315"/>
          <w:tab w:val="left" w:pos="525"/>
          <w:tab w:val="left" w:pos="945"/>
        </w:tabs>
        <w:snapToGrid w:val="0"/>
        <w:spacing w:line="336" w:lineRule="auto"/>
        <w:ind w:firstLine="480" w:firstLineChars="200"/>
        <w:rPr>
          <w:rFonts w:hint="eastAsia" w:ascii="宋体" w:hAnsi="Calibri"/>
          <w:bCs/>
          <w:color w:val="000000"/>
          <w:sz w:val="24"/>
          <w:szCs w:val="24"/>
        </w:rPr>
      </w:pPr>
      <w:r>
        <w:rPr>
          <w:rFonts w:hint="eastAsia" w:ascii="宋体" w:hAnsi="宋体"/>
          <w:bCs/>
          <w:color w:val="000000"/>
          <w:sz w:val="24"/>
          <w:szCs w:val="24"/>
        </w:rPr>
        <w:t>5.供需双方确认：对本合同条款及后果均已知悉，一致确认不存在欺诈、胁迫、乘人之危、重大误解、显失公平等任何可能导致合同无效或被撤销的情形。</w:t>
      </w:r>
    </w:p>
    <w:p>
      <w:pPr>
        <w:snapToGrid w:val="0"/>
        <w:spacing w:line="336" w:lineRule="auto"/>
        <w:jc w:val="both"/>
        <w:rPr>
          <w:rFonts w:hint="eastAsia" w:ascii="宋体" w:hAnsi="宋体"/>
          <w:bCs/>
          <w:color w:val="000000"/>
          <w:sz w:val="24"/>
          <w:szCs w:val="24"/>
        </w:rPr>
      </w:pPr>
    </w:p>
    <w:p>
      <w:pPr>
        <w:snapToGrid w:val="0"/>
        <w:spacing w:line="336" w:lineRule="auto"/>
        <w:rPr>
          <w:rFonts w:hint="eastAsia" w:ascii="宋体" w:hAnsi="Calibri"/>
          <w:bCs/>
          <w:color w:val="000000"/>
          <w:sz w:val="24"/>
          <w:szCs w:val="24"/>
          <w:u w:val="single"/>
        </w:rPr>
      </w:pPr>
      <w:r>
        <w:rPr>
          <w:rFonts w:hint="eastAsia" w:ascii="宋体" w:hAnsi="宋体"/>
          <w:bCs/>
          <w:color w:val="000000"/>
          <w:sz w:val="24"/>
          <w:szCs w:val="24"/>
        </w:rPr>
        <w:t>需方（采购人）：（签章）                   供方（中标方）：（签章）</w:t>
      </w:r>
    </w:p>
    <w:p>
      <w:pPr>
        <w:snapToGrid w:val="0"/>
        <w:spacing w:line="336" w:lineRule="auto"/>
        <w:rPr>
          <w:rFonts w:hint="eastAsia" w:ascii="宋体" w:hAnsi="宋体"/>
          <w:bCs/>
          <w:color w:val="000000"/>
          <w:sz w:val="24"/>
          <w:szCs w:val="24"/>
        </w:rPr>
      </w:pPr>
      <w:r>
        <w:rPr>
          <w:rFonts w:hint="eastAsia" w:ascii="宋体" w:hAnsi="宋体"/>
          <w:bCs/>
          <w:color w:val="000000"/>
          <w:sz w:val="24"/>
          <w:szCs w:val="24"/>
        </w:rPr>
        <w:t>法定（授权）代表人：                     法定（授权）代表人：</w:t>
      </w:r>
    </w:p>
    <w:p>
      <w:pPr>
        <w:snapToGrid w:val="0"/>
        <w:spacing w:line="336" w:lineRule="auto"/>
        <w:rPr>
          <w:rFonts w:hint="eastAsia" w:ascii="宋体" w:hAnsi="宋体"/>
          <w:bCs/>
          <w:color w:val="000000"/>
          <w:sz w:val="24"/>
          <w:szCs w:val="24"/>
          <w:u w:val="single"/>
        </w:rPr>
      </w:pPr>
      <w:r>
        <w:rPr>
          <w:rFonts w:hint="eastAsia" w:ascii="宋体" w:hAnsi="宋体"/>
          <w:bCs/>
          <w:color w:val="000000"/>
          <w:sz w:val="24"/>
          <w:szCs w:val="24"/>
        </w:rPr>
        <w:t>地址：                                   地址：</w:t>
      </w:r>
    </w:p>
    <w:p>
      <w:pPr>
        <w:snapToGrid w:val="0"/>
        <w:spacing w:line="336" w:lineRule="auto"/>
        <w:ind w:firstLine="480" w:firstLineChars="200"/>
        <w:rPr>
          <w:rFonts w:hint="eastAsia" w:ascii="宋体" w:hAnsi="Calibri"/>
          <w:bCs/>
          <w:color w:val="000000"/>
          <w:sz w:val="24"/>
          <w:szCs w:val="24"/>
          <w:u w:val="single"/>
        </w:rPr>
      </w:pPr>
      <w:r>
        <w:rPr>
          <w:rFonts w:hint="eastAsia" w:ascii="宋体" w:hAnsi="宋体"/>
          <w:bCs/>
          <w:color w:val="000000"/>
          <w:sz w:val="24"/>
          <w:szCs w:val="24"/>
        </w:rPr>
        <w:t>年    月    日                           年      月       日</w:t>
      </w:r>
    </w:p>
    <w:p>
      <w:pPr>
        <w:snapToGrid w:val="0"/>
        <w:spacing w:line="336" w:lineRule="auto"/>
        <w:ind w:firstLine="480" w:firstLineChars="200"/>
        <w:rPr>
          <w:rFonts w:hint="eastAsia" w:ascii="宋体" w:hAnsi="宋体"/>
          <w:bCs/>
          <w:color w:val="000000"/>
          <w:sz w:val="24"/>
          <w:szCs w:val="24"/>
          <w:u w:val="single"/>
        </w:rPr>
      </w:pPr>
      <w:r>
        <w:rPr>
          <w:rFonts w:hint="eastAsia" w:ascii="宋体" w:hAnsi="宋体"/>
          <w:bCs/>
          <w:color w:val="000000"/>
          <w:sz w:val="24"/>
          <w:szCs w:val="24"/>
        </w:rPr>
        <w:t xml:space="preserve">                                     供方户名：</w:t>
      </w:r>
    </w:p>
    <w:p>
      <w:pPr>
        <w:snapToGrid w:val="0"/>
        <w:spacing w:line="336" w:lineRule="auto"/>
        <w:rPr>
          <w:rFonts w:hint="eastAsia" w:ascii="宋体" w:hAnsi="宋体"/>
          <w:bCs/>
          <w:color w:val="000000"/>
          <w:sz w:val="24"/>
          <w:szCs w:val="24"/>
          <w:u w:val="single"/>
        </w:rPr>
      </w:pPr>
      <w:r>
        <w:rPr>
          <w:rFonts w:hint="eastAsia" w:ascii="宋体" w:hAnsi="宋体"/>
          <w:bCs/>
          <w:color w:val="000000"/>
          <w:sz w:val="24"/>
          <w:szCs w:val="24"/>
        </w:rPr>
        <w:t xml:space="preserve">                                         供方开户银行：</w:t>
      </w:r>
    </w:p>
    <w:p>
      <w:pPr>
        <w:snapToGrid w:val="0"/>
        <w:spacing w:line="336" w:lineRule="auto"/>
        <w:ind w:firstLine="480" w:firstLineChars="200"/>
      </w:pPr>
      <w:r>
        <w:rPr>
          <w:rFonts w:hint="eastAsia" w:ascii="宋体" w:hAnsi="宋体"/>
          <w:bCs/>
          <w:color w:val="000000"/>
          <w:sz w:val="24"/>
          <w:szCs w:val="24"/>
        </w:rPr>
        <w:t xml:space="preserve">                                     供方帐号：</w:t>
      </w:r>
    </w:p>
    <w:p>
      <w:pPr>
        <w:jc w:val="center"/>
        <w:rPr>
          <w:rFonts w:ascii="黑体" w:eastAsia="黑体"/>
          <w:bCs/>
          <w:sz w:val="28"/>
          <w:szCs w:val="28"/>
        </w:rPr>
      </w:pPr>
      <w:r>
        <w:rPr>
          <w:rFonts w:hint="eastAsia" w:ascii="黑体" w:eastAsia="黑体"/>
          <w:bCs/>
          <w:sz w:val="28"/>
          <w:szCs w:val="28"/>
        </w:rPr>
        <w:t>六. 附件</w:t>
      </w:r>
    </w:p>
    <w:p>
      <w:pPr>
        <w:spacing w:line="360" w:lineRule="auto"/>
        <w:rPr>
          <w:rFonts w:ascii="宋体" w:hAnsi="宋体"/>
          <w:b/>
          <w:bCs/>
          <w:sz w:val="24"/>
          <w:szCs w:val="24"/>
        </w:rPr>
      </w:pPr>
      <w:r>
        <w:rPr>
          <w:rFonts w:hint="eastAsia" w:ascii="黑体" w:eastAsia="黑体"/>
          <w:bCs/>
          <w:sz w:val="24"/>
          <w:szCs w:val="24"/>
        </w:rPr>
        <w:t>附件一：评分标准</w:t>
      </w:r>
    </w:p>
    <w:p>
      <w:pPr>
        <w:tabs>
          <w:tab w:val="left" w:pos="945"/>
        </w:tabs>
        <w:spacing w:line="360" w:lineRule="auto"/>
        <w:ind w:left="1"/>
        <w:rPr>
          <w:rFonts w:ascii="宋体" w:hAnsi="宋体"/>
          <w:b/>
          <w:bCs/>
          <w:sz w:val="24"/>
          <w:szCs w:val="24"/>
        </w:rPr>
      </w:pPr>
      <w:r>
        <w:rPr>
          <w:rFonts w:hint="eastAsia" w:ascii="宋体" w:hAnsi="宋体"/>
          <w:b/>
          <w:bCs/>
          <w:sz w:val="24"/>
          <w:szCs w:val="24"/>
        </w:rPr>
        <w:t>Ⅰ 商务标（</w:t>
      </w:r>
      <w:r>
        <w:rPr>
          <w:rFonts w:hint="eastAsia" w:ascii="宋体" w:hAnsi="宋体"/>
          <w:b/>
          <w:bCs/>
          <w:sz w:val="24"/>
          <w:szCs w:val="24"/>
          <w:lang w:val="en-US" w:eastAsia="zh-CN"/>
        </w:rPr>
        <w:t>60</w:t>
      </w:r>
      <w:r>
        <w:rPr>
          <w:rFonts w:hint="eastAsia" w:ascii="宋体" w:hAnsi="宋体"/>
          <w:b/>
          <w:bCs/>
          <w:sz w:val="24"/>
          <w:szCs w:val="24"/>
        </w:rPr>
        <w:t>分）</w:t>
      </w:r>
    </w:p>
    <w:p>
      <w:pPr>
        <w:numPr>
          <w:ilvl w:val="4"/>
          <w:numId w:val="11"/>
        </w:numPr>
        <w:tabs>
          <w:tab w:val="left" w:pos="525"/>
          <w:tab w:val="left" w:pos="945"/>
          <w:tab w:val="left" w:pos="1155"/>
          <w:tab w:val="left" w:pos="1554"/>
        </w:tabs>
        <w:spacing w:line="360" w:lineRule="auto"/>
        <w:ind w:left="0" w:firstLine="480" w:firstLineChars="200"/>
        <w:rPr>
          <w:rFonts w:ascii="宋体" w:hAnsi="宋体"/>
          <w:b/>
          <w:bCs/>
          <w:sz w:val="24"/>
          <w:szCs w:val="24"/>
        </w:rPr>
      </w:pPr>
      <w:r>
        <w:rPr>
          <w:rFonts w:hint="eastAsia" w:ascii="宋体" w:hAnsi="宋体"/>
          <w:b/>
          <w:bCs/>
          <w:sz w:val="24"/>
          <w:szCs w:val="24"/>
        </w:rPr>
        <w:t>价格（</w:t>
      </w:r>
      <w:r>
        <w:rPr>
          <w:rFonts w:hint="eastAsia" w:ascii="宋体" w:hAnsi="宋体"/>
          <w:b/>
          <w:bCs/>
          <w:sz w:val="24"/>
          <w:szCs w:val="24"/>
          <w:lang w:val="en-US" w:eastAsia="zh-CN"/>
        </w:rPr>
        <w:t>15</w:t>
      </w:r>
      <w:r>
        <w:rPr>
          <w:rFonts w:hint="eastAsia" w:ascii="宋体" w:hAnsi="宋体"/>
          <w:b/>
          <w:bCs/>
          <w:sz w:val="24"/>
          <w:szCs w:val="24"/>
        </w:rPr>
        <w:t>分）：</w:t>
      </w:r>
    </w:p>
    <w:p>
      <w:pPr>
        <w:tabs>
          <w:tab w:val="left" w:pos="945"/>
          <w:tab w:val="left" w:pos="1155"/>
        </w:tabs>
        <w:spacing w:line="360" w:lineRule="auto"/>
        <w:ind w:firstLine="480" w:firstLineChars="200"/>
        <w:rPr>
          <w:rFonts w:ascii="宋体" w:hAnsi="宋体"/>
          <w:bCs/>
          <w:sz w:val="24"/>
          <w:szCs w:val="24"/>
        </w:rPr>
      </w:pPr>
      <w:r>
        <w:rPr>
          <w:rFonts w:hint="eastAsia" w:ascii="宋体" w:hAnsi="宋体"/>
          <w:bCs/>
          <w:sz w:val="24"/>
          <w:szCs w:val="24"/>
        </w:rPr>
        <w:t>采用低价优先法计算，即满足招标文件要求且投标价格最低的投标报价为评标基准价，其价格分为满分。其他投标人的价格分统一按照下列公式计算：</w:t>
      </w:r>
    </w:p>
    <w:p>
      <w:pPr>
        <w:tabs>
          <w:tab w:val="left" w:pos="945"/>
          <w:tab w:val="left" w:pos="1155"/>
        </w:tabs>
        <w:spacing w:line="360" w:lineRule="auto"/>
        <w:ind w:firstLine="480" w:firstLineChars="200"/>
        <w:rPr>
          <w:rFonts w:ascii="宋体" w:hAnsi="宋体"/>
          <w:bCs/>
          <w:sz w:val="24"/>
          <w:szCs w:val="24"/>
        </w:rPr>
      </w:pPr>
      <w:r>
        <w:rPr>
          <w:rFonts w:hint="eastAsia" w:ascii="宋体" w:hAnsi="宋体"/>
          <w:bCs/>
          <w:sz w:val="24"/>
          <w:szCs w:val="24"/>
        </w:rPr>
        <w:t>投标报价得分=(评标基准价／投标报价)×价格权值×100。</w:t>
      </w:r>
    </w:p>
    <w:p>
      <w:pPr>
        <w:spacing w:line="360" w:lineRule="auto"/>
        <w:ind w:firstLine="480" w:firstLineChars="200"/>
        <w:jc w:val="left"/>
        <w:rPr>
          <w:rFonts w:ascii="宋体" w:hAnsi="宋体"/>
          <w:bCs/>
          <w:color w:val="000000" w:themeColor="text1"/>
          <w:sz w:val="24"/>
          <w:szCs w:val="24"/>
          <w14:textFill>
            <w14:solidFill>
              <w14:schemeClr w14:val="tx1"/>
            </w14:solidFill>
          </w14:textFill>
        </w:rPr>
      </w:pPr>
      <w:r>
        <w:rPr>
          <w:rFonts w:hint="eastAsia" w:ascii="宋体" w:hAnsi="宋体"/>
          <w:bCs/>
          <w:sz w:val="24"/>
          <w:szCs w:val="24"/>
        </w:rPr>
        <w:t>价格扣除：</w:t>
      </w:r>
      <w:r>
        <w:rPr>
          <w:rFonts w:ascii="宋体" w:hAnsi="宋体"/>
          <w:bCs/>
          <w:color w:val="000000" w:themeColor="text1"/>
          <w:sz w:val="24"/>
          <w:szCs w:val="24"/>
          <w14:textFill>
            <w14:solidFill>
              <w14:schemeClr w14:val="tx1"/>
            </w14:solidFill>
          </w14:textFill>
        </w:rPr>
        <w:t>专门面向中小/小微企业的项目</w:t>
      </w:r>
      <w:r>
        <w:rPr>
          <w:rFonts w:hint="eastAsia" w:ascii="宋体" w:hAnsi="宋体"/>
          <w:bCs/>
          <w:color w:val="000000" w:themeColor="text1"/>
          <w:sz w:val="24"/>
          <w:szCs w:val="24"/>
          <w14:textFill>
            <w14:solidFill>
              <w14:schemeClr w14:val="tx1"/>
            </w14:solidFill>
          </w14:textFill>
        </w:rPr>
        <w:t>除外</w:t>
      </w:r>
      <w:r>
        <w:rPr>
          <w:rFonts w:ascii="宋体" w:hAnsi="宋体"/>
          <w:bCs/>
          <w:color w:val="000000" w:themeColor="text1"/>
          <w:sz w:val="24"/>
          <w:szCs w:val="24"/>
          <w14:textFill>
            <w14:solidFill>
              <w14:schemeClr w14:val="tx1"/>
            </w14:solidFill>
          </w14:textFill>
        </w:rPr>
        <w:t>。</w:t>
      </w:r>
    </w:p>
    <w:p>
      <w:pPr>
        <w:spacing w:line="360" w:lineRule="auto"/>
        <w:ind w:firstLine="480" w:firstLineChars="200"/>
        <w:jc w:val="left"/>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①对小型和微型企业产品的价格给予10</w:t>
      </w:r>
      <w:r>
        <w:rPr>
          <w:rFonts w:ascii="宋体" w:hAnsi="宋体"/>
          <w:bCs/>
          <w:color w:val="000000" w:themeColor="text1"/>
          <w:sz w:val="24"/>
          <w:szCs w:val="24"/>
          <w14:textFill>
            <w14:solidFill>
              <w14:schemeClr w14:val="tx1"/>
            </w14:solidFill>
          </w14:textFill>
        </w:rPr>
        <w:t>%</w:t>
      </w:r>
      <w:r>
        <w:rPr>
          <w:rFonts w:hint="eastAsia" w:ascii="宋体" w:hAnsi="宋体"/>
          <w:bCs/>
          <w:color w:val="000000" w:themeColor="text1"/>
          <w:sz w:val="24"/>
          <w:szCs w:val="24"/>
          <w14:textFill>
            <w14:solidFill>
              <w14:schemeClr w14:val="tx1"/>
            </w14:solidFill>
          </w14:textFill>
        </w:rPr>
        <w:t>的扣除，用扣除后的价格参与评审。参加投标的中小企业，应当按照《政府采购促进中小企业发展管理办法》</w:t>
      </w:r>
      <w:r>
        <w:rPr>
          <w:rFonts w:ascii="宋体" w:hAnsi="宋体"/>
          <w:bCs/>
          <w:color w:val="000000" w:themeColor="text1"/>
          <w:sz w:val="24"/>
          <w:szCs w:val="24"/>
          <w14:textFill>
            <w14:solidFill>
              <w14:schemeClr w14:val="tx1"/>
            </w14:solidFill>
          </w14:textFill>
        </w:rPr>
        <w:t>（财库﹝2020﹞46 号）</w:t>
      </w:r>
      <w:r>
        <w:rPr>
          <w:rFonts w:hint="eastAsia" w:ascii="宋体" w:hAnsi="宋体"/>
          <w:bCs/>
          <w:color w:val="000000" w:themeColor="text1"/>
          <w:sz w:val="24"/>
          <w:szCs w:val="24"/>
          <w14:textFill>
            <w14:solidFill>
              <w14:schemeClr w14:val="tx1"/>
            </w14:solidFill>
          </w14:textFill>
        </w:rPr>
        <w:t>的规定提供《中小企业声明函》（货物/</w:t>
      </w:r>
      <w:r>
        <w:rPr>
          <w:rFonts w:ascii="宋体" w:hAnsi="宋体"/>
          <w:bCs/>
          <w:color w:val="000000" w:themeColor="text1"/>
          <w:sz w:val="24"/>
          <w:szCs w:val="24"/>
          <w14:textFill>
            <w14:solidFill>
              <w14:schemeClr w14:val="tx1"/>
            </w14:solidFill>
          </w14:textFill>
        </w:rPr>
        <w:t>服务</w:t>
      </w:r>
      <w:r>
        <w:rPr>
          <w:rFonts w:hint="eastAsia" w:ascii="宋体" w:hAnsi="宋体"/>
          <w:bCs/>
          <w:color w:val="000000" w:themeColor="text1"/>
          <w:sz w:val="24"/>
          <w:szCs w:val="24"/>
          <w14:textFill>
            <w14:solidFill>
              <w14:schemeClr w14:val="tx1"/>
            </w14:solidFill>
          </w14:textFill>
        </w:rPr>
        <w:t>）（中小企业划型标准详见《关于印发中小企业划型标准规定的通知》工信部联企业〔</w:t>
      </w:r>
      <w:r>
        <w:rPr>
          <w:rFonts w:ascii="宋体" w:hAnsi="宋体"/>
          <w:bCs/>
          <w:color w:val="000000" w:themeColor="text1"/>
          <w:sz w:val="24"/>
          <w:szCs w:val="24"/>
          <w14:textFill>
            <w14:solidFill>
              <w14:schemeClr w14:val="tx1"/>
            </w14:solidFill>
          </w14:textFill>
        </w:rPr>
        <w:t>2011</w:t>
      </w:r>
      <w:r>
        <w:rPr>
          <w:rFonts w:hint="eastAsia" w:ascii="宋体" w:hAnsi="宋体"/>
          <w:bCs/>
          <w:color w:val="000000" w:themeColor="text1"/>
          <w:sz w:val="24"/>
          <w:szCs w:val="24"/>
          <w14:textFill>
            <w14:solidFill>
              <w14:schemeClr w14:val="tx1"/>
            </w14:solidFill>
          </w14:textFill>
        </w:rPr>
        <w:t>〕</w:t>
      </w:r>
      <w:r>
        <w:rPr>
          <w:rFonts w:ascii="宋体" w:hAnsi="宋体"/>
          <w:bCs/>
          <w:color w:val="000000" w:themeColor="text1"/>
          <w:sz w:val="24"/>
          <w:szCs w:val="24"/>
          <w14:textFill>
            <w14:solidFill>
              <w14:schemeClr w14:val="tx1"/>
            </w14:solidFill>
          </w14:textFill>
        </w:rPr>
        <w:t>300</w:t>
      </w:r>
      <w:r>
        <w:rPr>
          <w:rFonts w:hint="eastAsia" w:ascii="宋体" w:hAnsi="宋体"/>
          <w:bCs/>
          <w:color w:val="000000" w:themeColor="text1"/>
          <w:sz w:val="24"/>
          <w:szCs w:val="24"/>
          <w14:textFill>
            <w14:solidFill>
              <w14:schemeClr w14:val="tx1"/>
            </w14:solidFill>
          </w14:textFill>
        </w:rPr>
        <w:t>号）。</w:t>
      </w:r>
    </w:p>
    <w:p>
      <w:pPr>
        <w:spacing w:line="360" w:lineRule="auto"/>
        <w:ind w:firstLine="480" w:firstLineChars="200"/>
        <w:jc w:val="left"/>
        <w:rPr>
          <w:rFonts w:ascii="宋体" w:hAnsi="宋体"/>
          <w:bCs/>
          <w:color w:val="000000"/>
          <w:sz w:val="24"/>
          <w:szCs w:val="24"/>
        </w:rPr>
      </w:pPr>
      <w:r>
        <w:rPr>
          <w:rFonts w:hint="eastAsia" w:ascii="宋体" w:hAnsi="宋体"/>
          <w:bCs/>
          <w:color w:val="000000"/>
          <w:sz w:val="24"/>
          <w:szCs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pPr>
        <w:spacing w:line="360" w:lineRule="auto"/>
        <w:ind w:firstLine="480" w:firstLineChars="200"/>
        <w:jc w:val="left"/>
        <w:rPr>
          <w:rFonts w:ascii="宋体" w:hAnsi="宋体"/>
          <w:bCs/>
          <w:color w:val="000000"/>
          <w:sz w:val="24"/>
          <w:szCs w:val="24"/>
        </w:rPr>
      </w:pPr>
      <w:r>
        <w:rPr>
          <w:rFonts w:hint="eastAsia" w:ascii="宋体" w:hAnsi="宋体"/>
          <w:bCs/>
          <w:color w:val="000000"/>
          <w:sz w:val="24"/>
          <w:szCs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pPr>
        <w:tabs>
          <w:tab w:val="left" w:pos="945"/>
          <w:tab w:val="left" w:pos="1155"/>
        </w:tabs>
        <w:spacing w:line="360" w:lineRule="auto"/>
        <w:ind w:firstLine="480" w:firstLineChars="200"/>
        <w:rPr>
          <w:rFonts w:ascii="宋体" w:hAnsi="宋体"/>
          <w:bCs/>
          <w:sz w:val="24"/>
          <w:szCs w:val="24"/>
        </w:rPr>
      </w:pPr>
      <w:r>
        <w:rPr>
          <w:rFonts w:hint="eastAsia" w:ascii="宋体" w:hAnsi="宋体"/>
          <w:bCs/>
          <w:color w:val="000000"/>
          <w:sz w:val="24"/>
          <w:szCs w:val="24"/>
        </w:rPr>
        <w:t>同一投标人，上述三项价格扣除优惠不得重复享受。</w:t>
      </w:r>
    </w:p>
    <w:p>
      <w:pPr>
        <w:numPr>
          <w:ilvl w:val="4"/>
          <w:numId w:val="11"/>
        </w:numPr>
        <w:tabs>
          <w:tab w:val="left" w:pos="525"/>
          <w:tab w:val="left" w:pos="945"/>
          <w:tab w:val="left" w:pos="1155"/>
          <w:tab w:val="left" w:pos="3823"/>
        </w:tabs>
        <w:spacing w:line="360" w:lineRule="auto"/>
        <w:ind w:left="0" w:firstLine="480" w:firstLineChars="200"/>
        <w:rPr>
          <w:rFonts w:ascii="宋体" w:hAnsi="宋体"/>
          <w:b/>
          <w:bCs/>
          <w:sz w:val="24"/>
          <w:szCs w:val="24"/>
        </w:rPr>
      </w:pPr>
      <w:r>
        <w:rPr>
          <w:rFonts w:hint="eastAsia" w:ascii="宋体" w:hAnsi="宋体"/>
          <w:b/>
          <w:bCs/>
          <w:sz w:val="24"/>
          <w:szCs w:val="24"/>
        </w:rPr>
        <w:t>投标人综合情况（</w:t>
      </w:r>
      <w:r>
        <w:rPr>
          <w:rFonts w:hint="eastAsia" w:ascii="宋体" w:hAnsi="宋体"/>
          <w:b/>
          <w:bCs/>
          <w:sz w:val="24"/>
          <w:szCs w:val="24"/>
          <w:lang w:val="en-US" w:eastAsia="zh-CN"/>
        </w:rPr>
        <w:t>33</w:t>
      </w:r>
      <w:r>
        <w:rPr>
          <w:rFonts w:hint="eastAsia" w:ascii="宋体" w:hAnsi="宋体"/>
          <w:b/>
          <w:bCs/>
          <w:sz w:val="24"/>
          <w:szCs w:val="24"/>
        </w:rPr>
        <w:t>分）：</w:t>
      </w:r>
    </w:p>
    <w:p>
      <w:pPr>
        <w:tabs>
          <w:tab w:val="left" w:pos="510"/>
        </w:tabs>
        <w:spacing w:line="360" w:lineRule="auto"/>
        <w:ind w:firstLine="480" w:firstLineChars="200"/>
        <w:rPr>
          <w:rFonts w:ascii="宋体" w:hAnsi="宋体"/>
          <w:b/>
          <w:bCs/>
          <w:sz w:val="24"/>
          <w:szCs w:val="24"/>
        </w:rPr>
      </w:pPr>
      <w:r>
        <w:rPr>
          <w:rFonts w:hint="eastAsia" w:ascii="宋体" w:hAnsi="宋体"/>
          <w:bCs/>
          <w:sz w:val="24"/>
          <w:szCs w:val="24"/>
        </w:rPr>
        <w:fldChar w:fldCharType="begin"/>
      </w:r>
      <w:r>
        <w:rPr>
          <w:rFonts w:hint="eastAsia" w:ascii="宋体" w:hAnsi="宋体"/>
          <w:bCs/>
          <w:sz w:val="24"/>
          <w:szCs w:val="24"/>
        </w:rPr>
        <w:instrText xml:space="preserve"> = 1 \* GB3 \* MERGEFORMAT </w:instrText>
      </w:r>
      <w:r>
        <w:rPr>
          <w:rFonts w:hint="eastAsia" w:ascii="宋体" w:hAnsi="宋体"/>
          <w:bCs/>
          <w:sz w:val="24"/>
          <w:szCs w:val="24"/>
        </w:rPr>
        <w:fldChar w:fldCharType="separate"/>
      </w:r>
      <w:r>
        <w:rPr>
          <w:rFonts w:hint="eastAsia" w:ascii="宋体" w:hAnsi="宋体"/>
          <w:bCs/>
          <w:sz w:val="24"/>
          <w:szCs w:val="24"/>
        </w:rPr>
        <w:t>①</w:t>
      </w:r>
      <w:r>
        <w:rPr>
          <w:rFonts w:hint="eastAsia" w:ascii="宋体" w:hAnsi="宋体"/>
          <w:bCs/>
          <w:sz w:val="24"/>
          <w:szCs w:val="24"/>
        </w:rPr>
        <w:fldChar w:fldCharType="end"/>
      </w:r>
      <w:r>
        <w:rPr>
          <w:rFonts w:hint="eastAsia" w:ascii="宋体"/>
          <w:bCs/>
          <w:color w:val="000000" w:themeColor="text1"/>
          <w:sz w:val="24"/>
          <w:szCs w:val="24"/>
          <w14:textFill>
            <w14:solidFill>
              <w14:schemeClr w14:val="tx1"/>
            </w14:solidFill>
          </w14:textFill>
        </w:rPr>
        <w:t>业绩（</w:t>
      </w:r>
      <w:r>
        <w:rPr>
          <w:rFonts w:hint="eastAsia" w:ascii="宋体"/>
          <w:bCs/>
          <w:color w:val="000000" w:themeColor="text1"/>
          <w:sz w:val="24"/>
          <w:szCs w:val="24"/>
          <w:lang w:val="en-US" w:eastAsia="zh-CN"/>
          <w14:textFill>
            <w14:solidFill>
              <w14:schemeClr w14:val="tx1"/>
            </w14:solidFill>
          </w14:textFill>
        </w:rPr>
        <w:t>4</w:t>
      </w:r>
      <w:r>
        <w:rPr>
          <w:rFonts w:hint="eastAsia" w:ascii="宋体"/>
          <w:bCs/>
          <w:color w:val="000000" w:themeColor="text1"/>
          <w:sz w:val="24"/>
          <w:szCs w:val="24"/>
          <w14:textFill>
            <w14:solidFill>
              <w14:schemeClr w14:val="tx1"/>
            </w14:solidFill>
          </w14:textFill>
        </w:rPr>
        <w:t>分）：投标人自201</w:t>
      </w:r>
      <w:r>
        <w:rPr>
          <w:rFonts w:hint="eastAsia" w:ascii="宋体"/>
          <w:bCs/>
          <w:color w:val="000000" w:themeColor="text1"/>
          <w:sz w:val="24"/>
          <w:szCs w:val="24"/>
          <w:lang w:val="en-US" w:eastAsia="zh-CN"/>
          <w14:textFill>
            <w14:solidFill>
              <w14:schemeClr w14:val="tx1"/>
            </w14:solidFill>
          </w14:textFill>
        </w:rPr>
        <w:t>9</w:t>
      </w:r>
      <w:r>
        <w:rPr>
          <w:rFonts w:hint="eastAsia" w:ascii="宋体"/>
          <w:bCs/>
          <w:color w:val="000000" w:themeColor="text1"/>
          <w:sz w:val="24"/>
          <w:szCs w:val="24"/>
          <w14:textFill>
            <w14:solidFill>
              <w14:schemeClr w14:val="tx1"/>
            </w14:solidFill>
          </w14:textFill>
        </w:rPr>
        <w:t>年1月1日至本项目投标截止日的类似项目的成功案例，每提供一个案例合同得1分，最多得</w:t>
      </w:r>
      <w:r>
        <w:rPr>
          <w:rFonts w:hint="eastAsia" w:ascii="宋体"/>
          <w:bCs/>
          <w:color w:val="000000" w:themeColor="text1"/>
          <w:sz w:val="24"/>
          <w:szCs w:val="24"/>
          <w:lang w:val="en-US" w:eastAsia="zh-CN"/>
          <w14:textFill>
            <w14:solidFill>
              <w14:schemeClr w14:val="tx1"/>
            </w14:solidFill>
          </w14:textFill>
        </w:rPr>
        <w:t>4</w:t>
      </w:r>
      <w:r>
        <w:rPr>
          <w:rFonts w:hint="eastAsia" w:ascii="宋体"/>
          <w:bCs/>
          <w:color w:val="000000" w:themeColor="text1"/>
          <w:sz w:val="24"/>
          <w:szCs w:val="24"/>
          <w14:textFill>
            <w14:solidFill>
              <w14:schemeClr w14:val="tx1"/>
            </w14:solidFill>
          </w14:textFill>
        </w:rPr>
        <w:t>分，合同复印件</w:t>
      </w:r>
      <w:r>
        <w:rPr>
          <w:rFonts w:hint="eastAsia" w:ascii="宋体"/>
          <w:bCs/>
          <w:color w:val="000000" w:themeColor="text1"/>
          <w:sz w:val="24"/>
          <w:szCs w:val="24"/>
          <w:lang w:val="en-US" w:eastAsia="zh-CN"/>
          <w14:textFill>
            <w14:solidFill>
              <w14:schemeClr w14:val="tx1"/>
            </w14:solidFill>
          </w14:textFill>
        </w:rPr>
        <w:t>或扫描件</w:t>
      </w:r>
      <w:r>
        <w:rPr>
          <w:rFonts w:hint="eastAsia" w:ascii="宋体"/>
          <w:bCs/>
          <w:color w:val="000000" w:themeColor="text1"/>
          <w:sz w:val="24"/>
          <w:szCs w:val="24"/>
          <w14:textFill>
            <w14:solidFill>
              <w14:schemeClr w14:val="tx1"/>
            </w14:solidFill>
          </w14:textFill>
        </w:rPr>
        <w:t>须装订在投标文件中</w:t>
      </w:r>
      <w:r>
        <w:rPr>
          <w:rFonts w:hint="eastAsia" w:ascii="宋体"/>
          <w:bCs/>
          <w:color w:val="000000" w:themeColor="text1"/>
          <w:sz w:val="24"/>
          <w:szCs w:val="24"/>
          <w:lang w:val="en-US" w:eastAsia="zh-CN"/>
          <w14:textFill>
            <w14:solidFill>
              <w14:schemeClr w14:val="tx1"/>
            </w14:solidFill>
          </w14:textFill>
        </w:rPr>
        <w:t>否则不得分</w:t>
      </w:r>
      <w:r>
        <w:rPr>
          <w:rFonts w:hint="eastAsia" w:ascii="宋体"/>
          <w:bCs/>
          <w:color w:val="000000" w:themeColor="text1"/>
          <w:sz w:val="24"/>
          <w:szCs w:val="24"/>
          <w14:textFill>
            <w14:solidFill>
              <w14:schemeClr w14:val="tx1"/>
            </w14:solidFill>
          </w14:textFill>
        </w:rPr>
        <w:t>。</w:t>
      </w:r>
    </w:p>
    <w:p>
      <w:pPr>
        <w:numPr>
          <w:ilvl w:val="0"/>
          <w:numId w:val="0"/>
        </w:numPr>
        <w:tabs>
          <w:tab w:val="left" w:pos="510"/>
        </w:tabs>
        <w:spacing w:line="360" w:lineRule="auto"/>
        <w:ind w:firstLine="480" w:firstLineChars="200"/>
        <w:rPr>
          <w:rFonts w:hint="eastAsia" w:ascii="宋体"/>
          <w:bCs/>
          <w:color w:val="000000" w:themeColor="text1"/>
          <w:sz w:val="24"/>
          <w:szCs w:val="24"/>
          <w14:textFill>
            <w14:solidFill>
              <w14:schemeClr w14:val="tx1"/>
            </w14:solidFill>
          </w14:textFill>
        </w:rPr>
      </w:pPr>
      <w:r>
        <w:rPr>
          <w:rFonts w:hint="eastAsia" w:ascii="宋体" w:hAnsi="宋体"/>
          <w:bCs/>
          <w:sz w:val="24"/>
          <w:szCs w:val="24"/>
        </w:rPr>
        <w:fldChar w:fldCharType="begin"/>
      </w:r>
      <w:r>
        <w:rPr>
          <w:rFonts w:hint="eastAsia" w:ascii="宋体" w:hAnsi="宋体"/>
          <w:bCs/>
          <w:sz w:val="24"/>
          <w:szCs w:val="24"/>
        </w:rPr>
        <w:instrText xml:space="preserve"> = 2 \* GB3 \* MERGEFORMAT </w:instrText>
      </w:r>
      <w:r>
        <w:rPr>
          <w:rFonts w:hint="eastAsia" w:ascii="宋体" w:hAnsi="宋体"/>
          <w:bCs/>
          <w:sz w:val="24"/>
          <w:szCs w:val="24"/>
        </w:rPr>
        <w:fldChar w:fldCharType="separate"/>
      </w:r>
      <w:r>
        <w:rPr>
          <w:rFonts w:hint="eastAsia" w:ascii="宋体" w:hAnsi="宋体"/>
          <w:bCs/>
          <w:sz w:val="24"/>
          <w:szCs w:val="24"/>
        </w:rPr>
        <w:t>②</w:t>
      </w:r>
      <w:r>
        <w:rPr>
          <w:rFonts w:hint="eastAsia" w:ascii="宋体" w:hAnsi="宋体"/>
          <w:bCs/>
          <w:sz w:val="24"/>
          <w:szCs w:val="24"/>
        </w:rPr>
        <w:fldChar w:fldCharType="end"/>
      </w:r>
      <w:r>
        <w:rPr>
          <w:rFonts w:hint="eastAsia" w:ascii="宋体"/>
          <w:bCs/>
          <w:color w:val="000000" w:themeColor="text1"/>
          <w:sz w:val="24"/>
          <w:szCs w:val="24"/>
          <w14:textFill>
            <w14:solidFill>
              <w14:schemeClr w14:val="tx1"/>
            </w14:solidFill>
          </w14:textFill>
        </w:rPr>
        <w:t>证书（</w:t>
      </w:r>
      <w:r>
        <w:rPr>
          <w:rFonts w:hint="eastAsia" w:ascii="宋体"/>
          <w:bCs/>
          <w:color w:val="000000" w:themeColor="text1"/>
          <w:sz w:val="24"/>
          <w:szCs w:val="24"/>
          <w:lang w:val="en-US" w:eastAsia="zh-CN"/>
          <w14:textFill>
            <w14:solidFill>
              <w14:schemeClr w14:val="tx1"/>
            </w14:solidFill>
          </w14:textFill>
        </w:rPr>
        <w:t>6</w:t>
      </w:r>
      <w:r>
        <w:rPr>
          <w:rFonts w:hint="eastAsia" w:ascii="宋体"/>
          <w:bCs/>
          <w:color w:val="000000" w:themeColor="text1"/>
          <w:sz w:val="24"/>
          <w:szCs w:val="24"/>
          <w14:textFill>
            <w14:solidFill>
              <w14:schemeClr w14:val="tx1"/>
            </w14:solidFill>
          </w14:textFill>
        </w:rPr>
        <w:t>分）：</w:t>
      </w:r>
      <w:r>
        <w:rPr>
          <w:rFonts w:hint="eastAsia" w:ascii="宋体"/>
          <w:bCs/>
          <w:color w:val="000000" w:themeColor="text1"/>
          <w:sz w:val="24"/>
          <w:szCs w:val="24"/>
          <w:lang w:val="en-US" w:eastAsia="zh-CN"/>
          <w14:textFill>
            <w14:solidFill>
              <w14:schemeClr w14:val="tx1"/>
            </w14:solidFill>
          </w14:textFill>
        </w:rPr>
        <w:t>以下</w:t>
      </w:r>
      <w:r>
        <w:rPr>
          <w:rFonts w:hint="eastAsia" w:ascii="宋体"/>
          <w:bCs/>
          <w:color w:val="000000" w:themeColor="text1"/>
          <w:sz w:val="24"/>
          <w:szCs w:val="24"/>
          <w14:textFill>
            <w14:solidFill>
              <w14:schemeClr w14:val="tx1"/>
            </w14:solidFill>
          </w14:textFill>
        </w:rPr>
        <w:t>证书复印件加盖公章装订在投标文件中，否则不得分。</w:t>
      </w:r>
    </w:p>
    <w:p>
      <w:pPr>
        <w:numPr>
          <w:ilvl w:val="0"/>
          <w:numId w:val="43"/>
        </w:numPr>
        <w:spacing w:line="360" w:lineRule="auto"/>
        <w:ind w:firstLine="480" w:firstLineChars="200"/>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投标人具有CCRC信息安全服务资质认证证书得2分；</w:t>
      </w:r>
    </w:p>
    <w:p>
      <w:pPr>
        <w:numPr>
          <w:ilvl w:val="0"/>
          <w:numId w:val="43"/>
        </w:numPr>
        <w:spacing w:line="360" w:lineRule="auto"/>
        <w:ind w:firstLine="480" w:firstLineChars="200"/>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具有信息技术服务运行维护标准ITSS二级（含）以上认证证书得2分；</w:t>
      </w:r>
    </w:p>
    <w:p>
      <w:pPr>
        <w:spacing w:line="360" w:lineRule="auto"/>
        <w:ind w:firstLine="480" w:firstLineChars="200"/>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lang w:val="en-US" w:eastAsia="zh-CN"/>
        </w:rPr>
        <w:t>c.具有效期内CMMI5认证证书得2分；</w:t>
      </w:r>
    </w:p>
    <w:p>
      <w:pPr>
        <w:tabs>
          <w:tab w:val="left" w:pos="945"/>
          <w:tab w:val="left" w:pos="1155"/>
        </w:tabs>
        <w:spacing w:line="360" w:lineRule="auto"/>
        <w:ind w:firstLine="480" w:firstLineChars="200"/>
        <w:rPr>
          <w:rFonts w:ascii="宋体" w:hAnsi="宋体"/>
          <w:bCs/>
          <w:sz w:val="24"/>
          <w:szCs w:val="24"/>
        </w:rPr>
      </w:pPr>
      <w:r>
        <w:rPr>
          <w:rFonts w:hint="eastAsia" w:ascii="宋体" w:hAnsi="宋体"/>
          <w:bCs/>
          <w:sz w:val="24"/>
          <w:szCs w:val="24"/>
        </w:rPr>
        <w:t>③项目人员配置（</w:t>
      </w:r>
      <w:r>
        <w:rPr>
          <w:rFonts w:hint="eastAsia" w:ascii="宋体" w:hAnsi="宋体"/>
          <w:bCs/>
          <w:sz w:val="24"/>
          <w:szCs w:val="24"/>
          <w:lang w:val="en-US" w:eastAsia="zh-CN"/>
        </w:rPr>
        <w:t>13</w:t>
      </w:r>
      <w:r>
        <w:rPr>
          <w:rFonts w:hint="eastAsia" w:ascii="宋体" w:hAnsi="宋体"/>
          <w:bCs/>
          <w:sz w:val="24"/>
          <w:szCs w:val="24"/>
        </w:rPr>
        <w:t xml:space="preserve">分）： </w:t>
      </w:r>
    </w:p>
    <w:p>
      <w:pPr>
        <w:spacing w:line="360" w:lineRule="auto"/>
        <w:ind w:firstLine="480" w:firstLineChars="200"/>
        <w:rPr>
          <w:sz w:val="24"/>
          <w:szCs w:val="22"/>
        </w:rPr>
      </w:pPr>
      <w:r>
        <w:rPr>
          <w:rFonts w:hint="eastAsia" w:ascii="宋体" w:hAnsi="宋体"/>
          <w:bCs/>
          <w:sz w:val="24"/>
          <w:szCs w:val="24"/>
        </w:rPr>
        <w:t>a.项目</w:t>
      </w:r>
      <w:r>
        <w:rPr>
          <w:rFonts w:hint="eastAsia" w:ascii="宋体" w:hAnsi="宋体"/>
          <w:bCs/>
          <w:sz w:val="24"/>
          <w:szCs w:val="24"/>
          <w:lang w:val="en-US" w:eastAsia="zh-CN"/>
        </w:rPr>
        <w:t>经理</w:t>
      </w:r>
      <w:r>
        <w:rPr>
          <w:rFonts w:hint="eastAsia" w:ascii="宋体" w:hAnsi="宋体"/>
          <w:bCs/>
          <w:sz w:val="24"/>
          <w:szCs w:val="24"/>
        </w:rPr>
        <w:t>（3分）：项目经理一人，具备高级信息系统项目管理师证书得</w:t>
      </w:r>
      <w:r>
        <w:rPr>
          <w:rFonts w:ascii="宋体" w:hAnsi="宋体"/>
          <w:bCs/>
          <w:sz w:val="24"/>
          <w:szCs w:val="24"/>
        </w:rPr>
        <w:t>1</w:t>
      </w:r>
      <w:r>
        <w:rPr>
          <w:rFonts w:hint="eastAsia" w:ascii="宋体" w:hAnsi="宋体"/>
          <w:bCs/>
          <w:sz w:val="24"/>
          <w:szCs w:val="24"/>
        </w:rPr>
        <w:t>分，同时具</w:t>
      </w:r>
      <w:r>
        <w:rPr>
          <w:rFonts w:hint="eastAsia" w:ascii="宋体" w:hAnsi="宋体"/>
          <w:bCs/>
          <w:sz w:val="24"/>
          <w:szCs w:val="24"/>
          <w:highlight w:val="none"/>
        </w:rPr>
        <w:t>有高级工程师</w:t>
      </w:r>
      <w:r>
        <w:rPr>
          <w:rFonts w:hint="eastAsia" w:ascii="宋体" w:hAnsi="宋体"/>
          <w:bCs/>
          <w:sz w:val="24"/>
          <w:szCs w:val="24"/>
          <w:highlight w:val="none"/>
          <w:lang w:val="en-US" w:eastAsia="zh-CN"/>
        </w:rPr>
        <w:t>职称资格</w:t>
      </w:r>
      <w:r>
        <w:rPr>
          <w:rFonts w:hint="eastAsia" w:ascii="宋体" w:hAnsi="宋体"/>
          <w:bCs/>
          <w:sz w:val="24"/>
          <w:szCs w:val="24"/>
          <w:highlight w:val="none"/>
        </w:rPr>
        <w:t>证书得</w:t>
      </w:r>
      <w:r>
        <w:rPr>
          <w:rFonts w:ascii="宋体" w:hAnsi="宋体"/>
          <w:bCs/>
          <w:sz w:val="24"/>
          <w:szCs w:val="24"/>
          <w:highlight w:val="none"/>
        </w:rPr>
        <w:t>1</w:t>
      </w:r>
      <w:r>
        <w:rPr>
          <w:rFonts w:hint="eastAsia" w:ascii="宋体" w:hAnsi="宋体"/>
          <w:bCs/>
          <w:sz w:val="24"/>
          <w:szCs w:val="24"/>
          <w:highlight w:val="none"/>
        </w:rPr>
        <w:t>分</w:t>
      </w:r>
      <w:r>
        <w:rPr>
          <w:rFonts w:hint="eastAsia" w:ascii="宋体" w:hAnsi="宋体"/>
          <w:bCs/>
          <w:sz w:val="24"/>
          <w:szCs w:val="24"/>
        </w:rPr>
        <w:t>，同时具有注册信息安全管理人员（CISP) 证书得</w:t>
      </w:r>
      <w:r>
        <w:rPr>
          <w:rFonts w:ascii="宋体" w:hAnsi="宋体"/>
          <w:bCs/>
          <w:sz w:val="24"/>
          <w:szCs w:val="24"/>
        </w:rPr>
        <w:t>1</w:t>
      </w:r>
      <w:r>
        <w:rPr>
          <w:rFonts w:hint="eastAsia" w:ascii="宋体" w:hAnsi="宋体"/>
          <w:bCs/>
          <w:sz w:val="24"/>
          <w:szCs w:val="24"/>
        </w:rPr>
        <w:t>分，最多得</w:t>
      </w:r>
      <w:r>
        <w:rPr>
          <w:rFonts w:ascii="宋体" w:hAnsi="宋体"/>
          <w:bCs/>
          <w:sz w:val="24"/>
          <w:szCs w:val="24"/>
        </w:rPr>
        <w:t>3</w:t>
      </w:r>
      <w:r>
        <w:rPr>
          <w:rFonts w:hint="eastAsia" w:ascii="宋体" w:hAnsi="宋体"/>
          <w:bCs/>
          <w:sz w:val="24"/>
          <w:szCs w:val="24"/>
        </w:rPr>
        <w:t>分。</w:t>
      </w:r>
    </w:p>
    <w:p>
      <w:pPr>
        <w:pStyle w:val="74"/>
        <w:tabs>
          <w:tab w:val="left" w:pos="945"/>
          <w:tab w:val="left" w:pos="1155"/>
        </w:tabs>
        <w:spacing w:line="360" w:lineRule="auto"/>
        <w:ind w:firstLine="480"/>
        <w:rPr>
          <w:rFonts w:ascii="宋体" w:hAnsi="宋体"/>
          <w:bCs/>
          <w:sz w:val="24"/>
          <w:szCs w:val="24"/>
        </w:rPr>
      </w:pPr>
      <w:r>
        <w:rPr>
          <w:rFonts w:hint="eastAsia" w:ascii="宋体" w:hAnsi="宋体"/>
          <w:bCs/>
          <w:sz w:val="24"/>
          <w:szCs w:val="24"/>
        </w:rPr>
        <w:t>以投标人填列的《项目人员配置清单》及按要求提供的证明材料（人员证书复印件和连续六个月(至少包含近六个月中任意一个月份(不含投标当月))的社保缴纳证明材料）为准。</w:t>
      </w:r>
      <w:r>
        <w:rPr>
          <w:rFonts w:hint="eastAsia" w:ascii="宋体" w:hAnsi="宋体"/>
          <w:bCs/>
          <w:sz w:val="24"/>
          <w:szCs w:val="24"/>
          <w:lang w:val="en-US" w:eastAsia="zh-CN"/>
        </w:rPr>
        <w:t>证明材料</w:t>
      </w:r>
      <w:r>
        <w:rPr>
          <w:rFonts w:hint="eastAsia" w:ascii="宋体"/>
          <w:bCs/>
          <w:sz w:val="24"/>
          <w:szCs w:val="24"/>
        </w:rPr>
        <w:t>须装订在</w:t>
      </w:r>
      <w:r>
        <w:rPr>
          <w:rFonts w:hint="eastAsia" w:ascii="宋体"/>
          <w:bCs/>
          <w:color w:val="000000" w:themeColor="text1"/>
          <w:sz w:val="24"/>
          <w:szCs w:val="24"/>
          <w14:textFill>
            <w14:solidFill>
              <w14:schemeClr w14:val="tx1"/>
            </w14:solidFill>
          </w14:textFill>
        </w:rPr>
        <w:t>投标文件中</w:t>
      </w:r>
      <w:r>
        <w:rPr>
          <w:rFonts w:hint="eastAsia" w:ascii="宋体"/>
          <w:bCs/>
          <w:color w:val="000000" w:themeColor="text1"/>
          <w:sz w:val="24"/>
          <w:szCs w:val="24"/>
          <w:lang w:eastAsia="zh-CN"/>
          <w14:textFill>
            <w14:solidFill>
              <w14:schemeClr w14:val="tx1"/>
            </w14:solidFill>
          </w14:textFill>
        </w:rPr>
        <w:t>，</w:t>
      </w:r>
      <w:r>
        <w:rPr>
          <w:rFonts w:hint="eastAsia" w:ascii="宋体"/>
          <w:bCs/>
          <w:color w:val="000000" w:themeColor="text1"/>
          <w:sz w:val="24"/>
          <w:szCs w:val="24"/>
          <w14:textFill>
            <w14:solidFill>
              <w14:schemeClr w14:val="tx1"/>
            </w14:solidFill>
          </w14:textFill>
        </w:rPr>
        <w:t>否则不得分。</w:t>
      </w:r>
    </w:p>
    <w:p>
      <w:pPr>
        <w:tabs>
          <w:tab w:val="left" w:pos="945"/>
          <w:tab w:val="left" w:pos="987"/>
          <w:tab w:val="left" w:pos="1155"/>
        </w:tabs>
        <w:spacing w:line="360" w:lineRule="auto"/>
        <w:ind w:firstLine="480" w:firstLineChars="200"/>
        <w:rPr>
          <w:rFonts w:ascii="宋体"/>
          <w:bCs/>
          <w:color w:val="000000" w:themeColor="text1"/>
          <w:sz w:val="24"/>
          <w:szCs w:val="24"/>
          <w14:textFill>
            <w14:solidFill>
              <w14:schemeClr w14:val="tx1"/>
            </w14:solidFill>
          </w14:textFill>
        </w:rPr>
      </w:pPr>
      <w:r>
        <w:rPr>
          <w:rFonts w:hint="eastAsia" w:ascii="宋体" w:hAnsi="宋体"/>
          <w:bCs/>
          <w:sz w:val="24"/>
          <w:szCs w:val="24"/>
        </w:rPr>
        <w:t>b.</w:t>
      </w:r>
      <w:r>
        <w:rPr>
          <w:rFonts w:hint="eastAsia" w:ascii="宋体"/>
          <w:bCs/>
          <w:sz w:val="24"/>
          <w:szCs w:val="24"/>
        </w:rPr>
        <w:t xml:space="preserve"> </w:t>
      </w:r>
      <w:r>
        <w:rPr>
          <w:rFonts w:hint="eastAsia" w:ascii="宋体"/>
          <w:bCs/>
          <w:color w:val="000000" w:themeColor="text1"/>
          <w:sz w:val="24"/>
          <w:szCs w:val="24"/>
          <w:lang w:val="en-US" w:eastAsia="zh-CN"/>
          <w14:textFill>
            <w14:solidFill>
              <w14:schemeClr w14:val="tx1"/>
            </w14:solidFill>
          </w14:textFill>
        </w:rPr>
        <w:t>项目成员</w:t>
      </w:r>
      <w:r>
        <w:rPr>
          <w:rFonts w:hint="eastAsia" w:ascii="宋体"/>
          <w:bCs/>
          <w:color w:val="000000" w:themeColor="text1"/>
          <w:sz w:val="24"/>
          <w:szCs w:val="24"/>
          <w14:textFill>
            <w14:solidFill>
              <w14:schemeClr w14:val="tx1"/>
            </w14:solidFill>
          </w14:textFill>
        </w:rPr>
        <w:t>（</w:t>
      </w:r>
      <w:r>
        <w:rPr>
          <w:rFonts w:hint="eastAsia" w:ascii="宋体"/>
          <w:bCs/>
          <w:color w:val="000000" w:themeColor="text1"/>
          <w:sz w:val="24"/>
          <w:szCs w:val="24"/>
          <w:lang w:val="en-US" w:eastAsia="zh-CN"/>
          <w14:textFill>
            <w14:solidFill>
              <w14:schemeClr w14:val="tx1"/>
            </w14:solidFill>
          </w14:textFill>
        </w:rPr>
        <w:t>10</w:t>
      </w:r>
      <w:r>
        <w:rPr>
          <w:rFonts w:hint="eastAsia" w:ascii="宋体"/>
          <w:bCs/>
          <w:color w:val="000000" w:themeColor="text1"/>
          <w:sz w:val="24"/>
          <w:szCs w:val="24"/>
          <w14:textFill>
            <w14:solidFill>
              <w14:schemeClr w14:val="tx1"/>
            </w14:solidFill>
          </w14:textFill>
        </w:rPr>
        <w:t>分）：</w:t>
      </w:r>
      <w:r>
        <w:rPr>
          <w:rFonts w:ascii="宋体"/>
          <w:bCs/>
          <w:color w:val="000000" w:themeColor="text1"/>
          <w:sz w:val="24"/>
          <w:szCs w:val="24"/>
          <w14:textFill>
            <w14:solidFill>
              <w14:schemeClr w14:val="tx1"/>
            </w14:solidFill>
          </w14:textFill>
        </w:rPr>
        <w:t xml:space="preserve"> </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1、项目组成员具备软件设计师证书，有1个得1分，最高不超过2分。</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2、项目组成员具备高级系统架构设计师证书，有1个得1分，最高不超过2分。</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3、项目组成员具备高级系统分析师证书得1分。</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4、项目组成员具备高级网络规划设计师证书得1分。</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5、项目组成员具备高级智能化系统集成项目经理证书得1分。</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6、项目组成员具备高级网络技术工程师证书得1分。</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7、项目组成员具备高级IT运维工程师证书得1分。</w:t>
      </w:r>
    </w:p>
    <w:p>
      <w:pPr>
        <w:tabs>
          <w:tab w:val="left" w:pos="298"/>
        </w:tabs>
        <w:adjustRightInd w:val="0"/>
        <w:snapToGrid w:val="0"/>
        <w:spacing w:line="440" w:lineRule="exact"/>
        <w:ind w:firstLine="480" w:firstLineChars="200"/>
        <w:jc w:val="left"/>
        <w:rPr>
          <w:rFonts w:hint="eastAsia" w:ascii="宋体" w:hAnsi="宋体"/>
          <w:bCs/>
          <w:sz w:val="24"/>
          <w:szCs w:val="24"/>
          <w:lang w:val="en-US" w:eastAsia="zh-CN"/>
        </w:rPr>
      </w:pPr>
      <w:r>
        <w:rPr>
          <w:rFonts w:hint="eastAsia" w:ascii="宋体" w:hAnsi="宋体"/>
          <w:bCs/>
          <w:sz w:val="24"/>
          <w:szCs w:val="24"/>
          <w:lang w:val="en-US" w:eastAsia="zh-CN"/>
        </w:rPr>
        <w:t>8、项目组成员具备网络与信息安全应急人员证书得1分。</w:t>
      </w:r>
    </w:p>
    <w:p>
      <w:pPr>
        <w:pStyle w:val="74"/>
        <w:tabs>
          <w:tab w:val="left" w:pos="945"/>
          <w:tab w:val="left" w:pos="1155"/>
        </w:tabs>
        <w:spacing w:line="360" w:lineRule="auto"/>
        <w:ind w:firstLine="480"/>
        <w:rPr>
          <w:rFonts w:hint="eastAsia" w:ascii="宋体"/>
          <w:bCs/>
          <w:color w:val="000000" w:themeColor="text1"/>
          <w:sz w:val="24"/>
          <w:szCs w:val="24"/>
          <w14:textFill>
            <w14:solidFill>
              <w14:schemeClr w14:val="tx1"/>
            </w14:solidFill>
          </w14:textFill>
        </w:rPr>
      </w:pPr>
      <w:r>
        <w:rPr>
          <w:rFonts w:hint="eastAsia" w:ascii="宋体" w:hAnsi="宋体"/>
          <w:bCs/>
          <w:sz w:val="24"/>
          <w:szCs w:val="24"/>
        </w:rPr>
        <w:t>以投标人填列的《项目人员配置清单》及按要求提供的证明材料（人员证书复印件和连续三个月(至少包含近三个月中任意一个月份(不含投标当月))的社保缴纳证明材料）为准。</w:t>
      </w:r>
      <w:r>
        <w:rPr>
          <w:rFonts w:hint="eastAsia" w:ascii="宋体" w:hAnsi="宋体"/>
          <w:bCs/>
          <w:sz w:val="24"/>
          <w:szCs w:val="24"/>
          <w:lang w:val="en-US" w:eastAsia="zh-CN"/>
        </w:rPr>
        <w:t>证明材料</w:t>
      </w:r>
      <w:r>
        <w:rPr>
          <w:rFonts w:hint="eastAsia" w:ascii="宋体"/>
          <w:bCs/>
          <w:sz w:val="24"/>
          <w:szCs w:val="24"/>
        </w:rPr>
        <w:t>须装订在</w:t>
      </w:r>
      <w:r>
        <w:rPr>
          <w:rFonts w:hint="eastAsia" w:ascii="宋体"/>
          <w:bCs/>
          <w:color w:val="000000" w:themeColor="text1"/>
          <w:sz w:val="24"/>
          <w:szCs w:val="24"/>
          <w14:textFill>
            <w14:solidFill>
              <w14:schemeClr w14:val="tx1"/>
            </w14:solidFill>
          </w14:textFill>
        </w:rPr>
        <w:t>投标文件中</w:t>
      </w:r>
      <w:r>
        <w:rPr>
          <w:rFonts w:hint="eastAsia" w:ascii="宋体"/>
          <w:bCs/>
          <w:color w:val="000000" w:themeColor="text1"/>
          <w:sz w:val="24"/>
          <w:szCs w:val="24"/>
          <w:lang w:eastAsia="zh-CN"/>
          <w14:textFill>
            <w14:solidFill>
              <w14:schemeClr w14:val="tx1"/>
            </w14:solidFill>
          </w14:textFill>
        </w:rPr>
        <w:t>，</w:t>
      </w:r>
      <w:r>
        <w:rPr>
          <w:rFonts w:hint="eastAsia" w:ascii="宋体"/>
          <w:bCs/>
          <w:color w:val="000000" w:themeColor="text1"/>
          <w:sz w:val="24"/>
          <w:szCs w:val="24"/>
          <w14:textFill>
            <w14:solidFill>
              <w14:schemeClr w14:val="tx1"/>
            </w14:solidFill>
          </w14:textFill>
        </w:rPr>
        <w:t>否则不得分。</w:t>
      </w:r>
    </w:p>
    <w:p>
      <w:pPr>
        <w:pStyle w:val="74"/>
        <w:numPr>
          <w:ilvl w:val="0"/>
          <w:numId w:val="0"/>
        </w:numPr>
        <w:tabs>
          <w:tab w:val="left" w:pos="945"/>
          <w:tab w:val="left" w:pos="1155"/>
        </w:tabs>
        <w:spacing w:line="360" w:lineRule="auto"/>
        <w:ind w:leftChars="218"/>
        <w:rPr>
          <w:rFonts w:hint="eastAsia" w:ascii="宋体" w:hAnsi="宋体" w:eastAsiaTheme="minorEastAsia" w:cstheme="minorBidi"/>
          <w:bCs/>
          <w:sz w:val="24"/>
          <w:szCs w:val="24"/>
        </w:rPr>
      </w:pPr>
      <w:r>
        <w:rPr>
          <w:rFonts w:hint="eastAsia" w:ascii="宋体" w:hAnsi="宋体" w:cstheme="minorBidi"/>
          <w:bCs/>
          <w:sz w:val="24"/>
          <w:szCs w:val="24"/>
        </w:rPr>
        <w:t>④</w:t>
      </w:r>
      <w:r>
        <w:rPr>
          <w:rFonts w:hint="eastAsia" w:ascii="宋体" w:hAnsi="宋体"/>
          <w:sz w:val="24"/>
          <w:szCs w:val="24"/>
          <w:lang w:val="en-US" w:eastAsia="zh-CN"/>
        </w:rPr>
        <w:t>调研</w:t>
      </w:r>
      <w:r>
        <w:rPr>
          <w:rFonts w:hint="eastAsia" w:ascii="宋体" w:hAnsi="宋体" w:eastAsiaTheme="minorEastAsia" w:cstheme="minorBidi"/>
          <w:bCs/>
          <w:sz w:val="24"/>
          <w:szCs w:val="24"/>
        </w:rPr>
        <w:t>和承诺函（</w:t>
      </w:r>
      <w:r>
        <w:rPr>
          <w:rFonts w:hint="eastAsia" w:ascii="宋体" w:hAnsi="宋体" w:cstheme="minorBidi"/>
          <w:bCs/>
          <w:sz w:val="24"/>
          <w:szCs w:val="24"/>
          <w:lang w:val="en-US" w:eastAsia="zh-CN"/>
        </w:rPr>
        <w:t>9</w:t>
      </w:r>
      <w:r>
        <w:rPr>
          <w:rFonts w:hint="eastAsia" w:ascii="宋体" w:hAnsi="宋体" w:eastAsiaTheme="minorEastAsia" w:cstheme="minorBidi"/>
          <w:bCs/>
          <w:sz w:val="24"/>
          <w:szCs w:val="24"/>
        </w:rPr>
        <w:t>分）：</w:t>
      </w:r>
    </w:p>
    <w:p>
      <w:pPr>
        <w:spacing w:line="360" w:lineRule="auto"/>
        <w:ind w:firstLine="480" w:firstLineChars="200"/>
        <w:jc w:val="left"/>
        <w:rPr>
          <w:rFonts w:hint="eastAsia" w:ascii="宋体" w:hAnsi="宋体"/>
          <w:bCs/>
          <w:sz w:val="24"/>
          <w:szCs w:val="24"/>
          <w:highlight w:val="none"/>
        </w:rPr>
      </w:pPr>
      <w:r>
        <w:rPr>
          <w:rFonts w:hint="eastAsia" w:ascii="宋体" w:hAnsi="宋体"/>
          <w:bCs/>
          <w:sz w:val="24"/>
          <w:szCs w:val="24"/>
          <w:lang w:val="en-US" w:eastAsia="zh-CN"/>
        </w:rPr>
        <w:t>a.</w:t>
      </w:r>
      <w:r>
        <w:rPr>
          <w:rFonts w:hint="eastAsia" w:ascii="宋体" w:hAnsi="宋体"/>
          <w:bCs/>
          <w:sz w:val="24"/>
          <w:szCs w:val="24"/>
        </w:rPr>
        <w:t>（</w:t>
      </w:r>
      <w:r>
        <w:rPr>
          <w:rFonts w:hint="eastAsia" w:ascii="宋体" w:hAnsi="宋体"/>
          <w:bCs/>
          <w:sz w:val="24"/>
          <w:szCs w:val="24"/>
          <w:lang w:val="en-US" w:eastAsia="zh-CN"/>
        </w:rPr>
        <w:t>4</w:t>
      </w:r>
      <w:r>
        <w:rPr>
          <w:rFonts w:hint="eastAsia" w:ascii="宋体" w:hAnsi="宋体"/>
          <w:bCs/>
          <w:sz w:val="24"/>
          <w:szCs w:val="24"/>
        </w:rPr>
        <w:t>分）为更好的规划新医院总体实施方案，完成相应的建设目标，投标人需对医院现有医疗信息系统现状进行调研，出具现有HIS系统和病历系统针对各类评级对标的调研报告，调研报告需加盖HIS系统和</w:t>
      </w:r>
      <w:r>
        <w:rPr>
          <w:rFonts w:hint="eastAsia" w:ascii="宋体" w:hAnsi="宋体"/>
          <w:bCs/>
          <w:sz w:val="24"/>
          <w:szCs w:val="24"/>
          <w:highlight w:val="none"/>
        </w:rPr>
        <w:t>病历系统原厂商公章，每提供一项得</w:t>
      </w:r>
      <w:r>
        <w:rPr>
          <w:rFonts w:ascii="宋体" w:hAnsi="宋体"/>
          <w:bCs/>
          <w:sz w:val="24"/>
          <w:szCs w:val="24"/>
          <w:highlight w:val="none"/>
        </w:rPr>
        <w:t>2</w:t>
      </w:r>
      <w:r>
        <w:rPr>
          <w:rFonts w:hint="eastAsia" w:ascii="宋体" w:hAnsi="宋体"/>
          <w:bCs/>
          <w:sz w:val="24"/>
          <w:szCs w:val="24"/>
          <w:highlight w:val="none"/>
        </w:rPr>
        <w:t>分，最多得</w:t>
      </w:r>
      <w:r>
        <w:rPr>
          <w:rFonts w:ascii="宋体" w:hAnsi="宋体"/>
          <w:bCs/>
          <w:sz w:val="24"/>
          <w:szCs w:val="24"/>
          <w:highlight w:val="none"/>
        </w:rPr>
        <w:t>4</w:t>
      </w:r>
      <w:r>
        <w:rPr>
          <w:rFonts w:hint="eastAsia" w:ascii="宋体" w:hAnsi="宋体"/>
          <w:bCs/>
          <w:sz w:val="24"/>
          <w:szCs w:val="24"/>
          <w:highlight w:val="none"/>
        </w:rPr>
        <w:t>分。</w:t>
      </w:r>
    </w:p>
    <w:p>
      <w:pPr>
        <w:spacing w:line="360" w:lineRule="auto"/>
        <w:ind w:firstLine="480" w:firstLineChars="200"/>
        <w:jc w:val="left"/>
        <w:rPr>
          <w:rFonts w:hint="eastAsia" w:ascii="宋体" w:hAnsi="宋体"/>
          <w:bCs/>
          <w:sz w:val="24"/>
          <w:szCs w:val="24"/>
          <w:highlight w:val="none"/>
          <w:u w:val="none"/>
        </w:rPr>
      </w:pPr>
      <w:r>
        <w:rPr>
          <w:rFonts w:hint="eastAsia" w:ascii="宋体" w:hAnsi="宋体"/>
          <w:bCs/>
          <w:sz w:val="24"/>
          <w:szCs w:val="24"/>
          <w:highlight w:val="none"/>
          <w:lang w:val="en-US" w:eastAsia="zh-CN"/>
        </w:rPr>
        <w:t>b.</w:t>
      </w:r>
      <w:r>
        <w:rPr>
          <w:rFonts w:hint="eastAsia" w:ascii="宋体" w:hAnsi="宋体"/>
          <w:bCs/>
          <w:sz w:val="24"/>
          <w:szCs w:val="24"/>
          <w:highlight w:val="none"/>
        </w:rPr>
        <w:t>（</w:t>
      </w:r>
      <w:r>
        <w:rPr>
          <w:rFonts w:hint="eastAsia" w:ascii="宋体" w:hAnsi="宋体"/>
          <w:bCs/>
          <w:sz w:val="24"/>
          <w:szCs w:val="24"/>
          <w:highlight w:val="none"/>
          <w:lang w:val="en-US" w:eastAsia="zh-CN"/>
        </w:rPr>
        <w:t>4</w:t>
      </w:r>
      <w:r>
        <w:rPr>
          <w:rFonts w:hint="eastAsia" w:ascii="宋体" w:hAnsi="宋体"/>
          <w:bCs/>
          <w:sz w:val="24"/>
          <w:szCs w:val="24"/>
          <w:highlight w:val="none"/>
        </w:rPr>
        <w:t>分）投标人具有医疗核心业务系统中医疗管理系统（HIS）针对本项目的服务承诺函原件，提供加盖原厂商公章的承诺函原件得</w:t>
      </w:r>
      <w:r>
        <w:rPr>
          <w:rFonts w:ascii="宋体" w:hAnsi="宋体"/>
          <w:bCs/>
          <w:sz w:val="24"/>
          <w:szCs w:val="24"/>
          <w:highlight w:val="none"/>
        </w:rPr>
        <w:t>2</w:t>
      </w:r>
      <w:r>
        <w:rPr>
          <w:rFonts w:hint="eastAsia" w:ascii="宋体" w:hAnsi="宋体"/>
          <w:bCs/>
          <w:sz w:val="24"/>
          <w:szCs w:val="24"/>
          <w:highlight w:val="none"/>
        </w:rPr>
        <w:t>分</w:t>
      </w:r>
      <w:r>
        <w:rPr>
          <w:rFonts w:hint="eastAsia" w:ascii="宋体" w:hAnsi="宋体"/>
          <w:bCs/>
          <w:sz w:val="24"/>
          <w:szCs w:val="24"/>
          <w:highlight w:val="none"/>
          <w:lang w:eastAsia="zh-CN"/>
        </w:rPr>
        <w:t>；</w:t>
      </w:r>
      <w:r>
        <w:rPr>
          <w:rFonts w:hint="eastAsia" w:ascii="宋体" w:hAnsi="宋体"/>
          <w:bCs/>
          <w:sz w:val="24"/>
          <w:szCs w:val="24"/>
          <w:highlight w:val="none"/>
        </w:rPr>
        <w:t>投标人具有医疗核心业务系统中临床信息系统（门诊医生站、住院医生站、住院护士站等）针对本项目的服务承诺函原件，提供加盖原厂商公章的承诺函原件得</w:t>
      </w:r>
      <w:r>
        <w:rPr>
          <w:rFonts w:hint="eastAsia" w:ascii="宋体" w:hAnsi="宋体"/>
          <w:bCs/>
          <w:sz w:val="24"/>
          <w:szCs w:val="24"/>
          <w:highlight w:val="none"/>
          <w:lang w:val="en-US" w:eastAsia="zh-CN"/>
        </w:rPr>
        <w:t>2</w:t>
      </w:r>
      <w:r>
        <w:rPr>
          <w:rFonts w:hint="eastAsia" w:ascii="宋体" w:hAnsi="宋体"/>
          <w:bCs/>
          <w:sz w:val="24"/>
          <w:szCs w:val="24"/>
          <w:highlight w:val="none"/>
        </w:rPr>
        <w:t>分。</w:t>
      </w:r>
    </w:p>
    <w:p>
      <w:pPr>
        <w:pStyle w:val="2"/>
        <w:ind w:firstLine="480" w:firstLineChars="200"/>
        <w:rPr>
          <w:rFonts w:hint="default" w:ascii="宋体" w:hAnsi="宋体" w:eastAsia="宋体" w:cs="Times New Roman"/>
          <w:bCs/>
          <w:kern w:val="2"/>
          <w:sz w:val="24"/>
          <w:szCs w:val="24"/>
          <w:highlight w:val="none"/>
          <w:lang w:val="en-US" w:eastAsia="zh-CN" w:bidi="ar-SA"/>
        </w:rPr>
      </w:pPr>
      <w:r>
        <w:rPr>
          <w:rFonts w:hint="eastAsia" w:ascii="宋体" w:hAnsi="宋体" w:eastAsia="宋体" w:cs="Times New Roman"/>
          <w:bCs/>
          <w:kern w:val="2"/>
          <w:sz w:val="24"/>
          <w:szCs w:val="24"/>
          <w:highlight w:val="none"/>
          <w:lang w:val="en-US" w:eastAsia="zh-CN" w:bidi="ar-SA"/>
        </w:rPr>
        <w:t>c.(1分）投标人提供原厂质保服务承诺函，加盖公章得1分。</w:t>
      </w:r>
    </w:p>
    <w:p>
      <w:pPr>
        <w:tabs>
          <w:tab w:val="left" w:pos="846"/>
          <w:tab w:val="left" w:pos="945"/>
          <w:tab w:val="left" w:pos="1155"/>
        </w:tabs>
        <w:spacing w:line="360" w:lineRule="auto"/>
        <w:ind w:firstLine="480" w:firstLineChars="200"/>
        <w:rPr>
          <w:rFonts w:ascii="宋体" w:hAnsi="宋体" w:eastAsiaTheme="minorEastAsia" w:cstheme="minorBidi"/>
          <w:bCs/>
          <w:sz w:val="24"/>
          <w:szCs w:val="24"/>
        </w:rPr>
      </w:pPr>
      <w:r>
        <w:rPr>
          <w:rFonts w:hint="eastAsia" w:ascii="宋体" w:hAnsi="宋体"/>
          <w:bCs/>
          <w:sz w:val="24"/>
          <w:szCs w:val="24"/>
          <w:highlight w:val="none"/>
        </w:rPr>
        <w:t>⑤</w:t>
      </w:r>
      <w:r>
        <w:rPr>
          <w:rFonts w:hint="eastAsia" w:ascii="宋体"/>
          <w:bCs/>
          <w:sz w:val="24"/>
          <w:szCs w:val="24"/>
          <w:highlight w:val="none"/>
        </w:rPr>
        <w:t>本地化服务（</w:t>
      </w:r>
      <w:r>
        <w:rPr>
          <w:rFonts w:hint="eastAsia" w:ascii="宋体"/>
          <w:bCs/>
          <w:sz w:val="24"/>
          <w:szCs w:val="24"/>
          <w:highlight w:val="none"/>
          <w:lang w:val="en-US" w:eastAsia="zh-CN"/>
        </w:rPr>
        <w:t>1</w:t>
      </w:r>
      <w:r>
        <w:rPr>
          <w:rFonts w:hint="eastAsia" w:ascii="宋体"/>
          <w:bCs/>
          <w:sz w:val="24"/>
          <w:szCs w:val="24"/>
          <w:highlight w:val="none"/>
        </w:rPr>
        <w:t>分）：本地投标人不需提供资料。</w:t>
      </w:r>
      <w:r>
        <w:rPr>
          <w:rFonts w:hint="eastAsia" w:ascii="宋体"/>
          <w:bCs/>
          <w:sz w:val="24"/>
          <w:szCs w:val="24"/>
        </w:rPr>
        <w:t>投标人不在本地的，须在本地设立常驻售后服务机构或派驻本地服务人员，并提供本地办公场所（自有的或租赁的）相关证明复印件或本项目所有售后服务相关人员连续三个月(至少包含近三个月中任意一个月份(不含投标当月))的社保缴纳证明材料复印件。</w:t>
      </w:r>
    </w:p>
    <w:p>
      <w:pPr>
        <w:pStyle w:val="74"/>
        <w:numPr>
          <w:ilvl w:val="0"/>
          <w:numId w:val="0"/>
        </w:numPr>
        <w:tabs>
          <w:tab w:val="left" w:pos="846"/>
          <w:tab w:val="left" w:pos="945"/>
          <w:tab w:val="left" w:pos="1155"/>
        </w:tabs>
        <w:spacing w:line="360" w:lineRule="auto"/>
        <w:ind w:leftChars="0" w:firstLine="480" w:firstLineChars="200"/>
        <w:outlineLvl w:val="2"/>
        <w:rPr>
          <w:rFonts w:hint="eastAsia" w:ascii="宋体" w:hAnsi="宋体"/>
          <w:b/>
          <w:bCs/>
          <w:sz w:val="24"/>
          <w:szCs w:val="24"/>
        </w:rPr>
      </w:pPr>
      <w:r>
        <w:rPr>
          <w:rFonts w:hint="eastAsia" w:ascii="宋体" w:hAnsi="宋体"/>
          <w:b/>
          <w:bCs/>
          <w:sz w:val="24"/>
          <w:szCs w:val="24"/>
        </w:rPr>
        <w:t>（3）产品</w:t>
      </w:r>
      <w:r>
        <w:rPr>
          <w:rFonts w:hint="eastAsia" w:ascii="宋体" w:hAnsi="宋体"/>
          <w:b/>
          <w:bCs/>
          <w:sz w:val="24"/>
          <w:szCs w:val="24"/>
          <w:lang w:val="en-US" w:eastAsia="zh-CN"/>
        </w:rPr>
        <w:t>与技术</w:t>
      </w:r>
      <w:r>
        <w:rPr>
          <w:rFonts w:hint="eastAsia" w:ascii="宋体" w:hAnsi="宋体"/>
          <w:b/>
          <w:bCs/>
          <w:sz w:val="24"/>
          <w:szCs w:val="24"/>
        </w:rPr>
        <w:t>（</w:t>
      </w:r>
      <w:r>
        <w:rPr>
          <w:rFonts w:hint="eastAsia" w:ascii="宋体" w:hAnsi="宋体"/>
          <w:b/>
          <w:bCs/>
          <w:sz w:val="24"/>
          <w:szCs w:val="24"/>
          <w:lang w:val="en-US" w:eastAsia="zh-CN"/>
        </w:rPr>
        <w:t>10</w:t>
      </w:r>
      <w:r>
        <w:rPr>
          <w:rFonts w:hint="eastAsia" w:ascii="宋体" w:hAnsi="宋体"/>
          <w:b/>
          <w:bCs/>
          <w:sz w:val="24"/>
          <w:szCs w:val="24"/>
        </w:rPr>
        <w:t>分）：</w:t>
      </w:r>
    </w:p>
    <w:p>
      <w:pPr>
        <w:pStyle w:val="74"/>
        <w:numPr>
          <w:ilvl w:val="0"/>
          <w:numId w:val="0"/>
        </w:numPr>
        <w:tabs>
          <w:tab w:val="left" w:pos="846"/>
          <w:tab w:val="left" w:pos="945"/>
          <w:tab w:val="left" w:pos="1155"/>
        </w:tabs>
        <w:spacing w:line="360" w:lineRule="auto"/>
        <w:ind w:leftChars="0" w:firstLine="480" w:firstLineChars="200"/>
        <w:outlineLvl w:val="2"/>
        <w:rPr>
          <w:rFonts w:hint="eastAsia" w:ascii="宋体" w:hAnsi="宋体"/>
          <w:b w:val="0"/>
          <w:bCs w:val="0"/>
          <w:sz w:val="24"/>
          <w:szCs w:val="24"/>
        </w:rPr>
      </w:pPr>
      <w:r>
        <w:rPr>
          <w:rFonts w:hint="eastAsia" w:ascii="宋体" w:hAnsi="宋体"/>
          <w:b w:val="0"/>
          <w:bCs w:val="0"/>
          <w:sz w:val="24"/>
          <w:szCs w:val="24"/>
        </w:rPr>
        <w:t>①投标人所投医疗影像工作站能够提供中文版性能优化软件,支持不少于15个ISV厂商，专业显卡驱动自动依据ISV应用匹配，系统BIOS自动依据ISV应用优化设置，超过100个主流DCC/CAD/CAE/GIS应用，应用时性能提升超过25%，有优化Autodesk® 3Ds Max的选项。提供官网截图或软件证明文件并加盖原厂商公章得2分。</w:t>
      </w:r>
    </w:p>
    <w:p>
      <w:pPr>
        <w:pStyle w:val="74"/>
        <w:numPr>
          <w:ilvl w:val="0"/>
          <w:numId w:val="0"/>
        </w:numPr>
        <w:tabs>
          <w:tab w:val="left" w:pos="846"/>
          <w:tab w:val="left" w:pos="945"/>
          <w:tab w:val="left" w:pos="1155"/>
        </w:tabs>
        <w:spacing w:line="360" w:lineRule="auto"/>
        <w:ind w:leftChars="0" w:firstLine="480" w:firstLineChars="200"/>
        <w:outlineLvl w:val="2"/>
        <w:rPr>
          <w:rFonts w:hint="eastAsia" w:ascii="宋体" w:hAnsi="宋体"/>
          <w:b w:val="0"/>
          <w:bCs w:val="0"/>
          <w:sz w:val="24"/>
          <w:szCs w:val="24"/>
        </w:rPr>
      </w:pPr>
      <w:r>
        <w:rPr>
          <w:rFonts w:hint="eastAsia" w:ascii="宋体" w:hAnsi="宋体"/>
          <w:b w:val="0"/>
          <w:bCs w:val="0"/>
          <w:sz w:val="24"/>
          <w:szCs w:val="24"/>
        </w:rPr>
        <w:t>②投标人所投医疗影像工作站能够提供正版远程图形软件。实现工作站的集中管理，远程预览、远程操控、协同工作。为确保在100M/1000M网络下良好运行，要求压缩比不低于170:1。支持AES 256-bit 信号加密，支持远程3D图形传输协议。该应用软件须能在各品牌工作站平台上安装。提供官网截图或软件证明文件并加盖原厂商公章得2分。</w:t>
      </w:r>
    </w:p>
    <w:p>
      <w:pPr>
        <w:pStyle w:val="74"/>
        <w:numPr>
          <w:ilvl w:val="0"/>
          <w:numId w:val="0"/>
        </w:numPr>
        <w:tabs>
          <w:tab w:val="left" w:pos="846"/>
          <w:tab w:val="left" w:pos="945"/>
          <w:tab w:val="left" w:pos="1155"/>
        </w:tabs>
        <w:spacing w:line="360" w:lineRule="auto"/>
        <w:ind w:leftChars="0" w:firstLine="480" w:firstLineChars="200"/>
        <w:outlineLvl w:val="2"/>
        <w:rPr>
          <w:rFonts w:hint="eastAsia" w:ascii="宋体" w:hAnsi="宋体"/>
          <w:b w:val="0"/>
          <w:bCs w:val="0"/>
          <w:sz w:val="24"/>
          <w:szCs w:val="24"/>
        </w:rPr>
      </w:pPr>
      <w:r>
        <w:rPr>
          <w:rFonts w:hint="eastAsia" w:ascii="宋体" w:hAnsi="宋体"/>
          <w:b w:val="0"/>
          <w:bCs w:val="0"/>
          <w:sz w:val="24"/>
          <w:szCs w:val="24"/>
        </w:rPr>
        <w:t>③投标人所投手麻重症产品配套的采集套件能够提供第三方权威检测机构出具的检验报告，检验报告需涵盖GB4943.1-2011《信息技术设备安全第1部分：通用要求》中的内容，以确保该采集套件安全运行，该报告的颁发形成时间应不晚于此次标书发布时间，否则无效。提供检验报告复印件并加盖原厂商公章得2分。</w:t>
      </w:r>
    </w:p>
    <w:p>
      <w:pPr>
        <w:pStyle w:val="74"/>
        <w:numPr>
          <w:ilvl w:val="0"/>
          <w:numId w:val="0"/>
        </w:numPr>
        <w:tabs>
          <w:tab w:val="left" w:pos="846"/>
          <w:tab w:val="left" w:pos="945"/>
          <w:tab w:val="left" w:pos="1155"/>
        </w:tabs>
        <w:spacing w:line="360" w:lineRule="auto"/>
        <w:ind w:leftChars="0" w:firstLine="480" w:firstLineChars="200"/>
        <w:outlineLvl w:val="2"/>
        <w:rPr>
          <w:rFonts w:hint="eastAsia" w:ascii="宋体" w:hAnsi="宋体"/>
          <w:b w:val="0"/>
          <w:bCs w:val="0"/>
          <w:sz w:val="24"/>
          <w:szCs w:val="24"/>
        </w:rPr>
      </w:pPr>
      <w:r>
        <w:rPr>
          <w:rFonts w:hint="eastAsia" w:ascii="宋体" w:hAnsi="宋体"/>
          <w:b w:val="0"/>
          <w:bCs w:val="0"/>
          <w:sz w:val="24"/>
          <w:szCs w:val="24"/>
        </w:rPr>
        <w:t>④投标人所投资产可视化管理系统配套硬件可以实现视频监控与设备设置关联后,设备报警时可自动弹出对应区域实时视频联动画面。提供国家认可的评测中心关于该功能测试报告复印件并加盖原厂商公章得2分。</w:t>
      </w:r>
    </w:p>
    <w:p>
      <w:pPr>
        <w:pStyle w:val="74"/>
        <w:numPr>
          <w:ilvl w:val="0"/>
          <w:numId w:val="0"/>
        </w:numPr>
        <w:tabs>
          <w:tab w:val="left" w:pos="846"/>
          <w:tab w:val="left" w:pos="945"/>
          <w:tab w:val="left" w:pos="1155"/>
        </w:tabs>
        <w:spacing w:line="360" w:lineRule="auto"/>
        <w:ind w:leftChars="0" w:firstLine="480" w:firstLineChars="200"/>
        <w:outlineLvl w:val="2"/>
        <w:rPr>
          <w:rFonts w:hint="eastAsia" w:ascii="宋体" w:hAnsi="宋体"/>
          <w:b w:val="0"/>
          <w:bCs w:val="0"/>
          <w:sz w:val="24"/>
          <w:szCs w:val="24"/>
        </w:rPr>
      </w:pPr>
      <w:r>
        <w:rPr>
          <w:rFonts w:hint="eastAsia" w:ascii="宋体" w:hAnsi="宋体"/>
          <w:b w:val="0"/>
          <w:bCs w:val="0"/>
          <w:sz w:val="24"/>
          <w:szCs w:val="24"/>
        </w:rPr>
        <w:t>⑤投标人所投资产可视化管理系统配套硬件支持APP端查看关联点位的实时视频。支持多路视频查看，在平面图上标注视频点位后，点击视频符号即可查看关联点位的实时视频。提供国家认可的评测中心关于该功能测试报告复印件并加盖原厂商公章得2分。</w:t>
      </w:r>
    </w:p>
    <w:p>
      <w:pPr>
        <w:tabs>
          <w:tab w:val="left" w:pos="945"/>
          <w:tab w:val="left" w:pos="1155"/>
          <w:tab w:val="left" w:pos="1271"/>
          <w:tab w:val="left" w:pos="3823"/>
        </w:tabs>
        <w:spacing w:line="360" w:lineRule="auto"/>
        <w:ind w:firstLine="480" w:firstLineChars="200"/>
        <w:rPr>
          <w:rFonts w:ascii="宋体" w:hAnsi="宋体"/>
          <w:b/>
          <w:bCs/>
          <w:sz w:val="24"/>
          <w:szCs w:val="24"/>
        </w:rPr>
      </w:pPr>
      <w:r>
        <w:rPr>
          <w:rFonts w:hint="eastAsia" w:ascii="宋体" w:hAnsi="宋体"/>
          <w:b/>
          <w:bCs/>
          <w:sz w:val="24"/>
          <w:szCs w:val="24"/>
        </w:rPr>
        <w:t>（4）商务标投标文件的评价（2分）：</w:t>
      </w:r>
      <w:r>
        <w:rPr>
          <w:rFonts w:hint="eastAsia" w:ascii="宋体" w:hAnsi="宋体"/>
          <w:bCs/>
          <w:sz w:val="24"/>
          <w:szCs w:val="24"/>
        </w:rPr>
        <w:t>制作规范性和表述清晰程度。</w:t>
      </w:r>
    </w:p>
    <w:p>
      <w:pPr>
        <w:tabs>
          <w:tab w:val="left" w:pos="945"/>
          <w:tab w:val="left" w:pos="1155"/>
          <w:tab w:val="left" w:pos="1271"/>
          <w:tab w:val="left" w:pos="3823"/>
        </w:tabs>
        <w:spacing w:line="360" w:lineRule="auto"/>
        <w:ind w:firstLine="480" w:firstLineChars="200"/>
        <w:rPr>
          <w:rFonts w:ascii="宋体" w:hAnsi="宋体"/>
          <w:b/>
          <w:bCs/>
          <w:sz w:val="24"/>
          <w:szCs w:val="24"/>
        </w:rPr>
      </w:pPr>
      <w:r>
        <w:rPr>
          <w:rFonts w:hint="eastAsia" w:ascii="宋体" w:hAnsi="宋体" w:cs="宋体"/>
          <w:b/>
          <w:bCs/>
          <w:sz w:val="24"/>
          <w:szCs w:val="24"/>
        </w:rPr>
        <w:t>（5）加分因素：</w:t>
      </w:r>
      <w:r>
        <w:rPr>
          <w:rFonts w:hint="eastAsia" w:ascii="宋体" w:hAnsi="宋体" w:cs="宋体"/>
          <w:bCs/>
          <w:sz w:val="24"/>
          <w:szCs w:val="24"/>
        </w:rPr>
        <w:t>依据财政部、发展改革委发布的《节能产品政府采购品目清单》和财政部、生态环境部发布的《环境标志产品政府采购品目清单》，投标产品为政府采购节能（政府强制采购节能产品除外）、环保产品分别加1分（投标时须提供所投产品由国家确定的认证机构出具的、处于有效期之内的节能产品认证证书复印件、环境标志产品认证证书复印件，否则不得分）。</w:t>
      </w:r>
    </w:p>
    <w:p>
      <w:pPr>
        <w:tabs>
          <w:tab w:val="left" w:pos="945"/>
          <w:tab w:val="left" w:pos="1155"/>
        </w:tabs>
        <w:spacing w:line="360" w:lineRule="auto"/>
        <w:rPr>
          <w:rFonts w:ascii="宋体" w:hAnsi="宋体"/>
          <w:b/>
          <w:bCs/>
          <w:sz w:val="24"/>
          <w:szCs w:val="24"/>
        </w:rPr>
      </w:pPr>
      <w:r>
        <w:rPr>
          <w:rFonts w:hint="eastAsia" w:ascii="宋体" w:hAnsi="宋体"/>
          <w:b/>
          <w:bCs/>
          <w:sz w:val="24"/>
          <w:szCs w:val="24"/>
        </w:rPr>
        <w:t>Ⅱ 技术标（</w:t>
      </w:r>
      <w:r>
        <w:rPr>
          <w:rFonts w:hint="eastAsia" w:ascii="宋体" w:hAnsi="宋体"/>
          <w:b/>
          <w:bCs/>
          <w:sz w:val="24"/>
          <w:szCs w:val="24"/>
          <w:lang w:val="en-US" w:eastAsia="zh-CN"/>
        </w:rPr>
        <w:t>40</w:t>
      </w:r>
      <w:r>
        <w:rPr>
          <w:rFonts w:hint="eastAsia" w:ascii="宋体" w:hAnsi="宋体"/>
          <w:b/>
          <w:bCs/>
          <w:sz w:val="24"/>
          <w:szCs w:val="24"/>
        </w:rPr>
        <w:t>分）：不得有体现投标人身份的内容，否则将被视为无效投标文件。</w:t>
      </w:r>
    </w:p>
    <w:p>
      <w:pPr>
        <w:tabs>
          <w:tab w:val="left" w:pos="510"/>
          <w:tab w:val="left" w:pos="945"/>
          <w:tab w:val="left" w:pos="1155"/>
          <w:tab w:val="left" w:pos="3823"/>
        </w:tabs>
        <w:spacing w:line="360" w:lineRule="auto"/>
        <w:ind w:firstLine="240" w:firstLineChars="100"/>
        <w:rPr>
          <w:rFonts w:hint="eastAsia" w:ascii="宋体"/>
          <w:color w:val="000000" w:themeColor="text1"/>
          <w:sz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（6）项目实施方案（</w:t>
      </w:r>
      <w:r>
        <w:rPr>
          <w:rFonts w:hint="eastAsia" w:ascii="宋体" w:hAnsi="宋体"/>
          <w:b/>
          <w:bCs/>
          <w:color w:val="000000" w:themeColor="text1"/>
          <w:sz w:val="24"/>
          <w:szCs w:val="24"/>
          <w:lang w:val="en-US" w:eastAsia="zh-CN"/>
          <w14:textFill>
            <w14:solidFill>
              <w14:schemeClr w14:val="tx1"/>
            </w14:solidFill>
          </w14:textFill>
        </w:rPr>
        <w:t>40</w:t>
      </w:r>
      <w:r>
        <w:rPr>
          <w:rFonts w:hint="eastAsia" w:ascii="宋体" w:hAnsi="宋体"/>
          <w:b/>
          <w:bCs/>
          <w:color w:val="000000" w:themeColor="text1"/>
          <w:sz w:val="24"/>
          <w:szCs w:val="24"/>
          <w14:textFill>
            <w14:solidFill>
              <w14:schemeClr w14:val="tx1"/>
            </w14:solidFill>
          </w14:textFill>
        </w:rPr>
        <w:t>分）：</w:t>
      </w:r>
      <w:r>
        <w:rPr>
          <w:rFonts w:hint="eastAsia" w:ascii="宋体"/>
          <w:color w:val="000000" w:themeColor="text1"/>
          <w:sz w:val="24"/>
          <w14:textFill>
            <w14:solidFill>
              <w14:schemeClr w14:val="tx1"/>
            </w14:solidFill>
          </w14:textFill>
        </w:rPr>
        <w:t>无方案不得分。</w:t>
      </w:r>
    </w:p>
    <w:p>
      <w:pPr>
        <w:spacing w:line="360" w:lineRule="auto"/>
        <w:ind w:firstLine="480" w:firstLineChars="200"/>
        <w:jc w:val="left"/>
        <w:rPr>
          <w:rFonts w:ascii="宋体" w:hAnsi="宋体"/>
          <w:bCs/>
          <w:sz w:val="24"/>
          <w:szCs w:val="24"/>
        </w:rPr>
      </w:pPr>
      <w:r>
        <w:rPr>
          <w:rFonts w:hint="eastAsia" w:ascii="宋体" w:hAnsi="宋体"/>
          <w:bCs/>
          <w:sz w:val="24"/>
          <w:szCs w:val="24"/>
        </w:rPr>
        <w:t>①</w:t>
      </w:r>
      <w:bookmarkStart w:id="144" w:name="_Hlk42592389"/>
      <w:r>
        <w:rPr>
          <w:rFonts w:hint="eastAsia" w:ascii="宋体" w:hAnsi="宋体"/>
          <w:bCs/>
          <w:sz w:val="24"/>
          <w:szCs w:val="24"/>
        </w:rPr>
        <w:t>项目技术方案</w:t>
      </w:r>
      <w:bookmarkEnd w:id="144"/>
      <w:r>
        <w:rPr>
          <w:rFonts w:hint="eastAsia" w:ascii="宋体" w:hAnsi="宋体"/>
          <w:bCs/>
          <w:sz w:val="24"/>
          <w:szCs w:val="24"/>
        </w:rPr>
        <w:t>（</w:t>
      </w:r>
      <w:r>
        <w:rPr>
          <w:rFonts w:ascii="宋体" w:hAnsi="宋体"/>
          <w:bCs/>
          <w:sz w:val="24"/>
          <w:szCs w:val="24"/>
        </w:rPr>
        <w:t>10</w:t>
      </w:r>
      <w:r>
        <w:rPr>
          <w:rFonts w:hint="eastAsia" w:ascii="宋体" w:hAnsi="宋体"/>
          <w:bCs/>
          <w:sz w:val="24"/>
          <w:szCs w:val="24"/>
        </w:rPr>
        <w:t>分）：根据报价人的技术方案对本项目整体系统架构及网络架构的理解与设计，对各系统功能的理解与设计，对所投软硬件之间的匹配性、稳定性等方面酌情给分，优（</w:t>
      </w:r>
      <w:r>
        <w:rPr>
          <w:rFonts w:hint="eastAsia" w:ascii="宋体" w:hAnsi="宋体"/>
          <w:bCs/>
          <w:sz w:val="24"/>
          <w:szCs w:val="24"/>
          <w:lang w:val="en-US" w:eastAsia="zh-CN"/>
        </w:rPr>
        <w:t>8-10</w:t>
      </w:r>
      <w:r>
        <w:rPr>
          <w:rFonts w:hint="eastAsia" w:ascii="宋体" w:hAnsi="宋体"/>
          <w:bCs/>
          <w:sz w:val="24"/>
          <w:szCs w:val="24"/>
        </w:rPr>
        <w:t>分），良（</w:t>
      </w:r>
      <w:r>
        <w:rPr>
          <w:rFonts w:hint="eastAsia" w:ascii="宋体" w:hAnsi="宋体"/>
          <w:bCs/>
          <w:sz w:val="24"/>
          <w:szCs w:val="24"/>
          <w:lang w:val="en-US" w:eastAsia="zh-CN"/>
        </w:rPr>
        <w:t>5-7</w:t>
      </w:r>
      <w:r>
        <w:rPr>
          <w:rFonts w:hint="eastAsia" w:ascii="宋体" w:hAnsi="宋体"/>
          <w:bCs/>
          <w:sz w:val="24"/>
          <w:szCs w:val="24"/>
        </w:rPr>
        <w:t>分），一般（</w:t>
      </w:r>
      <w:r>
        <w:rPr>
          <w:rFonts w:hint="eastAsia" w:ascii="宋体" w:hAnsi="宋体"/>
          <w:bCs/>
          <w:sz w:val="24"/>
          <w:szCs w:val="24"/>
          <w:lang w:val="en-US" w:eastAsia="zh-CN"/>
        </w:rPr>
        <w:t>2</w:t>
      </w:r>
      <w:r>
        <w:rPr>
          <w:rFonts w:ascii="宋体" w:hAnsi="宋体"/>
          <w:bCs/>
          <w:sz w:val="24"/>
          <w:szCs w:val="24"/>
        </w:rPr>
        <w:t>-</w:t>
      </w:r>
      <w:r>
        <w:rPr>
          <w:rFonts w:hint="eastAsia" w:ascii="宋体" w:hAnsi="宋体"/>
          <w:bCs/>
          <w:sz w:val="24"/>
          <w:szCs w:val="24"/>
          <w:lang w:val="en-US" w:eastAsia="zh-CN"/>
        </w:rPr>
        <w:t>4</w:t>
      </w:r>
      <w:r>
        <w:rPr>
          <w:rFonts w:hint="eastAsia" w:ascii="宋体" w:hAnsi="宋体"/>
          <w:bCs/>
          <w:sz w:val="24"/>
          <w:szCs w:val="24"/>
        </w:rPr>
        <w:t>分）。</w:t>
      </w:r>
    </w:p>
    <w:p>
      <w:pPr>
        <w:spacing w:line="360" w:lineRule="auto"/>
        <w:ind w:firstLine="480" w:firstLineChars="200"/>
        <w:jc w:val="left"/>
        <w:rPr>
          <w:rFonts w:ascii="宋体" w:hAnsi="宋体"/>
          <w:bCs/>
          <w:sz w:val="24"/>
          <w:szCs w:val="24"/>
        </w:rPr>
      </w:pPr>
      <w:r>
        <w:rPr>
          <w:rFonts w:hint="eastAsia" w:ascii="宋体" w:hAnsi="宋体"/>
          <w:bCs/>
          <w:sz w:val="24"/>
          <w:szCs w:val="24"/>
        </w:rPr>
        <w:t>②新医院核心业务系统迁移演练及应急方案（</w:t>
      </w:r>
      <w:r>
        <w:rPr>
          <w:rFonts w:ascii="宋体" w:hAnsi="宋体"/>
          <w:bCs/>
          <w:sz w:val="24"/>
          <w:szCs w:val="24"/>
        </w:rPr>
        <w:t>15</w:t>
      </w:r>
      <w:r>
        <w:rPr>
          <w:rFonts w:hint="eastAsia" w:ascii="宋体" w:hAnsi="宋体"/>
          <w:bCs/>
          <w:sz w:val="24"/>
          <w:szCs w:val="24"/>
        </w:rPr>
        <w:t>分）</w:t>
      </w:r>
      <w:r>
        <w:rPr>
          <w:rFonts w:hint="eastAsia" w:ascii="宋体" w:hAnsi="宋体"/>
          <w:bCs/>
          <w:sz w:val="24"/>
          <w:szCs w:val="24"/>
          <w:lang w:eastAsia="zh-CN"/>
        </w:rPr>
        <w:t>：</w:t>
      </w:r>
      <w:r>
        <w:rPr>
          <w:rFonts w:hint="eastAsia" w:ascii="宋体" w:hAnsi="宋体"/>
          <w:bCs/>
          <w:sz w:val="24"/>
          <w:szCs w:val="24"/>
        </w:rPr>
        <w:t>配合新医院的启用，完成将医院现有核心业务系统迁移至新址（收费系统、门急诊医生站、住院医生站、病历系统等），核心业务迁移窗口期2小时。同时为确保迁移质量和安全，需要做好迁移演练及应急处理方案，根据方案的合理性和完整性酌情打分，优（</w:t>
      </w:r>
      <w:r>
        <w:rPr>
          <w:rFonts w:hint="eastAsia" w:ascii="宋体" w:hAnsi="宋体"/>
          <w:bCs/>
          <w:sz w:val="24"/>
          <w:szCs w:val="24"/>
          <w:lang w:val="en-US" w:eastAsia="zh-CN"/>
        </w:rPr>
        <w:t>11-15</w:t>
      </w:r>
      <w:r>
        <w:rPr>
          <w:rFonts w:hint="eastAsia" w:ascii="宋体" w:hAnsi="宋体"/>
          <w:bCs/>
          <w:sz w:val="24"/>
          <w:szCs w:val="24"/>
        </w:rPr>
        <w:t>分），良（</w:t>
      </w:r>
      <w:r>
        <w:rPr>
          <w:rFonts w:hint="eastAsia" w:ascii="宋体" w:hAnsi="宋体"/>
          <w:bCs/>
          <w:sz w:val="24"/>
          <w:szCs w:val="24"/>
          <w:lang w:val="en-US" w:eastAsia="zh-CN"/>
        </w:rPr>
        <w:t>7-10</w:t>
      </w:r>
      <w:r>
        <w:rPr>
          <w:rFonts w:hint="eastAsia" w:ascii="宋体" w:hAnsi="宋体"/>
          <w:bCs/>
          <w:sz w:val="24"/>
          <w:szCs w:val="24"/>
        </w:rPr>
        <w:t>分），一般（</w:t>
      </w:r>
      <w:r>
        <w:rPr>
          <w:rFonts w:hint="eastAsia" w:ascii="宋体" w:hAnsi="宋体"/>
          <w:bCs/>
          <w:sz w:val="24"/>
          <w:szCs w:val="24"/>
          <w:lang w:val="en-US" w:eastAsia="zh-CN"/>
        </w:rPr>
        <w:t>3</w:t>
      </w:r>
      <w:r>
        <w:rPr>
          <w:rFonts w:ascii="宋体" w:hAnsi="宋体"/>
          <w:bCs/>
          <w:sz w:val="24"/>
          <w:szCs w:val="24"/>
        </w:rPr>
        <w:t>-</w:t>
      </w:r>
      <w:r>
        <w:rPr>
          <w:rFonts w:hint="eastAsia" w:ascii="宋体" w:hAnsi="宋体"/>
          <w:bCs/>
          <w:sz w:val="24"/>
          <w:szCs w:val="24"/>
          <w:lang w:val="en-US" w:eastAsia="zh-CN"/>
        </w:rPr>
        <w:t>6</w:t>
      </w:r>
      <w:r>
        <w:rPr>
          <w:rFonts w:hint="eastAsia" w:ascii="宋体" w:hAnsi="宋体"/>
          <w:bCs/>
          <w:sz w:val="24"/>
          <w:szCs w:val="24"/>
        </w:rPr>
        <w:t>分）。</w:t>
      </w:r>
    </w:p>
    <w:p>
      <w:pPr>
        <w:spacing w:line="360" w:lineRule="auto"/>
        <w:ind w:firstLine="480" w:firstLineChars="200"/>
        <w:jc w:val="left"/>
        <w:rPr>
          <w:rFonts w:ascii="宋体" w:hAnsi="宋体"/>
          <w:bCs/>
          <w:sz w:val="24"/>
          <w:szCs w:val="24"/>
        </w:rPr>
      </w:pPr>
      <w:r>
        <w:rPr>
          <w:rFonts w:hint="eastAsia" w:ascii="宋体" w:hAnsi="宋体"/>
          <w:bCs/>
          <w:sz w:val="24"/>
          <w:szCs w:val="24"/>
        </w:rPr>
        <w:t>③项目组织实施方案（</w:t>
      </w:r>
      <w:r>
        <w:rPr>
          <w:rFonts w:ascii="宋体" w:hAnsi="宋体"/>
          <w:bCs/>
          <w:sz w:val="24"/>
          <w:szCs w:val="24"/>
        </w:rPr>
        <w:t>10</w:t>
      </w:r>
      <w:r>
        <w:rPr>
          <w:rFonts w:hint="eastAsia" w:ascii="宋体" w:hAnsi="宋体"/>
          <w:bCs/>
          <w:sz w:val="24"/>
          <w:szCs w:val="24"/>
        </w:rPr>
        <w:t>分）：根据报价人项目组织实施方案的合理性、科学性、针对性以及质量控制体系的完善性进行评分，优（</w:t>
      </w:r>
      <w:r>
        <w:rPr>
          <w:rFonts w:hint="eastAsia" w:ascii="宋体" w:hAnsi="宋体"/>
          <w:bCs/>
          <w:sz w:val="24"/>
          <w:szCs w:val="24"/>
          <w:lang w:val="en-US" w:eastAsia="zh-CN"/>
        </w:rPr>
        <w:t>8-10</w:t>
      </w:r>
      <w:r>
        <w:rPr>
          <w:rFonts w:hint="eastAsia" w:ascii="宋体" w:hAnsi="宋体"/>
          <w:bCs/>
          <w:sz w:val="24"/>
          <w:szCs w:val="24"/>
        </w:rPr>
        <w:t>分），良（</w:t>
      </w:r>
      <w:r>
        <w:rPr>
          <w:rFonts w:hint="eastAsia" w:ascii="宋体" w:hAnsi="宋体"/>
          <w:bCs/>
          <w:sz w:val="24"/>
          <w:szCs w:val="24"/>
          <w:lang w:val="en-US" w:eastAsia="zh-CN"/>
        </w:rPr>
        <w:t>5-7</w:t>
      </w:r>
      <w:r>
        <w:rPr>
          <w:rFonts w:hint="eastAsia" w:ascii="宋体" w:hAnsi="宋体"/>
          <w:bCs/>
          <w:sz w:val="24"/>
          <w:szCs w:val="24"/>
        </w:rPr>
        <w:t>分），一般（</w:t>
      </w:r>
      <w:r>
        <w:rPr>
          <w:rFonts w:hint="eastAsia" w:ascii="宋体" w:hAnsi="宋体"/>
          <w:bCs/>
          <w:sz w:val="24"/>
          <w:szCs w:val="24"/>
          <w:lang w:val="en-US" w:eastAsia="zh-CN"/>
        </w:rPr>
        <w:t>2</w:t>
      </w:r>
      <w:r>
        <w:rPr>
          <w:rFonts w:ascii="宋体" w:hAnsi="宋体"/>
          <w:bCs/>
          <w:sz w:val="24"/>
          <w:szCs w:val="24"/>
        </w:rPr>
        <w:t>-</w:t>
      </w:r>
      <w:r>
        <w:rPr>
          <w:rFonts w:hint="eastAsia" w:ascii="宋体" w:hAnsi="宋体"/>
          <w:bCs/>
          <w:sz w:val="24"/>
          <w:szCs w:val="24"/>
          <w:lang w:val="en-US" w:eastAsia="zh-CN"/>
        </w:rPr>
        <w:t>4</w:t>
      </w:r>
      <w:r>
        <w:rPr>
          <w:rFonts w:hint="eastAsia" w:ascii="宋体" w:hAnsi="宋体"/>
          <w:bCs/>
          <w:sz w:val="24"/>
          <w:szCs w:val="24"/>
        </w:rPr>
        <w:t>分）。</w:t>
      </w:r>
    </w:p>
    <w:p>
      <w:pPr>
        <w:spacing w:line="360" w:lineRule="auto"/>
        <w:ind w:firstLine="480" w:firstLineChars="200"/>
        <w:jc w:val="left"/>
        <w:rPr>
          <w:rFonts w:ascii="宋体" w:hAnsi="宋体"/>
          <w:bCs/>
          <w:sz w:val="24"/>
          <w:szCs w:val="24"/>
        </w:rPr>
      </w:pPr>
      <w:r>
        <w:rPr>
          <w:rFonts w:hint="eastAsia" w:ascii="宋体" w:hAnsi="宋体"/>
          <w:bCs/>
          <w:sz w:val="24"/>
          <w:szCs w:val="24"/>
        </w:rPr>
        <w:t>④验收及培训方案（</w:t>
      </w:r>
      <w:r>
        <w:rPr>
          <w:rFonts w:ascii="宋体" w:hAnsi="宋体"/>
          <w:bCs/>
          <w:sz w:val="24"/>
          <w:szCs w:val="24"/>
        </w:rPr>
        <w:t>5</w:t>
      </w:r>
      <w:r>
        <w:rPr>
          <w:rFonts w:hint="eastAsia" w:ascii="宋体" w:hAnsi="宋体"/>
          <w:bCs/>
          <w:sz w:val="24"/>
          <w:szCs w:val="24"/>
        </w:rPr>
        <w:t>分）：考察报价人是否提出了完善可实施的验收方案及培训计划，优（5分），良（</w:t>
      </w:r>
      <w:r>
        <w:rPr>
          <w:rFonts w:ascii="宋体" w:hAnsi="宋体"/>
          <w:bCs/>
          <w:sz w:val="24"/>
          <w:szCs w:val="24"/>
        </w:rPr>
        <w:t>3-</w:t>
      </w:r>
      <w:r>
        <w:rPr>
          <w:rFonts w:hint="eastAsia" w:ascii="宋体" w:hAnsi="宋体"/>
          <w:bCs/>
          <w:sz w:val="24"/>
          <w:szCs w:val="24"/>
          <w:lang w:val="en-US" w:eastAsia="zh-CN"/>
        </w:rPr>
        <w:t>4</w:t>
      </w:r>
      <w:r>
        <w:rPr>
          <w:rFonts w:hint="eastAsia" w:ascii="宋体" w:hAnsi="宋体"/>
          <w:bCs/>
          <w:sz w:val="24"/>
          <w:szCs w:val="24"/>
        </w:rPr>
        <w:t>分），一般（</w:t>
      </w:r>
      <w:r>
        <w:rPr>
          <w:rFonts w:hint="eastAsia" w:ascii="宋体" w:hAnsi="宋体"/>
          <w:bCs/>
          <w:sz w:val="24"/>
          <w:szCs w:val="24"/>
          <w:lang w:val="en-US" w:eastAsia="zh-CN"/>
        </w:rPr>
        <w:t>2</w:t>
      </w:r>
      <w:r>
        <w:rPr>
          <w:rFonts w:hint="eastAsia" w:ascii="宋体" w:hAnsi="宋体"/>
          <w:bCs/>
          <w:sz w:val="24"/>
          <w:szCs w:val="24"/>
        </w:rPr>
        <w:t>分）。</w:t>
      </w: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pStyle w:val="74"/>
        <w:numPr>
          <w:ilvl w:val="0"/>
          <w:numId w:val="0"/>
        </w:numPr>
        <w:spacing w:line="360" w:lineRule="auto"/>
        <w:ind w:firstLine="480" w:firstLineChars="200"/>
        <w:rPr>
          <w:rFonts w:hint="eastAsia" w:ascii="宋体"/>
          <w:bCs/>
          <w:sz w:val="24"/>
          <w:szCs w:val="24"/>
        </w:rPr>
      </w:pPr>
    </w:p>
    <w:p>
      <w:pPr>
        <w:rPr>
          <w:rFonts w:ascii="宋体" w:hAnsi="宋体"/>
          <w:bCs/>
          <w:sz w:val="24"/>
          <w:szCs w:val="24"/>
        </w:rPr>
      </w:pPr>
    </w:p>
    <w:p>
      <w:pPr>
        <w:rPr>
          <w:rFonts w:ascii="宋体" w:hAnsi="宋体"/>
          <w:bCs/>
          <w:sz w:val="24"/>
          <w:szCs w:val="24"/>
        </w:rPr>
      </w:pPr>
    </w:p>
    <w:p>
      <w:pPr>
        <w:rPr>
          <w:rFonts w:ascii="宋体" w:hAnsi="宋体"/>
          <w:bCs/>
          <w:sz w:val="24"/>
          <w:szCs w:val="24"/>
        </w:rPr>
      </w:pPr>
    </w:p>
    <w:p>
      <w:pPr>
        <w:rPr>
          <w:rFonts w:ascii="宋体" w:hAnsi="宋体"/>
          <w:bCs/>
          <w:sz w:val="24"/>
          <w:szCs w:val="24"/>
        </w:rPr>
      </w:pPr>
    </w:p>
    <w:p>
      <w:pPr>
        <w:rPr>
          <w:rFonts w:ascii="宋体" w:hAnsi="宋体"/>
          <w:bCs/>
          <w:sz w:val="24"/>
          <w:szCs w:val="24"/>
        </w:rPr>
      </w:pPr>
    </w:p>
    <w:p>
      <w:pPr>
        <w:rPr>
          <w:rFonts w:ascii="宋体" w:hAnsi="宋体"/>
          <w:bCs/>
          <w:sz w:val="24"/>
          <w:szCs w:val="24"/>
        </w:rPr>
      </w:pPr>
    </w:p>
    <w:p>
      <w:pPr>
        <w:pStyle w:val="2"/>
        <w:rPr>
          <w:rFonts w:ascii="宋体" w:hAnsi="宋体"/>
          <w:bCs/>
          <w:sz w:val="24"/>
          <w:szCs w:val="24"/>
        </w:rPr>
      </w:pPr>
    </w:p>
    <w:p>
      <w:pPr>
        <w:pStyle w:val="2"/>
        <w:rPr>
          <w:rFonts w:ascii="宋体" w:hAnsi="宋体"/>
          <w:bCs/>
          <w:sz w:val="24"/>
          <w:szCs w:val="24"/>
        </w:rPr>
      </w:pPr>
    </w:p>
    <w:p>
      <w:pPr>
        <w:pStyle w:val="2"/>
        <w:rPr>
          <w:rFonts w:ascii="宋体" w:hAnsi="宋体"/>
          <w:bCs/>
          <w:sz w:val="24"/>
          <w:szCs w:val="24"/>
        </w:rPr>
      </w:pPr>
    </w:p>
    <w:p>
      <w:pPr>
        <w:rPr>
          <w:rFonts w:ascii="黑体" w:eastAsia="黑体"/>
          <w:bCs/>
          <w:sz w:val="32"/>
        </w:rPr>
      </w:pPr>
      <w:r>
        <w:rPr>
          <w:rFonts w:hint="eastAsia" w:ascii="黑体" w:eastAsia="黑体"/>
          <w:bCs/>
          <w:sz w:val="24"/>
          <w:szCs w:val="24"/>
        </w:rPr>
        <w:t>附件二：商务标投标文件格式</w:t>
      </w: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pPr>
    </w:p>
    <w:p>
      <w:pPr>
        <w:jc w:val="center"/>
        <w:rPr>
          <w:rFonts w:ascii="黑体" w:eastAsia="黑体"/>
          <w:bCs/>
          <w:sz w:val="52"/>
          <w:szCs w:val="52"/>
        </w:rPr>
        <w:sectPr>
          <w:headerReference r:id="rId4" w:type="first"/>
          <w:headerReference r:id="rId3" w:type="default"/>
          <w:footerReference r:id="rId5" w:type="default"/>
          <w:footerReference r:id="rId6" w:type="even"/>
          <w:pgSz w:w="11906" w:h="16838"/>
          <w:pgMar w:top="567" w:right="851" w:bottom="567" w:left="1134" w:header="624" w:footer="907" w:gutter="0"/>
          <w:pgNumType w:start="0"/>
          <w:cols w:space="425" w:num="1"/>
          <w:titlePg/>
          <w:docGrid w:type="linesAndChars" w:linePitch="312" w:charSpace="0"/>
        </w:sectPr>
      </w:pPr>
    </w:p>
    <w:p>
      <w:pPr>
        <w:rPr>
          <w:rFonts w:ascii="黑体" w:eastAsia="黑体"/>
          <w:bCs/>
          <w:sz w:val="52"/>
          <w:szCs w:val="52"/>
        </w:rPr>
      </w:pPr>
    </w:p>
    <w:p>
      <w:pPr>
        <w:jc w:val="center"/>
        <w:rPr>
          <w:rFonts w:ascii="黑体" w:eastAsia="黑体"/>
          <w:bCs/>
          <w:sz w:val="52"/>
          <w:szCs w:val="52"/>
        </w:rPr>
      </w:pPr>
      <w:r>
        <w:rPr>
          <w:rFonts w:hint="eastAsia" w:ascii="黑体" w:eastAsia="黑体"/>
          <w:bCs/>
          <w:sz w:val="52"/>
          <w:szCs w:val="52"/>
        </w:rPr>
        <w:t>投</w:t>
      </w:r>
    </w:p>
    <w:p>
      <w:pPr>
        <w:jc w:val="center"/>
        <w:rPr>
          <w:rFonts w:ascii="黑体" w:eastAsia="黑体"/>
          <w:bCs/>
          <w:sz w:val="72"/>
        </w:rPr>
      </w:pPr>
    </w:p>
    <w:p>
      <w:pPr>
        <w:jc w:val="center"/>
        <w:rPr>
          <w:rFonts w:ascii="黑体" w:eastAsia="黑体"/>
          <w:bCs/>
          <w:sz w:val="52"/>
          <w:szCs w:val="52"/>
        </w:rPr>
      </w:pPr>
      <w:r>
        <w:rPr>
          <w:rFonts w:hint="eastAsia" w:ascii="黑体" w:eastAsia="黑体"/>
          <w:bCs/>
          <w:sz w:val="52"/>
          <w:szCs w:val="52"/>
        </w:rPr>
        <w:t>标</w:t>
      </w:r>
    </w:p>
    <w:p>
      <w:pPr>
        <w:jc w:val="center"/>
        <w:rPr>
          <w:rFonts w:ascii="黑体" w:eastAsia="黑体"/>
          <w:bCs/>
          <w:sz w:val="72"/>
        </w:rPr>
      </w:pPr>
    </w:p>
    <w:p>
      <w:pPr>
        <w:jc w:val="center"/>
        <w:rPr>
          <w:rFonts w:ascii="黑体" w:eastAsia="黑体"/>
          <w:bCs/>
          <w:sz w:val="52"/>
          <w:szCs w:val="52"/>
        </w:rPr>
      </w:pPr>
      <w:r>
        <w:rPr>
          <w:rFonts w:hint="eastAsia" w:ascii="黑体" w:eastAsia="黑体"/>
          <w:bCs/>
          <w:sz w:val="52"/>
          <w:szCs w:val="52"/>
        </w:rPr>
        <w:t>文</w:t>
      </w:r>
    </w:p>
    <w:p>
      <w:pPr>
        <w:jc w:val="center"/>
        <w:rPr>
          <w:rFonts w:ascii="黑体" w:eastAsia="黑体"/>
          <w:bCs/>
          <w:sz w:val="52"/>
          <w:szCs w:val="52"/>
        </w:rPr>
      </w:pPr>
    </w:p>
    <w:p>
      <w:pPr>
        <w:jc w:val="center"/>
        <w:rPr>
          <w:rFonts w:ascii="黑体" w:eastAsia="黑体"/>
          <w:bCs/>
          <w:sz w:val="52"/>
          <w:szCs w:val="52"/>
        </w:rPr>
      </w:pPr>
      <w:r>
        <w:rPr>
          <w:rFonts w:hint="eastAsia" w:ascii="黑体" w:eastAsia="黑体"/>
          <w:bCs/>
          <w:sz w:val="52"/>
          <w:szCs w:val="52"/>
        </w:rPr>
        <w:t>件</w:t>
      </w:r>
    </w:p>
    <w:p>
      <w:pPr>
        <w:jc w:val="center"/>
        <w:rPr>
          <w:rFonts w:ascii="黑体" w:eastAsia="黑体"/>
          <w:bCs/>
          <w:sz w:val="52"/>
          <w:szCs w:val="52"/>
        </w:rPr>
      </w:pPr>
      <w:r>
        <w:rPr>
          <w:rFonts w:hint="eastAsia" w:ascii="黑体" w:eastAsia="黑体"/>
          <w:bCs/>
          <w:sz w:val="52"/>
          <w:szCs w:val="52"/>
        </w:rPr>
        <w:t>（商   务  标）</w:t>
      </w:r>
    </w:p>
    <w:p>
      <w:pPr>
        <w:jc w:val="center"/>
        <w:rPr>
          <w:rFonts w:ascii="楷体_GB2312" w:eastAsia="楷体_GB2312"/>
          <w:bCs/>
          <w:sz w:val="72"/>
        </w:rPr>
      </w:pPr>
    </w:p>
    <w:p>
      <w:pPr>
        <w:rPr>
          <w:rFonts w:ascii="楷体_GB2312" w:eastAsia="楷体_GB2312"/>
          <w:bCs/>
          <w:sz w:val="28"/>
        </w:rPr>
      </w:pPr>
    </w:p>
    <w:p>
      <w:pPr>
        <w:ind w:firstLine="2715"/>
        <w:rPr>
          <w:rFonts w:hint="eastAsia" w:ascii="黑体" w:eastAsia="黑体"/>
          <w:bCs/>
          <w:sz w:val="28"/>
          <w:szCs w:val="28"/>
          <w:lang w:eastAsia="zh-CN"/>
        </w:rPr>
      </w:pPr>
      <w:r>
        <w:rPr>
          <w:rFonts w:hint="eastAsia" w:ascii="黑体" w:eastAsia="黑体"/>
          <w:bCs/>
          <w:sz w:val="28"/>
          <w:szCs w:val="28"/>
        </w:rPr>
        <w:t>采购项目编号：</w:t>
      </w:r>
      <w:r>
        <w:rPr>
          <w:rFonts w:hint="eastAsia" w:ascii="黑体" w:eastAsia="黑体"/>
          <w:bCs/>
          <w:sz w:val="28"/>
          <w:szCs w:val="28"/>
          <w:lang w:eastAsia="zh-CN"/>
        </w:rPr>
        <w:t>LXZC2021-054</w:t>
      </w:r>
    </w:p>
    <w:p>
      <w:pPr>
        <w:ind w:left="4550" w:leftChars="1300" w:hanging="1820" w:hangingChars="650"/>
        <w:rPr>
          <w:rFonts w:hint="eastAsia" w:ascii="黑体" w:eastAsia="黑体"/>
          <w:bCs/>
          <w:sz w:val="28"/>
          <w:szCs w:val="28"/>
          <w:lang w:eastAsia="zh-CN"/>
        </w:rPr>
      </w:pPr>
      <w:r>
        <w:rPr>
          <w:rFonts w:hint="eastAsia" w:ascii="黑体" w:eastAsia="黑体"/>
          <w:bCs/>
          <w:sz w:val="28"/>
          <w:szCs w:val="28"/>
        </w:rPr>
        <w:t>采购项目名称：</w:t>
      </w:r>
      <w:r>
        <w:rPr>
          <w:rFonts w:hint="eastAsia" w:ascii="黑体" w:eastAsia="黑体"/>
          <w:bCs/>
          <w:sz w:val="28"/>
          <w:szCs w:val="28"/>
          <w:lang w:eastAsia="zh-CN"/>
        </w:rPr>
        <w:t>无锡市康复医院（梁溪区中医医院）信息化建设一体化项目</w:t>
      </w:r>
    </w:p>
    <w:p>
      <w:pPr>
        <w:ind w:firstLine="2703"/>
        <w:rPr>
          <w:rFonts w:ascii="黑体" w:eastAsia="黑体"/>
          <w:bCs/>
          <w:sz w:val="28"/>
          <w:szCs w:val="28"/>
        </w:rPr>
      </w:pPr>
      <w:r>
        <w:rPr>
          <w:rFonts w:hint="eastAsia" w:ascii="黑体" w:eastAsia="黑体"/>
          <w:bCs/>
          <w:sz w:val="28"/>
          <w:szCs w:val="28"/>
        </w:rPr>
        <w:t>投标人：</w:t>
      </w:r>
    </w:p>
    <w:p>
      <w:pPr>
        <w:rPr>
          <w:rFonts w:ascii="黑体" w:eastAsia="黑体"/>
          <w:bCs/>
          <w:sz w:val="32"/>
        </w:rPr>
      </w:pPr>
    </w:p>
    <w:p>
      <w:pPr>
        <w:jc w:val="center"/>
        <w:rPr>
          <w:rFonts w:ascii="黑体" w:eastAsia="黑体"/>
          <w:bCs/>
          <w:sz w:val="36"/>
          <w:szCs w:val="36"/>
        </w:rPr>
      </w:pPr>
      <w:r>
        <w:rPr>
          <w:rFonts w:hint="eastAsia" w:ascii="黑体" w:eastAsia="黑体"/>
          <w:bCs/>
          <w:sz w:val="36"/>
          <w:szCs w:val="36"/>
        </w:rPr>
        <w:t>二○二</w:t>
      </w:r>
      <w:r>
        <w:rPr>
          <w:rFonts w:hint="eastAsia" w:ascii="黑体" w:eastAsia="黑体"/>
          <w:bCs/>
          <w:sz w:val="36"/>
          <w:szCs w:val="36"/>
          <w:lang w:val="en-US" w:eastAsia="zh-CN"/>
        </w:rPr>
        <w:t>二</w:t>
      </w:r>
      <w:r>
        <w:rPr>
          <w:rFonts w:hint="eastAsia" w:ascii="黑体" w:eastAsia="黑体"/>
          <w:bCs/>
          <w:sz w:val="36"/>
          <w:szCs w:val="36"/>
        </w:rPr>
        <w:t>年  月  日</w:t>
      </w:r>
    </w:p>
    <w:p>
      <w:pPr>
        <w:ind w:firstLine="480" w:firstLineChars="200"/>
        <w:outlineLvl w:val="0"/>
        <w:rPr>
          <w:rFonts w:ascii="黑体" w:hAnsi="宋体" w:eastAsia="黑体"/>
          <w:bCs/>
          <w:sz w:val="24"/>
          <w:szCs w:val="24"/>
        </w:rPr>
      </w:pPr>
      <w:bookmarkStart w:id="145" w:name="一．报价函（格式）"/>
      <w:bookmarkEnd w:id="145"/>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outlineLvl w:val="0"/>
        <w:rPr>
          <w:rFonts w:ascii="黑体" w:hAnsi="宋体" w:eastAsia="黑体"/>
          <w:bCs/>
          <w:sz w:val="24"/>
          <w:szCs w:val="24"/>
        </w:rPr>
      </w:pPr>
    </w:p>
    <w:p>
      <w:pPr>
        <w:ind w:firstLine="480" w:firstLineChars="200"/>
        <w:outlineLvl w:val="0"/>
        <w:rPr>
          <w:rFonts w:ascii="黑体" w:hAnsi="宋体" w:eastAsia="黑体"/>
          <w:bCs/>
          <w:sz w:val="24"/>
          <w:szCs w:val="24"/>
        </w:rPr>
      </w:pPr>
      <w:r>
        <w:rPr>
          <w:rFonts w:hint="eastAsia" w:ascii="黑体" w:hAnsi="宋体" w:eastAsia="黑体"/>
          <w:bCs/>
          <w:sz w:val="24"/>
          <w:szCs w:val="24"/>
        </w:rPr>
        <w:t>（一）投标函（格式）：</w:t>
      </w:r>
    </w:p>
    <w:p>
      <w:pPr>
        <w:outlineLvl w:val="0"/>
        <w:rPr>
          <w:rFonts w:ascii="宋体" w:hAnsi="宋体"/>
          <w:b/>
          <w:bCs/>
          <w:sz w:val="24"/>
          <w:szCs w:val="24"/>
        </w:rPr>
      </w:pPr>
    </w:p>
    <w:p>
      <w:pPr>
        <w:spacing w:line="360" w:lineRule="auto"/>
        <w:jc w:val="center"/>
        <w:rPr>
          <w:rFonts w:ascii="宋体" w:hAnsi="宋体"/>
          <w:bCs/>
          <w:sz w:val="24"/>
          <w:szCs w:val="24"/>
        </w:rPr>
      </w:pPr>
      <w:r>
        <w:rPr>
          <w:rFonts w:hint="eastAsia" w:ascii="黑体" w:eastAsia="黑体"/>
          <w:bCs/>
          <w:sz w:val="28"/>
          <w:szCs w:val="28"/>
        </w:rPr>
        <w:t>投标函</w:t>
      </w:r>
    </w:p>
    <w:p>
      <w:pPr>
        <w:spacing w:line="360" w:lineRule="auto"/>
        <w:rPr>
          <w:rFonts w:ascii="宋体" w:hAnsi="宋体"/>
          <w:bCs/>
          <w:sz w:val="24"/>
          <w:szCs w:val="24"/>
        </w:rPr>
      </w:pPr>
      <w:r>
        <w:rPr>
          <w:rFonts w:hint="eastAsia" w:ascii="宋体" w:hAnsi="宋体"/>
          <w:bCs/>
          <w:sz w:val="24"/>
          <w:szCs w:val="24"/>
        </w:rPr>
        <w:t>致无锡市公共资源交易中心梁溪分中心：</w:t>
      </w:r>
    </w:p>
    <w:p>
      <w:pPr>
        <w:spacing w:line="360" w:lineRule="auto"/>
        <w:ind w:firstLine="480" w:firstLineChars="200"/>
        <w:rPr>
          <w:rFonts w:ascii="宋体" w:hAnsi="宋体"/>
          <w:bCs/>
          <w:sz w:val="24"/>
          <w:szCs w:val="24"/>
        </w:rPr>
      </w:pPr>
    </w:p>
    <w:p>
      <w:pPr>
        <w:spacing w:line="360" w:lineRule="auto"/>
        <w:ind w:firstLine="480" w:firstLineChars="200"/>
        <w:rPr>
          <w:rFonts w:ascii="宋体"/>
          <w:bCs/>
          <w:sz w:val="24"/>
          <w:szCs w:val="24"/>
        </w:rPr>
      </w:pPr>
      <w:r>
        <w:rPr>
          <w:rFonts w:hint="eastAsia" w:ascii="宋体" w:hAnsi="宋体"/>
          <w:bCs/>
          <w:sz w:val="24"/>
          <w:szCs w:val="24"/>
        </w:rPr>
        <w:t>我方收到贵方编号</w:t>
      </w:r>
      <w:r>
        <w:rPr>
          <w:rFonts w:hint="eastAsia" w:ascii="宋体" w:hAnsi="宋体"/>
          <w:bCs/>
          <w:sz w:val="24"/>
          <w:szCs w:val="24"/>
          <w:lang w:eastAsia="zh-CN"/>
        </w:rPr>
        <w:t>LXZC2021-054</w:t>
      </w:r>
      <w:r>
        <w:rPr>
          <w:rFonts w:hint="eastAsia" w:ascii="宋体" w:hAnsi="宋体"/>
          <w:bCs/>
          <w:sz w:val="24"/>
          <w:szCs w:val="24"/>
        </w:rPr>
        <w:t>招标文件，经仔细阅读和研究，我方决定参加此项目的投标。</w:t>
      </w:r>
    </w:p>
    <w:p>
      <w:pPr>
        <w:numPr>
          <w:ilvl w:val="0"/>
          <w:numId w:val="44"/>
        </w:numPr>
        <w:tabs>
          <w:tab w:val="left" w:pos="315"/>
          <w:tab w:val="left" w:pos="840"/>
          <w:tab w:val="left" w:pos="945"/>
          <w:tab w:val="left" w:pos="1050"/>
          <w:tab w:val="left" w:pos="1260"/>
          <w:tab w:val="clear" w:pos="552"/>
        </w:tabs>
        <w:spacing w:line="360" w:lineRule="auto"/>
        <w:ind w:left="0" w:firstLine="525"/>
        <w:rPr>
          <w:rFonts w:ascii="宋体"/>
          <w:bCs/>
          <w:sz w:val="24"/>
          <w:szCs w:val="24"/>
        </w:rPr>
      </w:pPr>
      <w:r>
        <w:rPr>
          <w:rFonts w:hint="eastAsia" w:ascii="宋体" w:hAnsi="宋体"/>
          <w:bCs/>
          <w:sz w:val="24"/>
          <w:szCs w:val="24"/>
        </w:rPr>
        <w:t>我方愿意按照招标文件的一切要求，提供本项目的投标，投标总价见《开标一览表》。</w:t>
      </w:r>
    </w:p>
    <w:p>
      <w:pPr>
        <w:numPr>
          <w:ilvl w:val="0"/>
          <w:numId w:val="44"/>
        </w:numPr>
        <w:tabs>
          <w:tab w:val="left" w:pos="315"/>
          <w:tab w:val="left" w:pos="840"/>
          <w:tab w:val="left" w:pos="945"/>
          <w:tab w:val="left" w:pos="1050"/>
          <w:tab w:val="left" w:pos="1260"/>
          <w:tab w:val="clear" w:pos="552"/>
        </w:tabs>
        <w:spacing w:line="360" w:lineRule="auto"/>
        <w:ind w:left="0" w:firstLine="525"/>
        <w:rPr>
          <w:rFonts w:ascii="宋体"/>
          <w:bCs/>
          <w:sz w:val="24"/>
          <w:szCs w:val="24"/>
        </w:rPr>
      </w:pPr>
      <w:r>
        <w:rPr>
          <w:rFonts w:hint="eastAsia" w:ascii="宋体" w:hAnsi="宋体"/>
          <w:bCs/>
          <w:sz w:val="24"/>
          <w:szCs w:val="24"/>
        </w:rPr>
        <w:t>我方愿意提供无锡市公共资源交易中心梁溪分中心在招标文件中要求的文件、资料。</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我方同意按招标文件中的规定，本投标文件投标的有效期限为开标之日起</w:t>
      </w:r>
      <w:r>
        <w:rPr>
          <w:rFonts w:ascii="宋体" w:hAnsi="宋体"/>
          <w:bCs/>
          <w:sz w:val="24"/>
          <w:szCs w:val="24"/>
        </w:rPr>
        <w:t>90</w:t>
      </w:r>
      <w:r>
        <w:rPr>
          <w:rFonts w:hint="eastAsia" w:ascii="宋体" w:hAnsi="宋体"/>
          <w:bCs/>
          <w:sz w:val="24"/>
          <w:szCs w:val="24"/>
        </w:rPr>
        <w:t>天。</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如果我方的投标文件被接受，我方将履行招标文件中规定的每一项要求，按期、按质、按量，完成交货任务。</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我方认为贵中心有权决定中标者。</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我方愿意遵守《中华人民共和国政府采购法》，并按《</w:t>
      </w:r>
      <w:r>
        <w:rPr>
          <w:rFonts w:hint="eastAsia" w:ascii="宋体" w:hAnsi="宋体"/>
          <w:bCs/>
          <w:sz w:val="24"/>
          <w:szCs w:val="24"/>
          <w:lang w:val="en-US" w:eastAsia="zh-CN"/>
        </w:rPr>
        <w:t>民法典</w:t>
      </w:r>
      <w:r>
        <w:rPr>
          <w:rFonts w:hint="eastAsia" w:ascii="宋体" w:hAnsi="宋体"/>
          <w:bCs/>
          <w:sz w:val="24"/>
          <w:szCs w:val="24"/>
        </w:rPr>
        <w:t>》、财政部《政府采购货物和服务招标投标管理办法》</w:t>
      </w:r>
      <w:r>
        <w:rPr>
          <w:rFonts w:hint="eastAsia" w:ascii="宋体" w:hAnsi="宋体"/>
          <w:sz w:val="24"/>
          <w:szCs w:val="24"/>
        </w:rPr>
        <w:t>和</w:t>
      </w:r>
      <w:r>
        <w:rPr>
          <w:rFonts w:hint="eastAsia" w:ascii="宋体" w:hAnsi="宋体"/>
          <w:bCs/>
          <w:sz w:val="24"/>
          <w:szCs w:val="24"/>
        </w:rPr>
        <w:t>合同条款履行自己的全部责任。</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我方认可并遵守招标文件的所有规定，放弃对招标文件提出质疑的权利。</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我方愿意按招标文件的规定提交《投标（报价）承诺函》。如我方在投标截止期后撤回投标及中标后拒绝遵守投标承诺或拒绝在规定的时间内与采购人签订合同，则接受政府采购监督管理部门的处理。</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如果我方被确定为中标供应商，我方愿意</w:t>
      </w:r>
      <w:r>
        <w:rPr>
          <w:rFonts w:hint="eastAsia" w:ascii="宋体" w:hAnsi="宋体"/>
          <w:sz w:val="24"/>
          <w:szCs w:val="24"/>
        </w:rPr>
        <w:t>向</w:t>
      </w:r>
      <w:r>
        <w:rPr>
          <w:rFonts w:hint="eastAsia" w:ascii="宋体" w:hAnsi="宋体"/>
          <w:bCs/>
          <w:sz w:val="24"/>
          <w:szCs w:val="24"/>
        </w:rPr>
        <w:t>采购人交纳履约保证金。且我方如无不可抗力，又未履行招标文件、投标文件和合同条款的，一经查实，我方愿意赔偿由此而造成的一切损失，并同意接受按招标文件的相关要求对我方进行的处理。</w:t>
      </w:r>
    </w:p>
    <w:p>
      <w:pPr>
        <w:numPr>
          <w:ilvl w:val="0"/>
          <w:numId w:val="44"/>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pPr>
        <w:spacing w:line="360" w:lineRule="auto"/>
        <w:ind w:firstLine="720" w:firstLineChars="300"/>
        <w:rPr>
          <w:rFonts w:ascii="宋体"/>
          <w:bCs/>
          <w:sz w:val="24"/>
          <w:szCs w:val="24"/>
        </w:rPr>
      </w:pPr>
    </w:p>
    <w:p>
      <w:pPr>
        <w:spacing w:line="400" w:lineRule="exact"/>
        <w:ind w:firstLine="480" w:firstLineChars="200"/>
        <w:rPr>
          <w:rFonts w:ascii="宋体"/>
          <w:bCs/>
          <w:sz w:val="24"/>
          <w:szCs w:val="24"/>
        </w:rPr>
      </w:pPr>
      <w:r>
        <w:rPr>
          <w:rFonts w:hint="eastAsia" w:ascii="宋体" w:hAnsi="宋体"/>
          <w:bCs/>
          <w:sz w:val="24"/>
          <w:szCs w:val="24"/>
        </w:rPr>
        <w:t>投标人（盖章）：</w:t>
      </w:r>
      <w:r>
        <w:rPr>
          <w:rFonts w:ascii="宋体" w:hAnsi="宋体"/>
          <w:bCs/>
          <w:sz w:val="24"/>
          <w:szCs w:val="24"/>
        </w:rPr>
        <w:t xml:space="preserve">     </w:t>
      </w:r>
    </w:p>
    <w:p>
      <w:pPr>
        <w:spacing w:line="400" w:lineRule="exact"/>
        <w:ind w:firstLine="480" w:firstLineChars="200"/>
        <w:rPr>
          <w:rFonts w:ascii="宋体"/>
          <w:bCs/>
          <w:sz w:val="24"/>
          <w:szCs w:val="24"/>
        </w:rPr>
      </w:pPr>
      <w:r>
        <w:rPr>
          <w:rFonts w:hint="eastAsia" w:ascii="宋体" w:hAnsi="宋体"/>
          <w:bCs/>
          <w:sz w:val="24"/>
          <w:szCs w:val="24"/>
        </w:rPr>
        <w:t>法定代表人或法定代表人授权代表签字或盖章：</w:t>
      </w:r>
    </w:p>
    <w:p>
      <w:pPr>
        <w:spacing w:line="400" w:lineRule="exact"/>
        <w:ind w:firstLine="480" w:firstLineChars="200"/>
        <w:rPr>
          <w:rFonts w:ascii="宋体"/>
          <w:bCs/>
          <w:sz w:val="24"/>
          <w:szCs w:val="24"/>
        </w:rPr>
      </w:pPr>
      <w:r>
        <w:rPr>
          <w:rFonts w:hint="eastAsia" w:ascii="宋体" w:hAnsi="宋体"/>
          <w:bCs/>
          <w:sz w:val="24"/>
          <w:szCs w:val="24"/>
        </w:rPr>
        <w:t>电话：</w:t>
      </w:r>
      <w:r>
        <w:rPr>
          <w:rFonts w:ascii="宋体" w:hAnsi="宋体"/>
          <w:bCs/>
          <w:sz w:val="24"/>
          <w:szCs w:val="24"/>
        </w:rPr>
        <w:t xml:space="preserve">                              </w:t>
      </w:r>
      <w:r>
        <w:rPr>
          <w:rFonts w:hint="eastAsia" w:ascii="宋体" w:hAnsi="宋体"/>
          <w:bCs/>
          <w:sz w:val="24"/>
          <w:szCs w:val="24"/>
        </w:rPr>
        <w:t>传真：</w:t>
      </w:r>
    </w:p>
    <w:p>
      <w:pPr>
        <w:spacing w:line="400" w:lineRule="exact"/>
        <w:ind w:firstLine="480" w:firstLineChars="200"/>
        <w:rPr>
          <w:rFonts w:ascii="宋体"/>
          <w:bCs/>
          <w:sz w:val="24"/>
          <w:szCs w:val="24"/>
        </w:rPr>
      </w:pPr>
      <w:r>
        <w:rPr>
          <w:rFonts w:hint="eastAsia" w:ascii="宋体" w:hAnsi="宋体"/>
          <w:bCs/>
          <w:sz w:val="24"/>
          <w:szCs w:val="24"/>
        </w:rPr>
        <w:t>通讯地址：</w:t>
      </w:r>
      <w:r>
        <w:rPr>
          <w:rFonts w:ascii="宋体" w:hAnsi="宋体"/>
          <w:bCs/>
          <w:sz w:val="24"/>
          <w:szCs w:val="24"/>
        </w:rPr>
        <w:t xml:space="preserve">                          </w:t>
      </w:r>
      <w:r>
        <w:rPr>
          <w:rFonts w:hint="eastAsia" w:ascii="宋体" w:hAnsi="宋体"/>
          <w:bCs/>
          <w:sz w:val="24"/>
          <w:szCs w:val="24"/>
        </w:rPr>
        <w:t>邮编：</w:t>
      </w: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eastAsia="黑体"/>
          <w:bCs/>
          <w:sz w:val="28"/>
          <w:szCs w:val="28"/>
        </w:rPr>
      </w:pPr>
      <w:r>
        <w:rPr>
          <w:rFonts w:hint="eastAsia" w:ascii="黑体" w:hAnsi="宋体" w:eastAsia="黑体"/>
          <w:bCs/>
          <w:sz w:val="24"/>
          <w:szCs w:val="24"/>
        </w:rPr>
        <w:t>（二）（投标人）关于资格的声明函（格式）：</w:t>
      </w:r>
    </w:p>
    <w:p>
      <w:pPr>
        <w:spacing w:line="360" w:lineRule="auto"/>
        <w:rPr>
          <w:rFonts w:ascii="黑体" w:eastAsia="黑体"/>
          <w:bCs/>
          <w:sz w:val="36"/>
        </w:rPr>
      </w:pPr>
    </w:p>
    <w:p>
      <w:pPr>
        <w:jc w:val="center"/>
        <w:outlineLvl w:val="0"/>
        <w:rPr>
          <w:rFonts w:ascii="黑体" w:eastAsia="黑体"/>
          <w:bCs/>
          <w:sz w:val="28"/>
          <w:szCs w:val="28"/>
        </w:rPr>
      </w:pPr>
      <w:bookmarkStart w:id="146" w:name="报价方关于资格的声明函（格式）"/>
      <w:bookmarkEnd w:id="146"/>
      <w:r>
        <w:rPr>
          <w:rFonts w:hint="eastAsia" w:ascii="黑体" w:eastAsia="黑体"/>
          <w:bCs/>
          <w:sz w:val="28"/>
          <w:szCs w:val="28"/>
        </w:rPr>
        <w:t>关于资格的声明函</w:t>
      </w:r>
    </w:p>
    <w:p>
      <w:pPr>
        <w:jc w:val="center"/>
        <w:rPr>
          <w:rFonts w:ascii="黑体" w:eastAsia="黑体"/>
          <w:bCs/>
          <w:sz w:val="32"/>
        </w:rPr>
      </w:pPr>
    </w:p>
    <w:p>
      <w:pPr>
        <w:spacing w:line="480" w:lineRule="auto"/>
        <w:jc w:val="center"/>
        <w:rPr>
          <w:rFonts w:ascii="宋体" w:hAnsi="宋体"/>
          <w:bCs/>
          <w:sz w:val="24"/>
          <w:szCs w:val="24"/>
        </w:rPr>
      </w:pPr>
      <w:r>
        <w:rPr>
          <w:rFonts w:hint="eastAsia" w:ascii="楷体_GB2312" w:eastAsia="楷体_GB2312"/>
          <w:bCs/>
          <w:sz w:val="30"/>
        </w:rPr>
        <w:t xml:space="preserve">   </w:t>
      </w:r>
      <w:r>
        <w:rPr>
          <w:rFonts w:hint="eastAsia" w:ascii="宋体" w:hAnsi="宋体"/>
          <w:bCs/>
          <w:sz w:val="24"/>
          <w:szCs w:val="24"/>
        </w:rPr>
        <w:t xml:space="preserve"> 采购项目编号：</w:t>
      </w:r>
    </w:p>
    <w:p>
      <w:pPr>
        <w:tabs>
          <w:tab w:val="left" w:pos="6300"/>
        </w:tabs>
        <w:spacing w:line="480" w:lineRule="auto"/>
        <w:jc w:val="center"/>
        <w:rPr>
          <w:rFonts w:ascii="宋体" w:hAnsi="宋体"/>
          <w:bCs/>
          <w:sz w:val="24"/>
          <w:szCs w:val="24"/>
        </w:rPr>
      </w:pPr>
      <w:r>
        <w:rPr>
          <w:rFonts w:hint="eastAsia" w:ascii="宋体" w:hAnsi="宋体"/>
          <w:bCs/>
          <w:sz w:val="24"/>
          <w:szCs w:val="24"/>
        </w:rPr>
        <w:t xml:space="preserve">            日期：</w:t>
      </w:r>
    </w:p>
    <w:p>
      <w:pPr>
        <w:spacing w:line="480" w:lineRule="auto"/>
        <w:jc w:val="center"/>
        <w:rPr>
          <w:rFonts w:ascii="宋体" w:hAnsi="宋体"/>
          <w:bCs/>
          <w:sz w:val="24"/>
          <w:szCs w:val="24"/>
        </w:rPr>
      </w:pPr>
    </w:p>
    <w:p>
      <w:pPr>
        <w:spacing w:line="480" w:lineRule="auto"/>
        <w:rPr>
          <w:rFonts w:ascii="宋体" w:hAnsi="宋体"/>
          <w:bCs/>
          <w:sz w:val="24"/>
          <w:szCs w:val="24"/>
        </w:rPr>
      </w:pPr>
      <w:r>
        <w:rPr>
          <w:rFonts w:hint="eastAsia" w:ascii="宋体" w:hAnsi="宋体"/>
          <w:bCs/>
          <w:sz w:val="24"/>
          <w:szCs w:val="24"/>
        </w:rPr>
        <w:t>无锡市公共资源交易中心梁溪分中心：</w:t>
      </w:r>
    </w:p>
    <w:p>
      <w:pPr>
        <w:spacing w:line="480" w:lineRule="auto"/>
        <w:rPr>
          <w:rFonts w:ascii="宋体" w:hAnsi="宋体"/>
          <w:bCs/>
          <w:sz w:val="24"/>
          <w:szCs w:val="24"/>
        </w:rPr>
      </w:pPr>
      <w:r>
        <w:rPr>
          <w:rFonts w:hint="eastAsia" w:ascii="宋体" w:hAnsi="宋体"/>
          <w:bCs/>
          <w:sz w:val="24"/>
          <w:szCs w:val="24"/>
        </w:rPr>
        <w:t xml:space="preserve">   </w:t>
      </w:r>
    </w:p>
    <w:p>
      <w:pPr>
        <w:spacing w:line="480" w:lineRule="auto"/>
        <w:ind w:firstLine="480" w:firstLineChars="200"/>
        <w:rPr>
          <w:rFonts w:ascii="宋体" w:hAnsi="宋体"/>
          <w:bCs/>
          <w:sz w:val="24"/>
          <w:szCs w:val="24"/>
        </w:rPr>
      </w:pPr>
      <w:r>
        <w:rPr>
          <w:rFonts w:hint="eastAsia" w:ascii="宋体" w:hAnsi="宋体"/>
          <w:bCs/>
          <w:sz w:val="24"/>
          <w:szCs w:val="24"/>
        </w:rPr>
        <w:t>我公司（单位）参加本次项目（</w:t>
      </w:r>
      <w:r>
        <w:rPr>
          <w:rFonts w:hint="eastAsia" w:ascii="黑体" w:eastAsia="黑体"/>
          <w:bCs/>
          <w:sz w:val="24"/>
          <w:szCs w:val="24"/>
          <w:lang w:eastAsia="zh-CN"/>
        </w:rPr>
        <w:t>LXZC2021-054</w:t>
      </w:r>
      <w:r>
        <w:rPr>
          <w:rFonts w:hint="eastAsia" w:ascii="黑体" w:eastAsia="黑体"/>
          <w:bCs/>
          <w:sz w:val="24"/>
          <w:szCs w:val="24"/>
        </w:rPr>
        <w:t>）</w:t>
      </w:r>
      <w:r>
        <w:rPr>
          <w:rFonts w:hint="eastAsia" w:ascii="宋体" w:hAnsi="宋体"/>
          <w:bCs/>
          <w:sz w:val="24"/>
          <w:szCs w:val="24"/>
        </w:rPr>
        <w:t>政府采购活动前三年内，在经营活动中没有重大违法记录，我公司（单位）愿针对本次项目（</w:t>
      </w:r>
      <w:r>
        <w:rPr>
          <w:rFonts w:hint="eastAsia" w:ascii="黑体" w:eastAsia="黑体"/>
          <w:bCs/>
          <w:sz w:val="24"/>
          <w:szCs w:val="24"/>
          <w:lang w:eastAsia="zh-CN"/>
        </w:rPr>
        <w:t>LXZC2021-054</w:t>
      </w:r>
      <w:r>
        <w:rPr>
          <w:rFonts w:hint="eastAsia" w:ascii="黑体" w:eastAsia="黑体"/>
          <w:bCs/>
          <w:sz w:val="24"/>
          <w:szCs w:val="24"/>
        </w:rPr>
        <w:t>）</w:t>
      </w:r>
      <w:r>
        <w:rPr>
          <w:rFonts w:hint="eastAsia" w:ascii="宋体" w:hAnsi="宋体"/>
          <w:bCs/>
          <w:sz w:val="24"/>
          <w:szCs w:val="24"/>
        </w:rPr>
        <w:t>进行投标，投标文件中所有关于投标资格的文件、证明、陈述均是真实的、准确的。若有违背，我公司（单位）               愿意承担由此而产生的一切后果。</w:t>
      </w:r>
    </w:p>
    <w:p>
      <w:pPr>
        <w:spacing w:line="480" w:lineRule="auto"/>
        <w:rPr>
          <w:rFonts w:ascii="宋体" w:hAnsi="宋体"/>
          <w:bCs/>
          <w:sz w:val="24"/>
          <w:szCs w:val="24"/>
        </w:rPr>
      </w:pPr>
    </w:p>
    <w:p>
      <w:pPr>
        <w:spacing w:line="480" w:lineRule="auto"/>
        <w:rPr>
          <w:rFonts w:ascii="宋体" w:hAnsi="宋体"/>
          <w:bCs/>
          <w:sz w:val="24"/>
          <w:szCs w:val="24"/>
        </w:rPr>
      </w:pPr>
      <w:r>
        <w:rPr>
          <w:rFonts w:hint="eastAsia" w:ascii="宋体" w:hAnsi="宋体"/>
          <w:bCs/>
          <w:sz w:val="24"/>
          <w:szCs w:val="24"/>
        </w:rPr>
        <w:t xml:space="preserve">                                       投标人（盖章）：</w:t>
      </w:r>
    </w:p>
    <w:p>
      <w:pPr>
        <w:ind w:firstLine="480" w:firstLineChars="200"/>
        <w:outlineLvl w:val="0"/>
        <w:rPr>
          <w:rFonts w:ascii="宋体" w:hAnsi="宋体"/>
          <w:bCs/>
          <w:sz w:val="24"/>
          <w:szCs w:val="24"/>
        </w:rPr>
      </w:pPr>
      <w:r>
        <w:rPr>
          <w:rFonts w:hint="eastAsia" w:ascii="宋体" w:hAnsi="宋体"/>
          <w:bCs/>
          <w:sz w:val="24"/>
          <w:szCs w:val="24"/>
        </w:rPr>
        <w:t xml:space="preserve">     法定代表人或法定代表人授权代表（签字或盖章）：</w:t>
      </w: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80" w:firstLineChars="200"/>
        <w:outlineLvl w:val="0"/>
        <w:rPr>
          <w:rFonts w:ascii="宋体" w:hAnsi="宋体"/>
          <w:bCs/>
          <w:sz w:val="24"/>
          <w:szCs w:val="24"/>
        </w:rPr>
      </w:pPr>
    </w:p>
    <w:p>
      <w:pPr>
        <w:ind w:firstLine="420" w:firstLineChars="200"/>
        <w:outlineLvl w:val="0"/>
        <w:rPr>
          <w:rFonts w:ascii="黑体" w:hAnsi="宋体" w:eastAsia="黑体"/>
          <w:bCs/>
          <w:sz w:val="24"/>
          <w:szCs w:val="24"/>
        </w:rPr>
      </w:pPr>
      <w:r>
        <w:rPr>
          <w:rFonts w:hint="eastAsia"/>
        </w:rPr>
        <w:t>备注：上述所称“重大违法记录”,是指供应商因违法经营受到刑事处罚或者责令停产停业、吊销许可证或者执照、较大数额罚款等行政处罚。</w:t>
      </w:r>
    </w:p>
    <w:p>
      <w:pPr>
        <w:ind w:firstLine="480" w:firstLineChars="200"/>
        <w:outlineLvl w:val="0"/>
        <w:rPr>
          <w:rFonts w:ascii="宋体" w:hAnsi="宋体"/>
          <w:bCs/>
          <w:sz w:val="24"/>
          <w:szCs w:val="24"/>
        </w:rPr>
      </w:pPr>
    </w:p>
    <w:p>
      <w:pPr>
        <w:ind w:firstLine="420" w:firstLineChars="175"/>
        <w:outlineLvl w:val="3"/>
        <w:rPr>
          <w:rFonts w:ascii="黑体" w:hAnsi="宋体" w:eastAsia="黑体"/>
          <w:bCs/>
          <w:sz w:val="24"/>
          <w:szCs w:val="24"/>
        </w:rPr>
      </w:pPr>
    </w:p>
    <w:p>
      <w:pPr>
        <w:ind w:firstLine="420" w:firstLineChars="175"/>
        <w:outlineLvl w:val="3"/>
        <w:rPr>
          <w:rFonts w:ascii="宋体" w:hAnsi="宋体"/>
          <w:bCs/>
          <w:sz w:val="24"/>
          <w:szCs w:val="24"/>
        </w:rPr>
      </w:pPr>
      <w:r>
        <w:rPr>
          <w:rFonts w:hint="eastAsia" w:ascii="黑体" w:hAnsi="宋体" w:eastAsia="黑体"/>
          <w:bCs/>
          <w:sz w:val="24"/>
          <w:szCs w:val="24"/>
        </w:rPr>
        <w:t>（三）</w:t>
      </w:r>
      <w:r>
        <w:rPr>
          <w:rFonts w:hint="eastAsia" w:ascii="黑体" w:hAnsi="宋体" w:eastAsia="黑体"/>
          <w:bCs/>
          <w:color w:val="000000" w:themeColor="text1"/>
          <w:sz w:val="24"/>
          <w:szCs w:val="24"/>
          <w14:textFill>
            <w14:solidFill>
              <w14:schemeClr w14:val="tx1"/>
            </w14:solidFill>
          </w14:textFill>
        </w:rPr>
        <w:t>（投标人）法定代表人授权委托书（格式）：</w:t>
      </w:r>
    </w:p>
    <w:p>
      <w:pPr>
        <w:outlineLvl w:val="0"/>
        <w:rPr>
          <w:rFonts w:ascii="黑体" w:eastAsia="黑体"/>
          <w:bCs/>
          <w:color w:val="000000" w:themeColor="text1"/>
          <w:sz w:val="28"/>
          <w:szCs w:val="28"/>
          <w14:textFill>
            <w14:solidFill>
              <w14:schemeClr w14:val="tx1"/>
            </w14:solidFill>
          </w14:textFill>
        </w:rPr>
      </w:pPr>
    </w:p>
    <w:p>
      <w:pPr>
        <w:jc w:val="center"/>
        <w:outlineLvl w:val="0"/>
        <w:rPr>
          <w:rFonts w:ascii="黑体" w:eastAsia="黑体"/>
          <w:bCs/>
          <w:color w:val="000000" w:themeColor="text1"/>
          <w:sz w:val="28"/>
          <w:szCs w:val="28"/>
          <w14:textFill>
            <w14:solidFill>
              <w14:schemeClr w14:val="tx1"/>
            </w14:solidFill>
          </w14:textFill>
        </w:rPr>
      </w:pPr>
      <w:r>
        <w:rPr>
          <w:rFonts w:hint="eastAsia" w:ascii="黑体" w:eastAsia="黑体"/>
          <w:bCs/>
          <w:color w:val="000000" w:themeColor="text1"/>
          <w:sz w:val="28"/>
          <w:szCs w:val="28"/>
          <w14:textFill>
            <w14:solidFill>
              <w14:schemeClr w14:val="tx1"/>
            </w14:solidFill>
          </w14:textFill>
        </w:rPr>
        <w:t>法定代表人授权委托书</w:t>
      </w:r>
    </w:p>
    <w:p>
      <w:pPr>
        <w:spacing w:line="360" w:lineRule="auto"/>
        <w:jc w:val="center"/>
        <w:rPr>
          <w:rFonts w:ascii="楷体_GB2312" w:eastAsia="楷体_GB2312"/>
          <w:bCs/>
          <w:color w:val="000000" w:themeColor="text1"/>
          <w:sz w:val="36"/>
          <w14:textFill>
            <w14:solidFill>
              <w14:schemeClr w14:val="tx1"/>
            </w14:solidFill>
          </w14:textFill>
        </w:rPr>
      </w:pPr>
    </w:p>
    <w:p>
      <w:pPr>
        <w:spacing w:line="480" w:lineRule="auto"/>
        <w:rPr>
          <w:rFonts w:ascii="宋体"/>
          <w:bCs/>
          <w:color w:val="000000" w:themeColor="text1"/>
          <w:sz w:val="24"/>
          <w:szCs w:val="24"/>
          <w14:textFill>
            <w14:solidFill>
              <w14:schemeClr w14:val="tx1"/>
            </w14:solidFill>
          </w14:textFill>
        </w:rPr>
      </w:pPr>
      <w:r>
        <w:rPr>
          <w:rFonts w:ascii="楷体_GB2312" w:eastAsia="楷体_GB2312"/>
          <w:bCs/>
          <w:color w:val="000000" w:themeColor="text1"/>
          <w:sz w:val="30"/>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采购项目编号：</w:t>
      </w:r>
    </w:p>
    <w:p>
      <w:pPr>
        <w:spacing w:line="480" w:lineRule="auto"/>
        <w:rPr>
          <w:rFonts w:ascii="宋体"/>
          <w:bCs/>
          <w:color w:val="000000" w:themeColor="text1"/>
          <w:sz w:val="24"/>
          <w:szCs w:val="24"/>
          <w14:textFill>
            <w14:solidFill>
              <w14:schemeClr w14:val="tx1"/>
            </w14:solidFill>
          </w14:textFill>
        </w:rPr>
      </w:pPr>
      <w:r>
        <w:rPr>
          <w:rFonts w:ascii="宋体" w:hAnsi="宋体"/>
          <w:bCs/>
          <w:color w:val="000000" w:themeColor="text1"/>
          <w:sz w:val="24"/>
          <w:szCs w:val="24"/>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日期：</w:t>
      </w:r>
    </w:p>
    <w:p>
      <w:pPr>
        <w:spacing w:line="600" w:lineRule="exact"/>
        <w:rPr>
          <w:rFonts w:asci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无锡市公共资源交易中心梁溪分中心：</w:t>
      </w:r>
    </w:p>
    <w:p>
      <w:pPr>
        <w:spacing w:line="580" w:lineRule="exact"/>
        <w:rPr>
          <w:rFonts w:ascii="宋体"/>
          <w:bCs/>
          <w:color w:val="000000" w:themeColor="text1"/>
          <w:sz w:val="24"/>
          <w:szCs w:val="24"/>
          <w14:textFill>
            <w14:solidFill>
              <w14:schemeClr w14:val="tx1"/>
            </w14:solidFill>
          </w14:textFill>
        </w:rPr>
      </w:pPr>
      <w:r>
        <w:rPr>
          <w:rFonts w:ascii="宋体" w:hAnsi="宋体"/>
          <w:bCs/>
          <w:color w:val="000000" w:themeColor="text1"/>
          <w:sz w:val="24"/>
          <w:szCs w:val="24"/>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系中华人民共和国合法公司（单位），特授权</w:t>
      </w:r>
      <w:r>
        <w:rPr>
          <w:rFonts w:ascii="宋体" w:hAnsi="宋体"/>
          <w:bCs/>
          <w:color w:val="000000" w:themeColor="text1"/>
          <w:sz w:val="24"/>
          <w:szCs w:val="24"/>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代表我公司（单位）全权办理针对本项目（</w:t>
      </w:r>
      <w:r>
        <w:rPr>
          <w:rFonts w:hint="eastAsia" w:ascii="黑体" w:eastAsia="黑体"/>
          <w:bCs/>
          <w:color w:val="000000" w:themeColor="text1"/>
          <w:sz w:val="24"/>
          <w:szCs w:val="24"/>
          <w:lang w:eastAsia="zh-CN"/>
          <w14:textFill>
            <w14:solidFill>
              <w14:schemeClr w14:val="tx1"/>
            </w14:solidFill>
          </w14:textFill>
        </w:rPr>
        <w:t>LXZC2021-054</w:t>
      </w:r>
      <w:r>
        <w:rPr>
          <w:rFonts w:hint="eastAsia" w:ascii="黑体" w:eastAsia="黑体"/>
          <w:bCs/>
          <w:color w:val="000000" w:themeColor="text1"/>
          <w:sz w:val="24"/>
          <w:szCs w:val="24"/>
          <w14:textFill>
            <w14:solidFill>
              <w14:schemeClr w14:val="tx1"/>
            </w14:solidFill>
          </w14:textFill>
        </w:rPr>
        <w:t>）</w:t>
      </w:r>
      <w:r>
        <w:rPr>
          <w:rFonts w:hint="eastAsia" w:ascii="宋体" w:hAnsi="宋体"/>
          <w:bCs/>
          <w:color w:val="000000" w:themeColor="text1"/>
          <w:sz w:val="24"/>
          <w:szCs w:val="24"/>
          <w14:textFill>
            <w14:solidFill>
              <w14:schemeClr w14:val="tx1"/>
            </w14:solidFill>
          </w14:textFill>
        </w:rPr>
        <w:t>的投标、参与开标、评标、签约等具体工作，并签署全部有关的文件、协议及合同。</w:t>
      </w:r>
    </w:p>
    <w:p>
      <w:pPr>
        <w:spacing w:line="580" w:lineRule="exact"/>
        <w:ind w:firstLine="480" w:firstLineChars="200"/>
        <w:rPr>
          <w:rFonts w:asci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我公司（单位）对被授权代表的签名负全部责任。</w:t>
      </w:r>
    </w:p>
    <w:p>
      <w:pPr>
        <w:spacing w:line="580" w:lineRule="exact"/>
        <w:ind w:firstLine="480" w:firstLineChars="200"/>
        <w:rPr>
          <w:rFonts w:asci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在撤销授权的书面通知送达你处以前，本授权书一直有效，被授权代表签署的所有文件（在授权书有效期内签署的）不因授权的撤销而失效。</w:t>
      </w:r>
    </w:p>
    <w:p>
      <w:pPr>
        <w:spacing w:line="580" w:lineRule="exact"/>
        <w:ind w:firstLine="480" w:firstLineChars="200"/>
        <w:rPr>
          <w:rFonts w:asci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被授权代表情况：</w:t>
      </w:r>
    </w:p>
    <w:p>
      <w:pPr>
        <w:spacing w:line="580" w:lineRule="exact"/>
        <w:ind w:firstLine="525"/>
        <w:rPr>
          <w:rFonts w:asci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姓名：</w:t>
      </w:r>
      <w:r>
        <w:rPr>
          <w:rFonts w:ascii="宋体" w:hAnsi="宋体"/>
          <w:bCs/>
          <w:color w:val="000000" w:themeColor="text1"/>
          <w:sz w:val="24"/>
          <w:szCs w:val="24"/>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性别：</w:t>
      </w:r>
      <w:r>
        <w:rPr>
          <w:rFonts w:ascii="宋体" w:hAnsi="宋体"/>
          <w:bCs/>
          <w:color w:val="000000" w:themeColor="text1"/>
          <w:sz w:val="24"/>
          <w:szCs w:val="24"/>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电话：</w:t>
      </w:r>
    </w:p>
    <w:p>
      <w:pPr>
        <w:spacing w:line="580" w:lineRule="exact"/>
        <w:ind w:firstLine="3240" w:firstLineChars="1350"/>
        <w:rPr>
          <w:rFonts w:ascii="宋体"/>
          <w:bCs/>
          <w:color w:val="000000" w:themeColor="text1"/>
          <w:sz w:val="24"/>
          <w:szCs w:val="24"/>
          <w14:textFill>
            <w14:solidFill>
              <w14:schemeClr w14:val="tx1"/>
            </w14:solidFill>
          </w14:textFill>
        </w:rPr>
      </w:pPr>
    </w:p>
    <w:p>
      <w:pPr>
        <w:spacing w:line="580" w:lineRule="exact"/>
        <w:ind w:firstLine="3240" w:firstLineChars="1350"/>
        <w:rPr>
          <w:rFonts w:ascii="宋体"/>
          <w:bCs/>
          <w:color w:val="000000" w:themeColor="text1"/>
          <w:sz w:val="24"/>
          <w:szCs w:val="24"/>
          <w14:textFill>
            <w14:solidFill>
              <w14:schemeClr w14:val="tx1"/>
            </w14:solidFill>
          </w14:textFill>
        </w:rPr>
      </w:pPr>
    </w:p>
    <w:p>
      <w:pPr>
        <w:spacing w:line="580" w:lineRule="exact"/>
        <w:ind w:firstLine="3240" w:firstLineChars="1350"/>
        <w:rPr>
          <w:rFonts w:ascii="宋体"/>
          <w:bCs/>
          <w:color w:val="000000" w:themeColor="text1"/>
          <w:sz w:val="24"/>
          <w:szCs w:val="24"/>
          <w14:textFill>
            <w14:solidFill>
              <w14:schemeClr w14:val="tx1"/>
            </w14:solidFill>
          </w14:textFill>
        </w:rPr>
      </w:pPr>
      <w:r>
        <w:rPr>
          <w:rFonts w:ascii="宋体" w:hAnsi="宋体"/>
          <w:bCs/>
          <w:color w:val="000000" w:themeColor="text1"/>
          <w:sz w:val="24"/>
          <w:szCs w:val="24"/>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单位名称（盖章）：</w:t>
      </w:r>
    </w:p>
    <w:p>
      <w:pPr>
        <w:spacing w:line="580" w:lineRule="exact"/>
        <w:ind w:firstLine="4080" w:firstLineChars="1700"/>
        <w:rPr>
          <w:rFonts w:asci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法定代表人（签字或盖章）：</w:t>
      </w: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pStyle w:val="2"/>
        <w:rPr>
          <w:rFonts w:ascii="黑体" w:hAnsi="宋体" w:eastAsia="黑体"/>
          <w:bCs/>
          <w:sz w:val="24"/>
          <w:szCs w:val="24"/>
        </w:rPr>
      </w:pPr>
    </w:p>
    <w:p>
      <w:pPr>
        <w:pStyle w:val="2"/>
        <w:rPr>
          <w:rFonts w:ascii="黑体" w:hAnsi="宋体" w:eastAsia="黑体"/>
          <w:bCs/>
          <w:sz w:val="24"/>
          <w:szCs w:val="24"/>
        </w:rPr>
      </w:pPr>
    </w:p>
    <w:p>
      <w:pPr>
        <w:ind w:firstLine="480" w:firstLineChars="200"/>
        <w:outlineLvl w:val="0"/>
        <w:rPr>
          <w:rFonts w:ascii="黑体" w:hAnsi="宋体" w:eastAsia="黑体"/>
          <w:bCs/>
          <w:sz w:val="24"/>
          <w:szCs w:val="24"/>
        </w:rPr>
      </w:pPr>
    </w:p>
    <w:p>
      <w:pPr>
        <w:outlineLvl w:val="0"/>
        <w:rPr>
          <w:rFonts w:ascii="黑体" w:hAnsi="宋体" w:eastAsia="黑体"/>
          <w:bCs/>
          <w:sz w:val="24"/>
          <w:szCs w:val="24"/>
        </w:rPr>
      </w:pPr>
    </w:p>
    <w:p>
      <w:pPr>
        <w:ind w:firstLine="480" w:firstLineChars="200"/>
        <w:outlineLvl w:val="0"/>
        <w:rPr>
          <w:rFonts w:ascii="黑体" w:eastAsia="黑体"/>
          <w:bCs/>
          <w:color w:val="000000"/>
          <w:sz w:val="28"/>
          <w:szCs w:val="28"/>
        </w:rPr>
      </w:pPr>
      <w:r>
        <w:rPr>
          <w:rFonts w:hint="eastAsia" w:ascii="黑体" w:hAnsi="宋体" w:eastAsia="黑体"/>
          <w:bCs/>
          <w:sz w:val="24"/>
          <w:szCs w:val="24"/>
        </w:rPr>
        <w:t>（四）</w:t>
      </w:r>
      <w:r>
        <w:rPr>
          <w:rFonts w:hint="eastAsia" w:ascii="黑体" w:hAnsi="宋体" w:eastAsia="黑体"/>
          <w:bCs/>
          <w:color w:val="000000"/>
          <w:sz w:val="24"/>
          <w:szCs w:val="24"/>
        </w:rPr>
        <w:t>（投标人）中小企业声明函（格式）：</w:t>
      </w:r>
    </w:p>
    <w:p>
      <w:pPr>
        <w:spacing w:line="480" w:lineRule="auto"/>
        <w:rPr>
          <w:rFonts w:ascii="宋体"/>
          <w:bCs/>
          <w:color w:val="000000" w:themeColor="text1"/>
          <w:sz w:val="24"/>
          <w:szCs w:val="24"/>
          <w14:textFill>
            <w14:solidFill>
              <w14:schemeClr w14:val="tx1"/>
            </w14:solidFill>
          </w14:textFill>
        </w:rPr>
      </w:pPr>
    </w:p>
    <w:p>
      <w:pPr>
        <w:jc w:val="center"/>
        <w:rPr>
          <w:rFonts w:ascii="黑体" w:eastAsia="黑体"/>
          <w:bCs/>
          <w:sz w:val="28"/>
          <w:szCs w:val="28"/>
        </w:rPr>
      </w:pPr>
      <w:r>
        <w:rPr>
          <w:rFonts w:hint="eastAsia" w:ascii="黑体" w:eastAsia="黑体"/>
          <w:bCs/>
          <w:sz w:val="28"/>
          <w:szCs w:val="28"/>
        </w:rPr>
        <w:t>中小企业声明函（服务）</w:t>
      </w:r>
    </w:p>
    <w:p>
      <w:pPr>
        <w:spacing w:line="580" w:lineRule="exact"/>
        <w:ind w:firstLine="480" w:firstLineChars="200"/>
        <w:rPr>
          <w:rFonts w:ascii="宋体" w:hAnsi="宋体"/>
          <w:bCs/>
          <w:sz w:val="24"/>
          <w:szCs w:val="24"/>
        </w:rPr>
      </w:pPr>
      <w:r>
        <w:rPr>
          <w:rFonts w:hint="eastAsia" w:ascii="宋体" w:hAnsi="宋体"/>
          <w:bCs/>
          <w:sz w:val="24"/>
          <w:szCs w:val="24"/>
        </w:rPr>
        <w:t xml:space="preserve">本公司（联合体）郑重声明，根据《政府采购促进中小企业发展管理办法》（财库﹝2020﹞46 号）的规定，本公司 </w:t>
      </w:r>
      <w:r>
        <w:rPr>
          <w:rFonts w:hint="eastAsia" w:ascii="宋体" w:hAnsi="宋体"/>
          <w:bCs/>
          <w:sz w:val="24"/>
          <w:szCs w:val="24"/>
          <w:u w:val="single"/>
        </w:rPr>
        <w:t>（联合体）</w:t>
      </w:r>
      <w:r>
        <w:rPr>
          <w:rFonts w:hint="eastAsia" w:ascii="宋体" w:hAnsi="宋体"/>
          <w:bCs/>
          <w:sz w:val="24"/>
          <w:szCs w:val="24"/>
        </w:rPr>
        <w:t>参加</w:t>
      </w:r>
      <w:r>
        <w:rPr>
          <w:rFonts w:hint="eastAsia" w:ascii="宋体" w:hAnsi="宋体"/>
          <w:bCs/>
          <w:sz w:val="24"/>
          <w:szCs w:val="24"/>
          <w:u w:val="single"/>
        </w:rPr>
        <w:t>（单位名称）</w:t>
      </w:r>
      <w:r>
        <w:rPr>
          <w:rFonts w:hint="eastAsia" w:ascii="宋体" w:hAnsi="宋体"/>
          <w:bCs/>
          <w:sz w:val="24"/>
          <w:szCs w:val="24"/>
        </w:rPr>
        <w:t>的</w:t>
      </w:r>
      <w:r>
        <w:rPr>
          <w:rFonts w:hint="eastAsia" w:ascii="宋体" w:hAnsi="宋体"/>
          <w:bCs/>
          <w:sz w:val="24"/>
          <w:szCs w:val="24"/>
          <w:u w:val="single"/>
        </w:rPr>
        <w:t>（项目名称）</w:t>
      </w:r>
      <w:r>
        <w:rPr>
          <w:rFonts w:hint="eastAsia" w:ascii="宋体" w:hAnsi="宋体"/>
          <w:bCs/>
          <w:sz w:val="24"/>
          <w:szCs w:val="24"/>
        </w:rPr>
        <w:t>采购活动，服务全部由符合政策要求的中小企业承接。相关企业（含联合体中的中小企业、签订分包意向协议的中小企业）的具体情况如下：</w:t>
      </w:r>
    </w:p>
    <w:p>
      <w:pPr>
        <w:spacing w:line="580" w:lineRule="exact"/>
        <w:ind w:firstLine="480" w:firstLineChars="200"/>
        <w:rPr>
          <w:rFonts w:ascii="宋体" w:hAnsi="宋体"/>
          <w:bCs/>
          <w:sz w:val="24"/>
          <w:szCs w:val="24"/>
        </w:rPr>
      </w:pPr>
      <w:r>
        <w:rPr>
          <w:rFonts w:hint="eastAsia" w:ascii="宋体" w:hAnsi="宋体"/>
          <w:bCs/>
          <w:sz w:val="24"/>
          <w:szCs w:val="24"/>
        </w:rPr>
        <w:t>1.</w:t>
      </w:r>
      <w:r>
        <w:rPr>
          <w:rFonts w:hint="eastAsia" w:ascii="宋体" w:hAnsi="宋体"/>
          <w:bCs/>
          <w:sz w:val="24"/>
          <w:szCs w:val="24"/>
          <w:u w:val="single"/>
        </w:rPr>
        <w:t xml:space="preserve"> （标的名称） </w:t>
      </w:r>
      <w:r>
        <w:rPr>
          <w:rFonts w:hint="eastAsia" w:ascii="宋体" w:hAnsi="宋体"/>
          <w:bCs/>
          <w:sz w:val="24"/>
          <w:szCs w:val="24"/>
        </w:rPr>
        <w:t>，属于</w:t>
      </w:r>
      <w:r>
        <w:rPr>
          <w:rFonts w:hint="eastAsia" w:ascii="宋体" w:hAnsi="宋体"/>
          <w:bCs/>
          <w:sz w:val="24"/>
          <w:szCs w:val="24"/>
          <w:u w:val="single"/>
        </w:rPr>
        <w:t>（采购文件中明确的所属行业）</w:t>
      </w:r>
      <w:r>
        <w:rPr>
          <w:rFonts w:hint="eastAsia" w:ascii="宋体" w:hAnsi="宋体"/>
          <w:bCs/>
          <w:sz w:val="24"/>
          <w:szCs w:val="24"/>
        </w:rPr>
        <w:t>； 承建（承接）企业为</w:t>
      </w:r>
      <w:r>
        <w:rPr>
          <w:rFonts w:hint="eastAsia" w:ascii="宋体" w:hAnsi="宋体"/>
          <w:bCs/>
          <w:sz w:val="24"/>
          <w:szCs w:val="24"/>
          <w:u w:val="single"/>
        </w:rPr>
        <w:t>（企业名称）</w:t>
      </w:r>
      <w:r>
        <w:rPr>
          <w:rFonts w:hint="eastAsia" w:ascii="宋体" w:hAnsi="宋体"/>
          <w:bCs/>
          <w:sz w:val="24"/>
          <w:szCs w:val="24"/>
        </w:rPr>
        <w:t>，从业人员</w:t>
      </w:r>
      <w:r>
        <w:rPr>
          <w:rFonts w:hint="eastAsia" w:ascii="宋体" w:hAnsi="宋体"/>
          <w:bCs/>
          <w:sz w:val="24"/>
          <w:szCs w:val="24"/>
          <w:u w:val="single"/>
        </w:rPr>
        <w:t xml:space="preserve">    </w:t>
      </w:r>
      <w:r>
        <w:rPr>
          <w:rFonts w:hint="eastAsia" w:ascii="宋体" w:hAnsi="宋体"/>
          <w:bCs/>
          <w:sz w:val="24"/>
          <w:szCs w:val="24"/>
        </w:rPr>
        <w:t>人，营业收入为</w:t>
      </w:r>
      <w:r>
        <w:rPr>
          <w:rFonts w:hint="eastAsia" w:ascii="宋体" w:hAnsi="宋体"/>
          <w:bCs/>
          <w:sz w:val="24"/>
          <w:szCs w:val="24"/>
          <w:u w:val="single"/>
        </w:rPr>
        <w:t xml:space="preserve">     </w:t>
      </w:r>
      <w:r>
        <w:rPr>
          <w:rFonts w:hint="eastAsia" w:ascii="宋体" w:hAnsi="宋体"/>
          <w:bCs/>
          <w:sz w:val="24"/>
          <w:szCs w:val="24"/>
        </w:rPr>
        <w:t>万元，资产总额为</w:t>
      </w:r>
      <w:r>
        <w:rPr>
          <w:rFonts w:hint="eastAsia" w:ascii="宋体" w:hAnsi="宋体"/>
          <w:bCs/>
          <w:sz w:val="24"/>
          <w:szCs w:val="24"/>
          <w:u w:val="single"/>
        </w:rPr>
        <w:t xml:space="preserve">     </w:t>
      </w:r>
      <w:r>
        <w:rPr>
          <w:rFonts w:hint="eastAsia" w:ascii="宋体" w:hAnsi="宋体"/>
          <w:bCs/>
          <w:sz w:val="24"/>
          <w:szCs w:val="24"/>
        </w:rPr>
        <w:t>万元，属于</w:t>
      </w:r>
      <w:r>
        <w:rPr>
          <w:rFonts w:hint="eastAsia" w:ascii="宋体" w:hAnsi="宋体"/>
          <w:bCs/>
          <w:sz w:val="24"/>
          <w:szCs w:val="24"/>
          <w:u w:val="single"/>
        </w:rPr>
        <w:t>（中型企业、 小型企业、微型企业）</w:t>
      </w:r>
      <w:r>
        <w:rPr>
          <w:rFonts w:hint="eastAsia" w:ascii="宋体" w:hAnsi="宋体"/>
          <w:bCs/>
          <w:sz w:val="24"/>
          <w:szCs w:val="24"/>
        </w:rPr>
        <w:t>；</w:t>
      </w:r>
    </w:p>
    <w:p>
      <w:pPr>
        <w:spacing w:line="580" w:lineRule="exact"/>
        <w:ind w:firstLine="480" w:firstLineChars="200"/>
        <w:rPr>
          <w:rFonts w:ascii="宋体" w:hAnsi="宋体"/>
          <w:bCs/>
          <w:sz w:val="24"/>
          <w:szCs w:val="24"/>
        </w:rPr>
      </w:pPr>
      <w:r>
        <w:rPr>
          <w:rFonts w:hint="eastAsia" w:ascii="宋体" w:hAnsi="宋体"/>
          <w:bCs/>
          <w:sz w:val="24"/>
          <w:szCs w:val="24"/>
        </w:rPr>
        <w:t>2.</w:t>
      </w:r>
      <w:r>
        <w:rPr>
          <w:rFonts w:hint="eastAsia" w:ascii="宋体" w:hAnsi="宋体"/>
          <w:bCs/>
          <w:sz w:val="24"/>
          <w:szCs w:val="24"/>
          <w:u w:val="single"/>
        </w:rPr>
        <w:t xml:space="preserve"> （标的名称） </w:t>
      </w:r>
      <w:r>
        <w:rPr>
          <w:rFonts w:hint="eastAsia" w:ascii="宋体" w:hAnsi="宋体"/>
          <w:bCs/>
          <w:sz w:val="24"/>
          <w:szCs w:val="24"/>
        </w:rPr>
        <w:t>，属于</w:t>
      </w:r>
      <w:r>
        <w:rPr>
          <w:rFonts w:hint="eastAsia" w:ascii="宋体" w:hAnsi="宋体"/>
          <w:bCs/>
          <w:sz w:val="24"/>
          <w:szCs w:val="24"/>
          <w:u w:val="single"/>
        </w:rPr>
        <w:t>（采购文件中明确的所属行业）</w:t>
      </w:r>
      <w:r>
        <w:rPr>
          <w:rFonts w:hint="eastAsia" w:ascii="宋体" w:hAnsi="宋体"/>
          <w:bCs/>
          <w:sz w:val="24"/>
          <w:szCs w:val="24"/>
        </w:rPr>
        <w:t>； 承建（承接）企业为</w:t>
      </w:r>
      <w:r>
        <w:rPr>
          <w:rFonts w:hint="eastAsia" w:ascii="宋体" w:hAnsi="宋体"/>
          <w:bCs/>
          <w:sz w:val="24"/>
          <w:szCs w:val="24"/>
          <w:u w:val="single"/>
        </w:rPr>
        <w:t>（企业名称）</w:t>
      </w:r>
      <w:r>
        <w:rPr>
          <w:rFonts w:hint="eastAsia" w:ascii="宋体" w:hAnsi="宋体"/>
          <w:bCs/>
          <w:sz w:val="24"/>
          <w:szCs w:val="24"/>
        </w:rPr>
        <w:t>，从业人员</w:t>
      </w:r>
      <w:r>
        <w:rPr>
          <w:rFonts w:hint="eastAsia" w:ascii="宋体" w:hAnsi="宋体"/>
          <w:bCs/>
          <w:sz w:val="24"/>
          <w:szCs w:val="24"/>
          <w:u w:val="single"/>
        </w:rPr>
        <w:t xml:space="preserve">    </w:t>
      </w:r>
      <w:r>
        <w:rPr>
          <w:rFonts w:hint="eastAsia" w:ascii="宋体" w:hAnsi="宋体"/>
          <w:bCs/>
          <w:sz w:val="24"/>
          <w:szCs w:val="24"/>
        </w:rPr>
        <w:t>人，营业收入为</w:t>
      </w:r>
      <w:r>
        <w:rPr>
          <w:rFonts w:hint="eastAsia" w:ascii="宋体" w:hAnsi="宋体"/>
          <w:bCs/>
          <w:sz w:val="24"/>
          <w:szCs w:val="24"/>
          <w:u w:val="single"/>
        </w:rPr>
        <w:t xml:space="preserve">     </w:t>
      </w:r>
      <w:r>
        <w:rPr>
          <w:rFonts w:hint="eastAsia" w:ascii="宋体" w:hAnsi="宋体"/>
          <w:bCs/>
          <w:sz w:val="24"/>
          <w:szCs w:val="24"/>
        </w:rPr>
        <w:t>万元，资产总额为</w:t>
      </w:r>
      <w:r>
        <w:rPr>
          <w:rFonts w:hint="eastAsia" w:ascii="宋体" w:hAnsi="宋体"/>
          <w:bCs/>
          <w:sz w:val="24"/>
          <w:szCs w:val="24"/>
          <w:u w:val="single"/>
        </w:rPr>
        <w:t xml:space="preserve">     </w:t>
      </w:r>
      <w:r>
        <w:rPr>
          <w:rFonts w:hint="eastAsia" w:ascii="宋体" w:hAnsi="宋体"/>
          <w:bCs/>
          <w:sz w:val="24"/>
          <w:szCs w:val="24"/>
        </w:rPr>
        <w:t>万元，属于</w:t>
      </w:r>
      <w:r>
        <w:rPr>
          <w:rFonts w:hint="eastAsia" w:ascii="宋体" w:hAnsi="宋体"/>
          <w:bCs/>
          <w:sz w:val="24"/>
          <w:szCs w:val="24"/>
          <w:u w:val="single"/>
        </w:rPr>
        <w:t>（中型企业、 小型企业、微型企业）</w:t>
      </w:r>
      <w:r>
        <w:rPr>
          <w:rFonts w:hint="eastAsia" w:ascii="宋体" w:hAnsi="宋体"/>
          <w:bCs/>
          <w:sz w:val="24"/>
          <w:szCs w:val="24"/>
        </w:rPr>
        <w:t>；</w:t>
      </w:r>
    </w:p>
    <w:p>
      <w:pPr>
        <w:spacing w:line="580" w:lineRule="exact"/>
        <w:ind w:firstLine="480" w:firstLineChars="200"/>
        <w:rPr>
          <w:rFonts w:ascii="宋体" w:hAnsi="宋体"/>
          <w:bCs/>
          <w:sz w:val="24"/>
          <w:szCs w:val="24"/>
        </w:rPr>
      </w:pPr>
      <w:r>
        <w:rPr>
          <w:rFonts w:hint="eastAsia" w:ascii="宋体" w:hAnsi="宋体"/>
          <w:bCs/>
          <w:sz w:val="24"/>
          <w:szCs w:val="24"/>
        </w:rPr>
        <w:t>……</w:t>
      </w:r>
    </w:p>
    <w:p>
      <w:pPr>
        <w:spacing w:line="580" w:lineRule="exact"/>
        <w:ind w:firstLine="480" w:firstLineChars="200"/>
        <w:rPr>
          <w:rFonts w:ascii="宋体" w:hAnsi="宋体"/>
          <w:bCs/>
          <w:sz w:val="24"/>
          <w:szCs w:val="24"/>
        </w:rPr>
      </w:pPr>
      <w:r>
        <w:rPr>
          <w:rFonts w:hint="eastAsia" w:ascii="宋体" w:hAnsi="宋体"/>
          <w:bCs/>
          <w:sz w:val="24"/>
          <w:szCs w:val="24"/>
        </w:rPr>
        <w:t>以上企业，不属于大企业的分支机构，不存在控股股东为大企业的情形，也不存在与大企业的负责人为同一人的情形。 本企业对上述声明内容的真实性负责。如有虚假，将依 法承担相应责任。</w:t>
      </w:r>
    </w:p>
    <w:p>
      <w:pPr>
        <w:outlineLvl w:val="0"/>
        <w:rPr>
          <w:rFonts w:ascii="黑体" w:hAnsi="宋体" w:eastAsia="黑体"/>
          <w:bCs/>
          <w:sz w:val="24"/>
          <w:szCs w:val="24"/>
        </w:rPr>
      </w:pPr>
    </w:p>
    <w:p>
      <w:pPr>
        <w:outlineLvl w:val="0"/>
        <w:rPr>
          <w:rFonts w:ascii="黑体" w:hAnsi="宋体" w:eastAsia="黑体"/>
          <w:bCs/>
          <w:sz w:val="24"/>
          <w:szCs w:val="24"/>
        </w:rPr>
      </w:pPr>
      <w:r>
        <w:rPr>
          <w:rFonts w:hint="eastAsia" w:ascii="黑体" w:hAnsi="宋体" w:eastAsia="黑体"/>
          <w:bCs/>
          <w:sz w:val="24"/>
          <w:szCs w:val="24"/>
        </w:rPr>
        <w:t xml:space="preserve"> </w:t>
      </w:r>
    </w:p>
    <w:p>
      <w:pPr>
        <w:outlineLvl w:val="0"/>
        <w:rPr>
          <w:rFonts w:ascii="黑体" w:hAnsi="宋体" w:eastAsia="黑体"/>
          <w:bCs/>
          <w:sz w:val="24"/>
          <w:szCs w:val="24"/>
        </w:rPr>
      </w:pPr>
    </w:p>
    <w:p>
      <w:pPr>
        <w:spacing w:line="360" w:lineRule="auto"/>
        <w:ind w:firstLine="4800" w:firstLineChars="2000"/>
        <w:rPr>
          <w:rFonts w:ascii="宋体" w:hAnsi="宋体"/>
          <w:bCs/>
          <w:sz w:val="24"/>
          <w:szCs w:val="24"/>
        </w:rPr>
      </w:pPr>
      <w:r>
        <w:rPr>
          <w:rFonts w:hint="eastAsia" w:ascii="宋体" w:hAnsi="宋体"/>
          <w:bCs/>
          <w:sz w:val="24"/>
          <w:szCs w:val="24"/>
        </w:rPr>
        <w:t>企业名称（盖章）：</w:t>
      </w:r>
    </w:p>
    <w:p>
      <w:pPr>
        <w:spacing w:line="360" w:lineRule="auto"/>
        <w:ind w:firstLine="4800" w:firstLineChars="2000"/>
        <w:rPr>
          <w:rFonts w:ascii="宋体" w:hAnsi="宋体"/>
          <w:bCs/>
          <w:sz w:val="24"/>
          <w:szCs w:val="24"/>
        </w:rPr>
      </w:pPr>
    </w:p>
    <w:p>
      <w:pPr>
        <w:spacing w:line="360" w:lineRule="auto"/>
        <w:ind w:firstLine="4800" w:firstLineChars="2000"/>
        <w:rPr>
          <w:rFonts w:ascii="宋体" w:hAnsi="宋体"/>
          <w:bCs/>
          <w:sz w:val="24"/>
          <w:szCs w:val="24"/>
        </w:rPr>
      </w:pPr>
      <w:r>
        <w:rPr>
          <w:rFonts w:hint="eastAsia" w:ascii="宋体" w:hAnsi="宋体"/>
          <w:bCs/>
          <w:sz w:val="24"/>
          <w:szCs w:val="24"/>
        </w:rPr>
        <w:t>日　　　　　　期：</w:t>
      </w:r>
    </w:p>
    <w:p>
      <w:pPr>
        <w:spacing w:line="360" w:lineRule="auto"/>
        <w:rPr>
          <w:rFonts w:ascii="宋体" w:hAnsi="宋体"/>
          <w:bCs/>
          <w:sz w:val="24"/>
          <w:szCs w:val="24"/>
        </w:rPr>
      </w:pPr>
    </w:p>
    <w:p>
      <w:pPr>
        <w:spacing w:line="360" w:lineRule="auto"/>
        <w:ind w:firstLine="420" w:firstLineChars="200"/>
      </w:pPr>
      <w:r>
        <w:rPr>
          <w:rFonts w:hint="eastAsia"/>
        </w:rPr>
        <w:t>注：</w:t>
      </w:r>
      <w:r>
        <w:t>1.</w:t>
      </w:r>
      <w:r>
        <w:rPr>
          <w:rFonts w:hint="eastAsia"/>
        </w:rPr>
        <w:t>从业人员、营业收入、资产总额填报上一年度数据，无上一年度数据的新成立企业可不填报。</w:t>
      </w:r>
    </w:p>
    <w:p>
      <w:pPr>
        <w:spacing w:line="360" w:lineRule="auto"/>
        <w:ind w:firstLine="420" w:firstLineChars="200"/>
      </w:pPr>
      <w:r>
        <w:t>2.</w:t>
      </w:r>
      <w:r>
        <w:rPr>
          <w:rFonts w:hint="eastAsia"/>
        </w:rPr>
        <w:t>中标供应商的《中小企业声明函》将随中标公告进行公示。供应商按照本办法规定提供声明函内容不实的，属于提供虚假材料谋取中标、成交，依照《中华人民共和国政府采购法》等国家有关规定追究相应责任。</w:t>
      </w:r>
    </w:p>
    <w:p>
      <w:pPr>
        <w:ind w:firstLine="480" w:firstLineChars="200"/>
        <w:outlineLvl w:val="0"/>
        <w:rPr>
          <w:rFonts w:ascii="黑体" w:hAnsi="宋体" w:eastAsia="黑体"/>
          <w:bCs/>
          <w:sz w:val="24"/>
          <w:szCs w:val="24"/>
        </w:rPr>
      </w:pPr>
      <w:r>
        <w:rPr>
          <w:rFonts w:hint="eastAsia" w:ascii="黑体" w:hAnsi="宋体" w:eastAsia="黑体"/>
          <w:bCs/>
          <w:sz w:val="24"/>
          <w:szCs w:val="24"/>
        </w:rPr>
        <w:t>（五）</w:t>
      </w:r>
      <w:bookmarkStart w:id="147" w:name="OLE_LINK14"/>
      <w:bookmarkStart w:id="148" w:name="OLE_LINK13"/>
      <w:r>
        <w:rPr>
          <w:rFonts w:hint="eastAsia" w:ascii="黑体" w:hAnsi="宋体" w:eastAsia="黑体"/>
          <w:bCs/>
          <w:sz w:val="24"/>
          <w:szCs w:val="24"/>
        </w:rPr>
        <w:t>（投标人）残疾人福利性单位声明函（格式）：</w:t>
      </w:r>
    </w:p>
    <w:bookmarkEnd w:id="147"/>
    <w:bookmarkEnd w:id="148"/>
    <w:p>
      <w:pPr>
        <w:spacing w:line="588" w:lineRule="exact"/>
        <w:rPr>
          <w:rFonts w:ascii="仿宋_GB2312" w:eastAsia="仿宋_GB2312"/>
          <w:b/>
          <w:spacing w:val="6"/>
          <w:sz w:val="30"/>
          <w:szCs w:val="30"/>
        </w:rPr>
      </w:pPr>
    </w:p>
    <w:p>
      <w:pPr>
        <w:jc w:val="center"/>
        <w:rPr>
          <w:rFonts w:ascii="黑体" w:eastAsia="黑体"/>
          <w:bCs/>
          <w:sz w:val="28"/>
          <w:szCs w:val="28"/>
        </w:rPr>
      </w:pPr>
      <w:r>
        <w:rPr>
          <w:rFonts w:hint="eastAsia" w:ascii="黑体" w:eastAsia="黑体"/>
          <w:bCs/>
          <w:sz w:val="28"/>
          <w:szCs w:val="28"/>
        </w:rPr>
        <w:t>残疾人福利性单位声明函</w:t>
      </w:r>
    </w:p>
    <w:p>
      <w:pPr>
        <w:jc w:val="center"/>
        <w:rPr>
          <w:rFonts w:ascii="黑体" w:eastAsia="黑体"/>
          <w:bCs/>
          <w:sz w:val="28"/>
          <w:szCs w:val="28"/>
        </w:rPr>
      </w:pPr>
    </w:p>
    <w:p>
      <w:pPr>
        <w:spacing w:line="580" w:lineRule="exact"/>
        <w:ind w:firstLine="480" w:firstLineChars="200"/>
        <w:rPr>
          <w:rFonts w:ascii="宋体" w:hAnsi="宋体"/>
          <w:bCs/>
          <w:sz w:val="24"/>
          <w:szCs w:val="24"/>
        </w:rPr>
      </w:pPr>
      <w:r>
        <w:rPr>
          <w:rFonts w:hint="eastAsia" w:ascii="宋体" w:hAnsi="宋体"/>
          <w:bCs/>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0" w:lineRule="exact"/>
        <w:ind w:firstLine="480" w:firstLineChars="200"/>
        <w:rPr>
          <w:rFonts w:ascii="宋体" w:hAnsi="宋体"/>
          <w:bCs/>
          <w:sz w:val="24"/>
          <w:szCs w:val="24"/>
        </w:rPr>
      </w:pPr>
      <w:r>
        <w:rPr>
          <w:rFonts w:hint="eastAsia" w:ascii="宋体" w:hAnsi="宋体"/>
          <w:bCs/>
          <w:sz w:val="24"/>
          <w:szCs w:val="24"/>
        </w:rPr>
        <w:t>本单位对上述声明的真实性负责。如有虚假，将依法承担相应责任。</w:t>
      </w: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r>
        <w:rPr>
          <w:rFonts w:hint="eastAsia" w:ascii="宋体" w:hAnsi="宋体"/>
          <w:bCs/>
          <w:sz w:val="24"/>
          <w:szCs w:val="24"/>
        </w:rPr>
        <w:t>单位名称（盖章）：</w:t>
      </w:r>
    </w:p>
    <w:p>
      <w:pPr>
        <w:spacing w:line="580" w:lineRule="exact"/>
        <w:ind w:firstLine="480" w:firstLineChars="200"/>
        <w:rPr>
          <w:rFonts w:ascii="宋体" w:hAnsi="宋体"/>
          <w:bCs/>
          <w:sz w:val="24"/>
          <w:szCs w:val="24"/>
        </w:rPr>
      </w:pPr>
      <w:r>
        <w:rPr>
          <w:rFonts w:hint="eastAsia" w:ascii="宋体" w:hAnsi="宋体"/>
          <w:bCs/>
          <w:sz w:val="24"/>
          <w:szCs w:val="24"/>
        </w:rPr>
        <w:t>日  期：</w:t>
      </w: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2"/>
        <w:rPr>
          <w:rFonts w:ascii="黑体" w:hAnsi="宋体" w:eastAsia="黑体"/>
          <w:bCs/>
          <w:sz w:val="24"/>
          <w:szCs w:val="24"/>
        </w:rPr>
      </w:pPr>
      <w:r>
        <w:rPr>
          <w:rFonts w:hint="eastAsia" w:ascii="黑体" w:hAnsi="宋体" w:eastAsia="黑体"/>
          <w:bCs/>
          <w:sz w:val="24"/>
          <w:szCs w:val="24"/>
        </w:rPr>
        <w:t>（六）承诺书（格式）：</w:t>
      </w:r>
    </w:p>
    <w:p>
      <w:pPr>
        <w:rPr>
          <w:rFonts w:ascii="黑体" w:eastAsia="黑体"/>
          <w:bCs/>
          <w:sz w:val="28"/>
          <w:szCs w:val="28"/>
        </w:rPr>
      </w:pPr>
    </w:p>
    <w:p>
      <w:pPr>
        <w:jc w:val="center"/>
        <w:rPr>
          <w:rFonts w:ascii="黑体" w:eastAsia="黑体"/>
          <w:bCs/>
          <w:color w:val="000000" w:themeColor="text1"/>
          <w:sz w:val="28"/>
          <w:szCs w:val="28"/>
          <w14:textFill>
            <w14:solidFill>
              <w14:schemeClr w14:val="tx1"/>
            </w14:solidFill>
          </w14:textFill>
        </w:rPr>
      </w:pPr>
      <w:r>
        <w:rPr>
          <w:rFonts w:hint="eastAsia" w:ascii="黑体" w:eastAsia="黑体"/>
          <w:bCs/>
          <w:color w:val="000000" w:themeColor="text1"/>
          <w:sz w:val="28"/>
          <w:szCs w:val="28"/>
          <w14:textFill>
            <w14:solidFill>
              <w14:schemeClr w14:val="tx1"/>
            </w14:solidFill>
          </w14:textFill>
        </w:rPr>
        <w:t>服务保障承诺书</w:t>
      </w:r>
    </w:p>
    <w:p>
      <w:pPr>
        <w:spacing w:line="48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（投标人名称）针</w:t>
      </w:r>
      <w:r>
        <w:rPr>
          <w:rFonts w:hint="eastAsia" w:ascii="宋体" w:hAnsi="宋体"/>
          <w:bCs/>
          <w:color w:val="000000" w:themeColor="text1"/>
          <w:sz w:val="24"/>
          <w:szCs w:val="24"/>
          <w14:textFill>
            <w14:solidFill>
              <w14:schemeClr w14:val="tx1"/>
            </w14:solidFill>
          </w14:textFill>
        </w:rPr>
        <w:t>对本项目（</w:t>
      </w:r>
      <w:r>
        <w:rPr>
          <w:rFonts w:hint="eastAsia" w:ascii="宋体" w:hAnsi="宋体"/>
          <w:bCs/>
          <w:color w:val="000000" w:themeColor="text1"/>
          <w:sz w:val="24"/>
          <w:szCs w:val="24"/>
          <w:lang w:eastAsia="zh-CN"/>
          <w14:textFill>
            <w14:solidFill>
              <w14:schemeClr w14:val="tx1"/>
            </w14:solidFill>
          </w14:textFill>
        </w:rPr>
        <w:t>LXZC2021-054</w:t>
      </w:r>
      <w:r>
        <w:rPr>
          <w:rFonts w:hint="eastAsia" w:ascii="宋体" w:hAnsi="宋体"/>
          <w:bCs/>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在此承诺：</w:t>
      </w:r>
    </w:p>
    <w:p>
      <w:pPr>
        <w:spacing w:line="480" w:lineRule="auto"/>
        <w:rPr>
          <w:rFonts w:ascii="宋体" w:hAnsi="宋体"/>
          <w:color w:val="000000" w:themeColor="text1"/>
          <w:sz w:val="24"/>
          <w:szCs w:val="24"/>
          <w14:textFill>
            <w14:solidFill>
              <w14:schemeClr w14:val="tx1"/>
            </w14:solidFill>
          </w14:textFill>
        </w:rPr>
      </w:pPr>
    </w:p>
    <w:p>
      <w:pPr>
        <w:tabs>
          <w:tab w:val="left" w:pos="945"/>
        </w:tabs>
        <w:spacing w:line="360" w:lineRule="auto"/>
        <w:ind w:firstLine="465"/>
        <w:rPr>
          <w:rFonts w:ascii="宋体" w:hAnsi="宋体"/>
          <w:b/>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本公司（单位）</w:t>
      </w:r>
      <w:r>
        <w:rPr>
          <w:rFonts w:hint="eastAsia" w:ascii="宋体" w:hAnsi="宋体"/>
          <w:bCs/>
          <w:color w:val="000000" w:themeColor="text1"/>
          <w:sz w:val="24"/>
          <w:szCs w:val="24"/>
          <w14:textFill>
            <w14:solidFill>
              <w14:schemeClr w14:val="tx1"/>
            </w14:solidFill>
          </w14:textFill>
        </w:rPr>
        <w:t>具备履行合同所必需的设备和专业技术能力；</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本公司未被“</w:t>
      </w:r>
      <w:r>
        <w:rPr>
          <w:rFonts w:hint="eastAsia" w:ascii="宋体" w:hAnsi="宋体"/>
          <w:bCs/>
          <w:color w:val="000000" w:themeColor="text1"/>
          <w:sz w:val="24"/>
          <w:szCs w:val="24"/>
          <w14:textFill>
            <w14:solidFill>
              <w14:schemeClr w14:val="tx1"/>
            </w14:solidFill>
          </w14:textFill>
        </w:rPr>
        <w:t>信用中国</w:t>
      </w:r>
      <w:r>
        <w:rPr>
          <w:rFonts w:hint="eastAsia" w:ascii="宋体" w:hAnsi="宋体"/>
          <w:color w:val="000000" w:themeColor="text1"/>
          <w:sz w:val="24"/>
          <w:szCs w:val="24"/>
          <w14:textFill>
            <w14:solidFill>
              <w14:schemeClr w14:val="tx1"/>
            </w14:solidFill>
          </w14:textFill>
        </w:rPr>
        <w:t>”</w:t>
      </w:r>
      <w:r>
        <w:rPr>
          <w:rFonts w:hint="eastAsia" w:ascii="宋体" w:hAnsi="宋体"/>
          <w:bCs/>
          <w:color w:val="000000" w:themeColor="text1"/>
          <w:sz w:val="24"/>
          <w:szCs w:val="24"/>
          <w14:textFill>
            <w14:solidFill>
              <w14:schemeClr w14:val="tx1"/>
            </w14:solidFill>
          </w14:textFill>
        </w:rPr>
        <w:t>网站（</w:t>
      </w:r>
      <w:r>
        <w:fldChar w:fldCharType="begin"/>
      </w:r>
      <w:r>
        <w:instrText xml:space="preserve"> HYPERLINK "http://www.creditchina.gov.cn" </w:instrText>
      </w:r>
      <w:r>
        <w:fldChar w:fldCharType="separate"/>
      </w:r>
      <w:r>
        <w:rPr>
          <w:rStyle w:val="49"/>
          <w:rFonts w:hint="eastAsia" w:ascii="宋体" w:hAnsi="宋体"/>
          <w:bCs/>
          <w:color w:val="000000" w:themeColor="text1"/>
          <w:sz w:val="24"/>
          <w:szCs w:val="24"/>
          <w14:textFill>
            <w14:solidFill>
              <w14:schemeClr w14:val="tx1"/>
            </w14:solidFill>
          </w14:textFill>
        </w:rPr>
        <w:t>www.creditchina.gov.cn</w:t>
      </w:r>
      <w:r>
        <w:rPr>
          <w:rStyle w:val="49"/>
          <w:rFonts w:hint="eastAsia" w:ascii="宋体" w:hAnsi="宋体"/>
          <w:bCs/>
          <w:color w:val="000000" w:themeColor="text1"/>
          <w:sz w:val="24"/>
          <w:szCs w:val="24"/>
          <w14:textFill>
            <w14:solidFill>
              <w14:schemeClr w14:val="tx1"/>
            </w14:solidFill>
          </w14:textFill>
        </w:rPr>
        <w:fldChar w:fldCharType="end"/>
      </w:r>
      <w:r>
        <w:rPr>
          <w:rFonts w:hint="eastAsia" w:ascii="宋体" w:hAnsi="宋体"/>
          <w:bCs/>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列入失信被执行人、重大税收违法案件当事人名单、政府采购严重违法失信行为记录名单。</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p>
    <w:p>
      <w:pPr>
        <w:tabs>
          <w:tab w:val="left" w:pos="945"/>
        </w:tabs>
        <w:spacing w:line="360" w:lineRule="auto"/>
        <w:ind w:firstLine="465"/>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p>
    <w:p>
      <w:pPr>
        <w:tabs>
          <w:tab w:val="left" w:pos="945"/>
        </w:tabs>
        <w:spacing w:line="360" w:lineRule="auto"/>
        <w:ind w:firstLine="465"/>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w:t>
      </w:r>
    </w:p>
    <w:p>
      <w:pPr>
        <w:spacing w:line="480" w:lineRule="auto"/>
        <w:ind w:firstLine="960" w:firstLineChars="4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w:t>
      </w:r>
    </w:p>
    <w:p>
      <w:pPr>
        <w:spacing w:line="480" w:lineRule="auto"/>
        <w:ind w:firstLine="960" w:firstLineChars="4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如违背上述承诺，本公司</w:t>
      </w:r>
      <w:r>
        <w:rPr>
          <w:rFonts w:hint="eastAsia" w:ascii="宋体" w:hAnsi="宋体"/>
          <w:color w:val="000000" w:themeColor="text1"/>
          <w:sz w:val="24"/>
          <w:szCs w:val="24"/>
          <w14:textFill>
            <w14:solidFill>
              <w14:schemeClr w14:val="tx1"/>
            </w14:solidFill>
          </w14:textFill>
        </w:rPr>
        <w:t>（单位）</w:t>
      </w:r>
      <w:r>
        <w:rPr>
          <w:rFonts w:hint="eastAsia" w:ascii="宋体" w:hAnsi="宋体"/>
          <w:bCs/>
          <w:color w:val="000000" w:themeColor="text1"/>
          <w:sz w:val="24"/>
          <w:szCs w:val="24"/>
          <w14:textFill>
            <w14:solidFill>
              <w14:schemeClr w14:val="tx1"/>
            </w14:solidFill>
          </w14:textFill>
        </w:rPr>
        <w:t>将承担一切法律责任。</w:t>
      </w:r>
    </w:p>
    <w:p>
      <w:pPr>
        <w:spacing w:line="480" w:lineRule="auto"/>
        <w:rPr>
          <w:rFonts w:ascii="宋体" w:hAnsi="宋体"/>
          <w:bCs/>
          <w:color w:val="000000" w:themeColor="text1"/>
          <w:sz w:val="24"/>
          <w:szCs w:val="24"/>
          <w14:textFill>
            <w14:solidFill>
              <w14:schemeClr w14:val="tx1"/>
            </w14:solidFill>
          </w14:textFill>
        </w:rPr>
      </w:pPr>
    </w:p>
    <w:p>
      <w:pPr>
        <w:spacing w:line="480" w:lineRule="auto"/>
        <w:ind w:firstLine="3720" w:firstLineChars="1550"/>
        <w:rPr>
          <w:rFonts w:ascii="宋体" w:hAnsi="宋体"/>
          <w:bCs/>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w:t>
      </w:r>
      <w:r>
        <w:rPr>
          <w:rFonts w:hint="eastAsia" w:ascii="宋体" w:hAnsi="宋体"/>
          <w:bCs/>
          <w:color w:val="000000" w:themeColor="text1"/>
          <w:sz w:val="24"/>
          <w:szCs w:val="24"/>
          <w14:textFill>
            <w14:solidFill>
              <w14:schemeClr w14:val="tx1"/>
            </w14:solidFill>
          </w14:textFill>
        </w:rPr>
        <w:t>（盖章）：</w:t>
      </w:r>
    </w:p>
    <w:p>
      <w:pPr>
        <w:spacing w:line="480" w:lineRule="auto"/>
        <w:ind w:firstLine="480" w:firstLineChars="2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法定代表人或法定代表人授权代表签字或盖章：</w:t>
      </w:r>
    </w:p>
    <w:p>
      <w:pPr>
        <w:spacing w:line="480" w:lineRule="auto"/>
        <w:ind w:firstLine="480" w:firstLineChars="200"/>
        <w:rPr>
          <w:rFonts w:ascii="宋体" w:hAnsi="宋体"/>
          <w:bCs/>
          <w:color w:val="000000" w:themeColor="text1"/>
          <w:sz w:val="24"/>
          <w:szCs w:val="24"/>
          <w14:textFill>
            <w14:solidFill>
              <w14:schemeClr w14:val="tx1"/>
            </w14:solidFill>
          </w14:textFill>
        </w:rPr>
      </w:pPr>
    </w:p>
    <w:p>
      <w:pPr>
        <w:spacing w:line="480" w:lineRule="auto"/>
        <w:ind w:firstLine="420" w:firstLineChars="200"/>
        <w:rPr>
          <w:b/>
          <w:bCs/>
        </w:rPr>
        <w:sectPr>
          <w:headerReference r:id="rId7" w:type="default"/>
          <w:footerReference r:id="rId8" w:type="default"/>
          <w:footerReference r:id="rId9" w:type="even"/>
          <w:pgSz w:w="11906" w:h="16838"/>
          <w:pgMar w:top="567" w:right="851" w:bottom="567" w:left="1134" w:header="624" w:footer="907" w:gutter="0"/>
          <w:pgNumType w:start="0"/>
          <w:cols w:space="720" w:num="1"/>
          <w:titlePg/>
          <w:docGrid w:type="linesAndChars" w:linePitch="312" w:charSpace="0"/>
        </w:sectPr>
      </w:pPr>
      <w:r>
        <w:rPr>
          <w:rFonts w:hint="eastAsia" w:ascii="宋体" w:hAnsi="宋体"/>
          <w:bCs/>
          <w:color w:val="000000" w:themeColor="text1"/>
          <w:szCs w:val="21"/>
          <w14:textFill>
            <w14:solidFill>
              <w14:schemeClr w14:val="tx1"/>
            </w14:solidFill>
          </w14:textFill>
        </w:rPr>
        <w:t>注：以上内容由投标单位根据采购要求自行完善。</w:t>
      </w:r>
    </w:p>
    <w:p>
      <w:pPr>
        <w:ind w:firstLine="480" w:firstLineChars="200"/>
        <w:outlineLvl w:val="0"/>
        <w:rPr>
          <w:rFonts w:ascii="黑体" w:eastAsia="黑体"/>
          <w:bCs/>
          <w:sz w:val="28"/>
          <w:szCs w:val="28"/>
        </w:rPr>
      </w:pPr>
      <w:r>
        <w:rPr>
          <w:rFonts w:hint="eastAsia" w:ascii="黑体" w:hAnsi="宋体" w:eastAsia="黑体"/>
          <w:bCs/>
          <w:sz w:val="24"/>
          <w:szCs w:val="24"/>
        </w:rPr>
        <w:t>（七）开标一览表（格式）：</w:t>
      </w:r>
    </w:p>
    <w:p>
      <w:pPr>
        <w:outlineLvl w:val="0"/>
        <w:rPr>
          <w:rFonts w:ascii="黑体" w:eastAsia="黑体"/>
          <w:bCs/>
          <w:sz w:val="28"/>
          <w:szCs w:val="28"/>
        </w:rPr>
      </w:pPr>
    </w:p>
    <w:p>
      <w:pPr>
        <w:outlineLvl w:val="0"/>
        <w:rPr>
          <w:rFonts w:ascii="黑体" w:eastAsia="黑体"/>
          <w:bCs/>
          <w:sz w:val="28"/>
          <w:szCs w:val="28"/>
        </w:rPr>
      </w:pPr>
    </w:p>
    <w:p>
      <w:pPr>
        <w:jc w:val="center"/>
        <w:outlineLvl w:val="0"/>
        <w:rPr>
          <w:rFonts w:ascii="黑体" w:eastAsia="黑体"/>
          <w:bCs/>
          <w:sz w:val="28"/>
          <w:szCs w:val="28"/>
        </w:rPr>
      </w:pPr>
      <w:r>
        <w:rPr>
          <w:rFonts w:hint="eastAsia" w:ascii="黑体" w:eastAsia="黑体"/>
          <w:bCs/>
          <w:sz w:val="28"/>
          <w:szCs w:val="28"/>
        </w:rPr>
        <w:t xml:space="preserve">开标一览表 </w:t>
      </w:r>
    </w:p>
    <w:p>
      <w:pPr>
        <w:jc w:val="center"/>
        <w:outlineLvl w:val="0"/>
        <w:rPr>
          <w:rFonts w:ascii="黑体" w:eastAsia="黑体"/>
          <w:bCs/>
          <w:sz w:val="28"/>
          <w:szCs w:val="28"/>
        </w:rPr>
      </w:pPr>
    </w:p>
    <w:p>
      <w:pPr>
        <w:spacing w:line="360" w:lineRule="auto"/>
        <w:rPr>
          <w:rFonts w:ascii="黑体" w:eastAsia="黑体"/>
          <w:bCs/>
          <w:sz w:val="24"/>
          <w:szCs w:val="24"/>
        </w:rPr>
      </w:pPr>
      <w:r>
        <w:rPr>
          <w:rFonts w:hint="eastAsia" w:ascii="黑体" w:eastAsia="黑体"/>
          <w:bCs/>
          <w:sz w:val="24"/>
          <w:szCs w:val="24"/>
        </w:rPr>
        <w:t>投标人名称（盖章）                                    采购项目编号：</w:t>
      </w:r>
      <w:r>
        <w:rPr>
          <w:rFonts w:hint="eastAsia" w:ascii="黑体" w:eastAsia="黑体"/>
          <w:bCs/>
          <w:sz w:val="24"/>
          <w:szCs w:val="24"/>
          <w:lang w:eastAsia="zh-CN"/>
        </w:rPr>
        <w:t>LXZC2021-054</w:t>
      </w:r>
      <w:r>
        <w:rPr>
          <w:rFonts w:hint="eastAsia" w:ascii="黑体" w:eastAsia="黑体"/>
          <w:bCs/>
          <w:sz w:val="24"/>
          <w:szCs w:val="24"/>
        </w:rPr>
        <w:t xml:space="preserve">   </w:t>
      </w:r>
    </w:p>
    <w:tbl>
      <w:tblPr>
        <w:tblStyle w:val="41"/>
        <w:tblW w:w="1008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5"/>
        <w:gridCol w:w="4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565" w:type="dxa"/>
            <w:vAlign w:val="center"/>
          </w:tcPr>
          <w:p>
            <w:pPr>
              <w:autoSpaceDE w:val="0"/>
              <w:autoSpaceDN w:val="0"/>
              <w:adjustRightInd w:val="0"/>
              <w:jc w:val="center"/>
              <w:rPr>
                <w:rFonts w:ascii="宋体"/>
                <w:b/>
                <w:bCs/>
                <w:sz w:val="24"/>
                <w:szCs w:val="24"/>
              </w:rPr>
            </w:pPr>
            <w:r>
              <w:rPr>
                <w:rFonts w:hint="eastAsia" w:ascii="宋体" w:hAnsi="宋体"/>
                <w:b/>
                <w:bCs/>
                <w:sz w:val="24"/>
                <w:szCs w:val="24"/>
              </w:rPr>
              <w:t>项目名称</w:t>
            </w:r>
          </w:p>
        </w:tc>
        <w:tc>
          <w:tcPr>
            <w:tcW w:w="4515" w:type="dxa"/>
            <w:vAlign w:val="center"/>
          </w:tcPr>
          <w:p>
            <w:pPr>
              <w:autoSpaceDE w:val="0"/>
              <w:autoSpaceDN w:val="0"/>
              <w:adjustRightInd w:val="0"/>
              <w:jc w:val="center"/>
              <w:rPr>
                <w:rFonts w:ascii="宋体"/>
                <w:b/>
                <w:bCs/>
                <w:sz w:val="24"/>
                <w:szCs w:val="24"/>
              </w:rPr>
            </w:pPr>
            <w:r>
              <w:rPr>
                <w:rFonts w:hint="eastAsia" w:ascii="宋体" w:hAnsi="宋体"/>
                <w:b/>
                <w:bCs/>
                <w:sz w:val="24"/>
                <w:szCs w:val="24"/>
              </w:rPr>
              <w:t>投标总报价</w:t>
            </w:r>
            <w:r>
              <w:rPr>
                <w:rFonts w:ascii="宋体" w:hAnsi="宋体"/>
                <w:b/>
                <w:bCs/>
                <w:sz w:val="24"/>
                <w:szCs w:val="24"/>
              </w:rPr>
              <w:t>(</w:t>
            </w:r>
            <w:r>
              <w:rPr>
                <w:rFonts w:hint="eastAsia" w:ascii="宋体" w:hAnsi="宋体"/>
                <w:b/>
                <w:bCs/>
                <w:sz w:val="24"/>
                <w:szCs w:val="24"/>
              </w:rPr>
              <w:t>小写</w:t>
            </w:r>
            <w:r>
              <w:rPr>
                <w:rFonts w:ascii="宋体" w:hAnsi="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0" w:hRule="atLeast"/>
        </w:trPr>
        <w:tc>
          <w:tcPr>
            <w:tcW w:w="5565" w:type="dxa"/>
            <w:vAlign w:val="center"/>
          </w:tcPr>
          <w:p>
            <w:pPr>
              <w:pStyle w:val="165"/>
              <w:spacing w:line="400" w:lineRule="exact"/>
              <w:jc w:val="center"/>
              <w:rPr>
                <w:rFonts w:hint="eastAsia" w:hAnsi="宋体" w:eastAsia="宋体"/>
                <w:bCs/>
                <w:szCs w:val="24"/>
                <w:lang w:eastAsia="zh-CN"/>
              </w:rPr>
            </w:pPr>
            <w:r>
              <w:rPr>
                <w:rFonts w:hint="eastAsia" w:hAnsi="宋体"/>
                <w:bCs/>
                <w:szCs w:val="24"/>
                <w:lang w:eastAsia="zh-CN"/>
              </w:rPr>
              <w:t>无锡市康复医院（梁溪区中医医院）信息化建设一体化项目</w:t>
            </w:r>
          </w:p>
        </w:tc>
        <w:tc>
          <w:tcPr>
            <w:tcW w:w="4515" w:type="dxa"/>
            <w:vAlign w:val="center"/>
          </w:tcPr>
          <w:p>
            <w:pPr>
              <w:pStyle w:val="165"/>
              <w:rPr>
                <w:rFonts w:hAnsi="宋体"/>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0080" w:type="dxa"/>
            <w:gridSpan w:val="2"/>
            <w:vAlign w:val="center"/>
          </w:tcPr>
          <w:p>
            <w:pPr>
              <w:rPr>
                <w:rFonts w:ascii="宋体"/>
                <w:bCs/>
                <w:sz w:val="24"/>
                <w:szCs w:val="24"/>
              </w:rPr>
            </w:pPr>
            <w:r>
              <w:rPr>
                <w:rFonts w:hint="eastAsia" w:ascii="黑体" w:eastAsia="黑体"/>
                <w:sz w:val="24"/>
              </w:rPr>
              <w:t>投标总报价（大写）</w:t>
            </w:r>
            <w:r>
              <w:rPr>
                <w:rFonts w:hint="eastAsia" w:ascii="宋体" w:hAnsi="宋体"/>
                <w:bCs/>
                <w:kern w:val="0"/>
                <w:sz w:val="24"/>
                <w:szCs w:val="24"/>
                <w:u w:color="000000"/>
              </w:rPr>
              <w:t>：　 　　</w:t>
            </w:r>
          </w:p>
        </w:tc>
      </w:tr>
    </w:tbl>
    <w:p>
      <w:pPr>
        <w:spacing w:before="5"/>
        <w:rPr>
          <w:b/>
          <w:bCs/>
          <w:sz w:val="24"/>
          <w:szCs w:val="24"/>
        </w:rPr>
      </w:pPr>
    </w:p>
    <w:p>
      <w:pPr>
        <w:spacing w:before="5"/>
        <w:rPr>
          <w:b/>
          <w:bCs/>
          <w:sz w:val="24"/>
          <w:szCs w:val="24"/>
        </w:rPr>
      </w:pPr>
      <w:r>
        <w:rPr>
          <w:rFonts w:hint="eastAsia"/>
          <w:b/>
          <w:bCs/>
          <w:sz w:val="24"/>
          <w:szCs w:val="24"/>
        </w:rPr>
        <w:t>法定代表人或法定代表人授权代表签字或盖章：</w:t>
      </w:r>
    </w:p>
    <w:p>
      <w:pPr>
        <w:spacing w:line="400" w:lineRule="exact"/>
        <w:rPr>
          <w:rFonts w:ascii="黑体" w:eastAsia="黑体"/>
          <w:bCs/>
          <w:sz w:val="32"/>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sectPr>
          <w:headerReference r:id="rId10" w:type="default"/>
          <w:footerReference r:id="rId11" w:type="default"/>
          <w:pgSz w:w="11906" w:h="16838"/>
          <w:pgMar w:top="567" w:right="851" w:bottom="567" w:left="1134" w:header="624" w:footer="907" w:gutter="0"/>
          <w:pgNumType w:start="0"/>
          <w:cols w:space="720" w:num="1"/>
          <w:titlePg/>
          <w:docGrid w:type="linesAndChars" w:linePitch="312" w:charSpace="0"/>
        </w:sectPr>
      </w:pPr>
    </w:p>
    <w:p>
      <w:pPr>
        <w:outlineLvl w:val="0"/>
        <w:rPr>
          <w:rFonts w:ascii="黑体" w:eastAsia="黑体"/>
          <w:bCs/>
          <w:color w:val="000000"/>
          <w:sz w:val="28"/>
          <w:szCs w:val="28"/>
        </w:rPr>
      </w:pPr>
      <w:r>
        <w:rPr>
          <w:rFonts w:hint="eastAsia" w:ascii="黑体" w:hAnsi="宋体" w:eastAsia="黑体"/>
          <w:bCs/>
          <w:sz w:val="24"/>
          <w:szCs w:val="24"/>
        </w:rPr>
        <w:t>（八）</w:t>
      </w:r>
      <w:r>
        <w:rPr>
          <w:rFonts w:hint="eastAsia" w:ascii="黑体" w:hAnsi="宋体" w:eastAsia="黑体"/>
          <w:bCs/>
          <w:color w:val="000000"/>
          <w:sz w:val="24"/>
          <w:szCs w:val="24"/>
        </w:rPr>
        <w:t>明细报价表（格式）：</w:t>
      </w:r>
    </w:p>
    <w:p>
      <w:pPr>
        <w:spacing w:line="400" w:lineRule="exact"/>
        <w:jc w:val="center"/>
        <w:outlineLvl w:val="0"/>
        <w:rPr>
          <w:rFonts w:ascii="黑体" w:eastAsia="黑体"/>
          <w:bCs/>
          <w:color w:val="000000"/>
          <w:sz w:val="28"/>
          <w:szCs w:val="28"/>
        </w:rPr>
      </w:pPr>
      <w:r>
        <w:rPr>
          <w:rFonts w:hint="eastAsia" w:ascii="黑体" w:eastAsia="黑体"/>
          <w:bCs/>
          <w:color w:val="000000"/>
          <w:sz w:val="28"/>
          <w:szCs w:val="28"/>
        </w:rPr>
        <w:t>明细报价表</w:t>
      </w:r>
    </w:p>
    <w:p>
      <w:pPr>
        <w:spacing w:line="400" w:lineRule="exact"/>
        <w:rPr>
          <w:rFonts w:hint="eastAsia" w:ascii="黑体" w:eastAsia="黑体"/>
          <w:bCs/>
          <w:color w:val="000000"/>
          <w:sz w:val="24"/>
          <w:szCs w:val="24"/>
          <w:lang w:eastAsia="zh-CN"/>
        </w:rPr>
      </w:pPr>
      <w:r>
        <w:rPr>
          <w:rFonts w:hint="eastAsia" w:ascii="黑体" w:eastAsia="黑体"/>
          <w:bCs/>
          <w:color w:val="000000"/>
          <w:sz w:val="24"/>
          <w:szCs w:val="24"/>
        </w:rPr>
        <w:t>投标人名称（盖章）</w:t>
      </w:r>
      <w:r>
        <w:rPr>
          <w:rFonts w:ascii="黑体" w:eastAsia="黑体"/>
          <w:bCs/>
          <w:color w:val="000000"/>
          <w:sz w:val="24"/>
          <w:szCs w:val="24"/>
        </w:rPr>
        <w:t xml:space="preserve">                                  </w:t>
      </w:r>
      <w:r>
        <w:rPr>
          <w:rFonts w:hint="eastAsia" w:ascii="黑体" w:eastAsia="黑体"/>
          <w:bCs/>
          <w:color w:val="000000"/>
          <w:sz w:val="24"/>
          <w:szCs w:val="24"/>
        </w:rPr>
        <w:t>采购项目编号：</w:t>
      </w:r>
      <w:r>
        <w:rPr>
          <w:rFonts w:hint="eastAsia" w:ascii="黑体" w:eastAsia="黑体"/>
          <w:bCs/>
          <w:color w:val="000000"/>
          <w:sz w:val="24"/>
          <w:szCs w:val="24"/>
          <w:lang w:eastAsia="zh-CN"/>
        </w:rPr>
        <w:t>LXZC2021-054</w:t>
      </w:r>
    </w:p>
    <w:tbl>
      <w:tblPr>
        <w:tblStyle w:val="41"/>
        <w:tblW w:w="9975"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0"/>
        <w:gridCol w:w="210"/>
        <w:gridCol w:w="840"/>
        <w:gridCol w:w="945"/>
        <w:gridCol w:w="2572"/>
        <w:gridCol w:w="473"/>
        <w:gridCol w:w="525"/>
        <w:gridCol w:w="630"/>
        <w:gridCol w:w="1287"/>
        <w:gridCol w:w="708"/>
        <w:gridCol w:w="567"/>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5" w:hRule="atLeast"/>
        </w:trPr>
        <w:tc>
          <w:tcPr>
            <w:tcW w:w="420" w:type="dxa"/>
            <w:noWrap/>
            <w:tcMar>
              <w:top w:w="15" w:type="dxa"/>
              <w:left w:w="15" w:type="dxa"/>
              <w:bottom w:w="0" w:type="dxa"/>
              <w:right w:w="15" w:type="dxa"/>
            </w:tcMar>
            <w:vAlign w:val="center"/>
          </w:tcPr>
          <w:p>
            <w:pPr>
              <w:spacing w:before="5"/>
              <w:jc w:val="center"/>
              <w:rPr>
                <w:sz w:val="18"/>
              </w:rPr>
            </w:pPr>
            <w:r>
              <w:rPr>
                <w:rFonts w:hint="eastAsia"/>
                <w:sz w:val="18"/>
              </w:rPr>
              <w:t>序号</w:t>
            </w:r>
          </w:p>
        </w:tc>
        <w:tc>
          <w:tcPr>
            <w:tcW w:w="1050" w:type="dxa"/>
            <w:gridSpan w:val="2"/>
            <w:noWrap/>
            <w:tcMar>
              <w:top w:w="15" w:type="dxa"/>
              <w:left w:w="15" w:type="dxa"/>
              <w:bottom w:w="0" w:type="dxa"/>
              <w:right w:w="15" w:type="dxa"/>
            </w:tcMar>
            <w:vAlign w:val="center"/>
          </w:tcPr>
          <w:p>
            <w:pPr>
              <w:spacing w:before="5"/>
              <w:jc w:val="center"/>
              <w:rPr>
                <w:sz w:val="18"/>
                <w:u w:color="FF0000"/>
              </w:rPr>
            </w:pPr>
            <w:r>
              <w:rPr>
                <w:rFonts w:hint="eastAsia"/>
                <w:sz w:val="18"/>
              </w:rPr>
              <w:t>名称</w:t>
            </w:r>
          </w:p>
        </w:tc>
        <w:tc>
          <w:tcPr>
            <w:tcW w:w="945" w:type="dxa"/>
            <w:noWrap/>
            <w:tcMar>
              <w:top w:w="15" w:type="dxa"/>
              <w:left w:w="15" w:type="dxa"/>
              <w:bottom w:w="0" w:type="dxa"/>
              <w:right w:w="15" w:type="dxa"/>
            </w:tcMar>
            <w:vAlign w:val="center"/>
          </w:tcPr>
          <w:p>
            <w:pPr>
              <w:spacing w:before="5"/>
              <w:jc w:val="center"/>
              <w:rPr>
                <w:sz w:val="18"/>
                <w:u w:color="FF0000"/>
              </w:rPr>
            </w:pPr>
            <w:r>
              <w:rPr>
                <w:rFonts w:hint="eastAsia"/>
                <w:sz w:val="18"/>
                <w:u w:color="FF0000"/>
              </w:rPr>
              <w:t>品牌型号</w:t>
            </w:r>
          </w:p>
        </w:tc>
        <w:tc>
          <w:tcPr>
            <w:tcW w:w="3045" w:type="dxa"/>
            <w:gridSpan w:val="2"/>
            <w:noWrap/>
            <w:tcMar>
              <w:top w:w="15" w:type="dxa"/>
              <w:left w:w="15" w:type="dxa"/>
              <w:bottom w:w="0" w:type="dxa"/>
              <w:right w:w="15" w:type="dxa"/>
            </w:tcMar>
            <w:vAlign w:val="center"/>
          </w:tcPr>
          <w:p>
            <w:pPr>
              <w:spacing w:before="5"/>
              <w:jc w:val="center"/>
              <w:rPr>
                <w:sz w:val="18"/>
              </w:rPr>
            </w:pPr>
            <w:r>
              <w:rPr>
                <w:rFonts w:hint="eastAsia"/>
                <w:sz w:val="18"/>
                <w:u w:color="FF0000"/>
              </w:rPr>
              <w:t>性能指标</w:t>
            </w:r>
          </w:p>
        </w:tc>
        <w:tc>
          <w:tcPr>
            <w:tcW w:w="525" w:type="dxa"/>
            <w:tcMar>
              <w:top w:w="15" w:type="dxa"/>
              <w:left w:w="15" w:type="dxa"/>
              <w:bottom w:w="0" w:type="dxa"/>
              <w:right w:w="15" w:type="dxa"/>
            </w:tcMar>
            <w:vAlign w:val="center"/>
          </w:tcPr>
          <w:p>
            <w:pPr>
              <w:spacing w:before="5"/>
              <w:jc w:val="center"/>
              <w:rPr>
                <w:sz w:val="18"/>
              </w:rPr>
            </w:pPr>
            <w:r>
              <w:rPr>
                <w:rFonts w:hint="eastAsia"/>
                <w:sz w:val="18"/>
              </w:rPr>
              <w:t>数量</w:t>
            </w:r>
          </w:p>
        </w:tc>
        <w:tc>
          <w:tcPr>
            <w:tcW w:w="630" w:type="dxa"/>
            <w:noWrap/>
            <w:tcMar>
              <w:top w:w="15" w:type="dxa"/>
              <w:left w:w="15" w:type="dxa"/>
              <w:bottom w:w="0" w:type="dxa"/>
              <w:right w:w="15" w:type="dxa"/>
            </w:tcMar>
            <w:vAlign w:val="center"/>
          </w:tcPr>
          <w:p>
            <w:pPr>
              <w:spacing w:before="5"/>
              <w:jc w:val="center"/>
              <w:rPr>
                <w:sz w:val="18"/>
              </w:rPr>
            </w:pPr>
            <w:r>
              <w:rPr>
                <w:rFonts w:hint="eastAsia"/>
                <w:sz w:val="18"/>
              </w:rPr>
              <w:t>产地</w:t>
            </w:r>
          </w:p>
        </w:tc>
        <w:tc>
          <w:tcPr>
            <w:tcW w:w="1287" w:type="dxa"/>
            <w:vAlign w:val="center"/>
          </w:tcPr>
          <w:p>
            <w:pPr>
              <w:spacing w:before="5"/>
              <w:jc w:val="center"/>
              <w:rPr>
                <w:sz w:val="18"/>
              </w:rPr>
            </w:pPr>
            <w:r>
              <w:rPr>
                <w:rFonts w:hint="eastAsia"/>
                <w:sz w:val="18"/>
              </w:rPr>
              <w:t>是否属于</w:t>
            </w:r>
            <w:r>
              <w:rPr>
                <w:sz w:val="18"/>
              </w:rPr>
              <w:t xml:space="preserve">     </w:t>
            </w:r>
            <w:r>
              <w:rPr>
                <w:rFonts w:hint="eastAsia"/>
                <w:sz w:val="18"/>
              </w:rPr>
              <w:t>小、微型企业（或监狱企业、残疾人福利性单位）产品</w:t>
            </w:r>
          </w:p>
        </w:tc>
        <w:tc>
          <w:tcPr>
            <w:tcW w:w="708" w:type="dxa"/>
            <w:noWrap/>
            <w:tcMar>
              <w:top w:w="15" w:type="dxa"/>
              <w:left w:w="15" w:type="dxa"/>
              <w:bottom w:w="0" w:type="dxa"/>
              <w:right w:w="15" w:type="dxa"/>
            </w:tcMar>
            <w:vAlign w:val="center"/>
          </w:tcPr>
          <w:p>
            <w:pPr>
              <w:spacing w:before="5"/>
              <w:jc w:val="center"/>
              <w:rPr>
                <w:sz w:val="18"/>
              </w:rPr>
            </w:pPr>
            <w:r>
              <w:rPr>
                <w:rFonts w:hint="eastAsia"/>
                <w:sz w:val="18"/>
              </w:rPr>
              <w:t>质保期</w:t>
            </w:r>
          </w:p>
        </w:tc>
        <w:tc>
          <w:tcPr>
            <w:tcW w:w="567" w:type="dxa"/>
            <w:vAlign w:val="center"/>
          </w:tcPr>
          <w:p>
            <w:pPr>
              <w:spacing w:before="5"/>
              <w:jc w:val="center"/>
              <w:rPr>
                <w:sz w:val="18"/>
              </w:rPr>
            </w:pPr>
            <w:r>
              <w:rPr>
                <w:rFonts w:hint="eastAsia"/>
                <w:sz w:val="18"/>
              </w:rPr>
              <w:t>单报价</w:t>
            </w:r>
          </w:p>
        </w:tc>
        <w:tc>
          <w:tcPr>
            <w:tcW w:w="798" w:type="dxa"/>
            <w:vAlign w:val="center"/>
          </w:tcPr>
          <w:p>
            <w:pPr>
              <w:spacing w:before="5"/>
              <w:jc w:val="center"/>
              <w:rPr>
                <w:sz w:val="18"/>
              </w:rPr>
            </w:pPr>
            <w:r>
              <w:rPr>
                <w:rFonts w:hint="eastAsia"/>
                <w:sz w:val="18"/>
              </w:rPr>
              <w:t>分项</w:t>
            </w:r>
            <w:r>
              <w:rPr>
                <w:sz w:val="18"/>
              </w:rPr>
              <w:t xml:space="preserve">   </w:t>
            </w:r>
            <w:r>
              <w:rPr>
                <w:rFonts w:hint="eastAsia"/>
                <w:sz w:val="18"/>
              </w:rPr>
              <w:t>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7" w:hRule="atLeast"/>
        </w:trPr>
        <w:tc>
          <w:tcPr>
            <w:tcW w:w="420" w:type="dxa"/>
            <w:noWrap/>
            <w:tcMar>
              <w:top w:w="15" w:type="dxa"/>
              <w:left w:w="15" w:type="dxa"/>
              <w:bottom w:w="0" w:type="dxa"/>
              <w:right w:w="15" w:type="dxa"/>
            </w:tcMar>
            <w:vAlign w:val="center"/>
          </w:tcPr>
          <w:p>
            <w:pPr>
              <w:pStyle w:val="27"/>
              <w:pBdr>
                <w:bottom w:val="none" w:color="auto" w:sz="0" w:space="0"/>
              </w:pBdr>
              <w:tabs>
                <w:tab w:val="clear" w:pos="4153"/>
                <w:tab w:val="clear" w:pos="8306"/>
              </w:tabs>
              <w:snapToGrid/>
              <w:spacing w:before="5"/>
              <w:rPr>
                <w:rFonts w:ascii="宋体"/>
              </w:rPr>
            </w:pPr>
          </w:p>
        </w:tc>
        <w:tc>
          <w:tcPr>
            <w:tcW w:w="1050" w:type="dxa"/>
            <w:gridSpan w:val="2"/>
            <w:noWrap/>
            <w:tcMar>
              <w:top w:w="15" w:type="dxa"/>
              <w:left w:w="15" w:type="dxa"/>
              <w:bottom w:w="0" w:type="dxa"/>
              <w:right w:w="15" w:type="dxa"/>
            </w:tcMar>
            <w:vAlign w:val="center"/>
          </w:tcPr>
          <w:p>
            <w:pPr>
              <w:pStyle w:val="27"/>
              <w:pBdr>
                <w:bottom w:val="none" w:color="auto" w:sz="0" w:space="0"/>
              </w:pBdr>
              <w:tabs>
                <w:tab w:val="clear" w:pos="4153"/>
                <w:tab w:val="clear" w:pos="8306"/>
              </w:tabs>
              <w:snapToGrid/>
              <w:rPr>
                <w:rFonts w:ascii="宋体"/>
                <w:bCs/>
              </w:rPr>
            </w:pPr>
          </w:p>
        </w:tc>
        <w:tc>
          <w:tcPr>
            <w:tcW w:w="945" w:type="dxa"/>
            <w:tcMar>
              <w:top w:w="15" w:type="dxa"/>
              <w:left w:w="15" w:type="dxa"/>
              <w:bottom w:w="0" w:type="dxa"/>
              <w:right w:w="15" w:type="dxa"/>
            </w:tcMar>
            <w:vAlign w:val="center"/>
          </w:tcPr>
          <w:p>
            <w:pPr>
              <w:pStyle w:val="27"/>
              <w:pBdr>
                <w:bottom w:val="none" w:color="auto" w:sz="0" w:space="0"/>
              </w:pBdr>
              <w:tabs>
                <w:tab w:val="clear" w:pos="4153"/>
                <w:tab w:val="clear" w:pos="8306"/>
              </w:tabs>
              <w:snapToGrid/>
              <w:rPr>
                <w:rFonts w:ascii="宋体"/>
                <w:bCs/>
              </w:rPr>
            </w:pPr>
          </w:p>
        </w:tc>
        <w:tc>
          <w:tcPr>
            <w:tcW w:w="3045" w:type="dxa"/>
            <w:gridSpan w:val="2"/>
            <w:tcMar>
              <w:top w:w="15" w:type="dxa"/>
              <w:left w:w="15" w:type="dxa"/>
              <w:bottom w:w="0" w:type="dxa"/>
              <w:right w:w="15" w:type="dxa"/>
            </w:tcMar>
          </w:tcPr>
          <w:p>
            <w:pPr>
              <w:jc w:val="center"/>
              <w:rPr>
                <w:rFonts w:ascii="宋体"/>
                <w:bCs/>
                <w:sz w:val="18"/>
              </w:rPr>
            </w:pPr>
          </w:p>
        </w:tc>
        <w:tc>
          <w:tcPr>
            <w:tcW w:w="525" w:type="dxa"/>
            <w:tcMar>
              <w:top w:w="15" w:type="dxa"/>
              <w:left w:w="15" w:type="dxa"/>
              <w:bottom w:w="0" w:type="dxa"/>
              <w:right w:w="15" w:type="dxa"/>
            </w:tcMar>
            <w:vAlign w:val="center"/>
          </w:tcPr>
          <w:p>
            <w:pPr>
              <w:jc w:val="center"/>
              <w:rPr>
                <w:rFonts w:ascii="宋体"/>
                <w:bCs/>
                <w:sz w:val="18"/>
              </w:rPr>
            </w:pPr>
          </w:p>
        </w:tc>
        <w:tc>
          <w:tcPr>
            <w:tcW w:w="630"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1287" w:type="dxa"/>
            <w:vAlign w:val="center"/>
          </w:tcPr>
          <w:p>
            <w:pPr>
              <w:jc w:val="center"/>
              <w:rPr>
                <w:rFonts w:ascii="黑体" w:hAnsi="宋体" w:eastAsia="黑体"/>
                <w:b/>
                <w:bCs/>
                <w:sz w:val="24"/>
                <w:szCs w:val="24"/>
              </w:rPr>
            </w:pPr>
          </w:p>
        </w:tc>
        <w:tc>
          <w:tcPr>
            <w:tcW w:w="708"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567" w:type="dxa"/>
            <w:vAlign w:val="center"/>
          </w:tcPr>
          <w:p>
            <w:pPr>
              <w:jc w:val="center"/>
              <w:rPr>
                <w:rFonts w:ascii="黑体" w:hAnsi="宋体" w:eastAsia="黑体"/>
                <w:b/>
                <w:bCs/>
                <w:sz w:val="24"/>
                <w:szCs w:val="24"/>
              </w:rPr>
            </w:pPr>
          </w:p>
        </w:tc>
        <w:tc>
          <w:tcPr>
            <w:tcW w:w="798" w:type="dxa"/>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98" w:hRule="atLeast"/>
        </w:trPr>
        <w:tc>
          <w:tcPr>
            <w:tcW w:w="420" w:type="dxa"/>
            <w:noWrap/>
            <w:tcMar>
              <w:top w:w="15" w:type="dxa"/>
              <w:left w:w="15" w:type="dxa"/>
              <w:bottom w:w="0" w:type="dxa"/>
              <w:right w:w="15" w:type="dxa"/>
            </w:tcMar>
            <w:vAlign w:val="center"/>
          </w:tcPr>
          <w:p>
            <w:pPr>
              <w:jc w:val="center"/>
              <w:rPr>
                <w:rFonts w:ascii="宋体"/>
                <w:sz w:val="18"/>
              </w:rPr>
            </w:pPr>
          </w:p>
        </w:tc>
        <w:tc>
          <w:tcPr>
            <w:tcW w:w="1050" w:type="dxa"/>
            <w:gridSpan w:val="2"/>
            <w:noWrap/>
            <w:tcMar>
              <w:top w:w="15" w:type="dxa"/>
              <w:left w:w="15" w:type="dxa"/>
              <w:bottom w:w="0" w:type="dxa"/>
              <w:right w:w="15" w:type="dxa"/>
            </w:tcMar>
            <w:vAlign w:val="center"/>
          </w:tcPr>
          <w:p>
            <w:pPr>
              <w:jc w:val="center"/>
              <w:rPr>
                <w:rFonts w:ascii="宋体"/>
              </w:rPr>
            </w:pPr>
          </w:p>
        </w:tc>
        <w:tc>
          <w:tcPr>
            <w:tcW w:w="945" w:type="dxa"/>
            <w:tcMar>
              <w:top w:w="15" w:type="dxa"/>
              <w:left w:w="15" w:type="dxa"/>
              <w:bottom w:w="0" w:type="dxa"/>
              <w:right w:w="15" w:type="dxa"/>
            </w:tcMar>
            <w:vAlign w:val="center"/>
          </w:tcPr>
          <w:p>
            <w:pPr>
              <w:pStyle w:val="27"/>
              <w:pBdr>
                <w:bottom w:val="none" w:color="auto" w:sz="0" w:space="0"/>
              </w:pBdr>
              <w:tabs>
                <w:tab w:val="clear" w:pos="4153"/>
                <w:tab w:val="clear" w:pos="8306"/>
              </w:tabs>
              <w:snapToGrid/>
              <w:rPr>
                <w:rFonts w:ascii="宋体"/>
                <w:bCs/>
              </w:rPr>
            </w:pPr>
          </w:p>
        </w:tc>
        <w:tc>
          <w:tcPr>
            <w:tcW w:w="3045" w:type="dxa"/>
            <w:gridSpan w:val="2"/>
            <w:tcMar>
              <w:top w:w="15" w:type="dxa"/>
              <w:left w:w="15" w:type="dxa"/>
              <w:bottom w:w="0" w:type="dxa"/>
              <w:right w:w="15" w:type="dxa"/>
            </w:tcMar>
            <w:vAlign w:val="center"/>
          </w:tcPr>
          <w:p>
            <w:pPr>
              <w:jc w:val="center"/>
              <w:rPr>
                <w:rFonts w:ascii="宋体"/>
                <w:bCs/>
                <w:sz w:val="18"/>
              </w:rPr>
            </w:pPr>
          </w:p>
        </w:tc>
        <w:tc>
          <w:tcPr>
            <w:tcW w:w="525" w:type="dxa"/>
            <w:tcMar>
              <w:top w:w="15" w:type="dxa"/>
              <w:left w:w="15" w:type="dxa"/>
              <w:bottom w:w="0" w:type="dxa"/>
              <w:right w:w="15" w:type="dxa"/>
            </w:tcMar>
            <w:vAlign w:val="center"/>
          </w:tcPr>
          <w:p>
            <w:pPr>
              <w:jc w:val="center"/>
              <w:rPr>
                <w:rFonts w:ascii="宋体"/>
                <w:bCs/>
                <w:sz w:val="18"/>
              </w:rPr>
            </w:pPr>
          </w:p>
        </w:tc>
        <w:tc>
          <w:tcPr>
            <w:tcW w:w="630"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1287" w:type="dxa"/>
            <w:vAlign w:val="center"/>
          </w:tcPr>
          <w:p>
            <w:pPr>
              <w:jc w:val="center"/>
              <w:rPr>
                <w:rFonts w:ascii="黑体" w:hAnsi="宋体" w:eastAsia="黑体"/>
                <w:b/>
                <w:bCs/>
                <w:sz w:val="24"/>
                <w:szCs w:val="24"/>
              </w:rPr>
            </w:pPr>
          </w:p>
        </w:tc>
        <w:tc>
          <w:tcPr>
            <w:tcW w:w="708"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567" w:type="dxa"/>
            <w:vAlign w:val="center"/>
          </w:tcPr>
          <w:p>
            <w:pPr>
              <w:jc w:val="center"/>
              <w:rPr>
                <w:rFonts w:ascii="黑体" w:hAnsi="宋体" w:eastAsia="黑体"/>
                <w:b/>
                <w:bCs/>
                <w:sz w:val="24"/>
                <w:szCs w:val="24"/>
              </w:rPr>
            </w:pPr>
          </w:p>
        </w:tc>
        <w:tc>
          <w:tcPr>
            <w:tcW w:w="798" w:type="dxa"/>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27"/>
              <w:pBdr>
                <w:bottom w:val="none" w:color="auto" w:sz="0" w:space="0"/>
              </w:pBdr>
              <w:tabs>
                <w:tab w:val="clear" w:pos="4153"/>
                <w:tab w:val="clear" w:pos="8306"/>
              </w:tabs>
              <w:snapToGrid/>
              <w:rPr>
                <w:rFonts w:ascii="宋体"/>
                <w:b/>
                <w:bCs/>
                <w:sz w:val="24"/>
              </w:rPr>
            </w:pPr>
            <w:r>
              <w:rPr>
                <w:rFonts w:hint="eastAsia" w:ascii="宋体"/>
                <w:b/>
                <w:bCs/>
                <w:sz w:val="24"/>
              </w:rPr>
              <w:t>完工期</w:t>
            </w:r>
          </w:p>
        </w:tc>
        <w:tc>
          <w:tcPr>
            <w:tcW w:w="7560" w:type="dxa"/>
            <w:gridSpan w:val="8"/>
            <w:tcMar>
              <w:top w:w="15" w:type="dxa"/>
              <w:left w:w="15" w:type="dxa"/>
              <w:bottom w:w="0" w:type="dxa"/>
              <w:right w:w="15" w:type="dxa"/>
            </w:tcMar>
            <w:vAlign w:val="center"/>
          </w:tcPr>
          <w:p>
            <w:pPr>
              <w:jc w:val="left"/>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27"/>
              <w:pBdr>
                <w:bottom w:val="none" w:color="auto" w:sz="0" w:space="0"/>
              </w:pBdr>
              <w:tabs>
                <w:tab w:val="clear" w:pos="4153"/>
                <w:tab w:val="clear" w:pos="8306"/>
              </w:tabs>
              <w:snapToGrid/>
              <w:rPr>
                <w:rFonts w:ascii="宋体"/>
                <w:b/>
                <w:bCs/>
                <w:sz w:val="24"/>
              </w:rPr>
            </w:pPr>
            <w:r>
              <w:rPr>
                <w:rFonts w:hint="eastAsia" w:ascii="宋体"/>
                <w:b/>
                <w:bCs/>
                <w:sz w:val="24"/>
              </w:rPr>
              <w:t>项目整体质保期</w:t>
            </w:r>
          </w:p>
        </w:tc>
        <w:tc>
          <w:tcPr>
            <w:tcW w:w="7560" w:type="dxa"/>
            <w:gridSpan w:val="8"/>
            <w:tcMar>
              <w:top w:w="15" w:type="dxa"/>
              <w:left w:w="15" w:type="dxa"/>
              <w:bottom w:w="0" w:type="dxa"/>
              <w:right w:w="15" w:type="dxa"/>
            </w:tcMar>
            <w:vAlign w:val="center"/>
          </w:tcPr>
          <w:p>
            <w:pPr>
              <w:jc w:val="left"/>
              <w:rPr>
                <w:rFonts w:ascii="宋体" w:hAnsi="宋体"/>
                <w:bCs/>
                <w:sz w:val="24"/>
                <w:szCs w:val="24"/>
              </w:rPr>
            </w:pPr>
            <w:r>
              <w:rPr>
                <w:rFonts w:hint="eastAsia" w:ascii="宋体" w:hAnsi="宋体"/>
                <w:bCs/>
                <w:sz w:val="24"/>
                <w:szCs w:val="24"/>
              </w:rPr>
              <w:t>自项目验收合格之日起</w:t>
            </w:r>
            <w:r>
              <w:rPr>
                <w:rFonts w:ascii="宋体" w:hAnsi="宋体"/>
                <w:bCs/>
                <w:sz w:val="24"/>
                <w:szCs w:val="24"/>
              </w:rPr>
              <w:t xml:space="preserve"> </w:t>
            </w:r>
            <w:r>
              <w:rPr>
                <w:rFonts w:ascii="宋体" w:hAnsi="宋体"/>
                <w:bCs/>
                <w:sz w:val="24"/>
                <w:szCs w:val="24"/>
                <w:u w:val="single"/>
              </w:rPr>
              <w:t xml:space="preserve">      </w:t>
            </w:r>
            <w:r>
              <w:rPr>
                <w:rFonts w:hint="eastAsia" w:ascii="宋体" w:hAnsi="宋体"/>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8" w:hRule="atLeast"/>
        </w:trPr>
        <w:tc>
          <w:tcPr>
            <w:tcW w:w="4987" w:type="dxa"/>
            <w:gridSpan w:val="5"/>
            <w:noWrap/>
            <w:tcMar>
              <w:top w:w="15" w:type="dxa"/>
              <w:left w:w="15" w:type="dxa"/>
              <w:bottom w:w="0" w:type="dxa"/>
              <w:right w:w="15" w:type="dxa"/>
            </w:tcMar>
            <w:vAlign w:val="center"/>
          </w:tcPr>
          <w:p>
            <w:pPr>
              <w:jc w:val="center"/>
              <w:rPr>
                <w:rFonts w:ascii="宋体"/>
                <w:b/>
                <w:bCs/>
                <w:sz w:val="24"/>
              </w:rPr>
            </w:pPr>
            <w:r>
              <w:rPr>
                <w:rFonts w:hint="eastAsia" w:ascii="宋体"/>
                <w:b/>
                <w:bCs/>
                <w:sz w:val="24"/>
              </w:rPr>
              <w:t>其中属于小、微型企业产品的价格合计（小写）</w:t>
            </w:r>
          </w:p>
        </w:tc>
        <w:tc>
          <w:tcPr>
            <w:tcW w:w="4988" w:type="dxa"/>
            <w:gridSpan w:val="7"/>
            <w:vAlign w:val="center"/>
          </w:tcPr>
          <w:p>
            <w:pPr>
              <w:rPr>
                <w:rFonts w:asci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atLeast"/>
        </w:trPr>
        <w:tc>
          <w:tcPr>
            <w:tcW w:w="4987" w:type="dxa"/>
            <w:gridSpan w:val="5"/>
            <w:noWrap/>
            <w:tcMar>
              <w:top w:w="15" w:type="dxa"/>
              <w:left w:w="15" w:type="dxa"/>
              <w:bottom w:w="0" w:type="dxa"/>
              <w:right w:w="15" w:type="dxa"/>
            </w:tcMar>
            <w:vAlign w:val="center"/>
          </w:tcPr>
          <w:p>
            <w:pPr>
              <w:jc w:val="center"/>
              <w:rPr>
                <w:rFonts w:ascii="宋体"/>
                <w:b/>
                <w:bCs/>
                <w:sz w:val="24"/>
              </w:rPr>
            </w:pPr>
            <w:r>
              <w:rPr>
                <w:rFonts w:hint="eastAsia" w:ascii="宋体"/>
                <w:b/>
                <w:bCs/>
                <w:sz w:val="24"/>
              </w:rPr>
              <w:t>其中属监狱企业的价格合计（小写）</w:t>
            </w:r>
          </w:p>
        </w:tc>
        <w:tc>
          <w:tcPr>
            <w:tcW w:w="4988" w:type="dxa"/>
            <w:gridSpan w:val="7"/>
            <w:vAlign w:val="center"/>
          </w:tcPr>
          <w:p>
            <w:pPr>
              <w:rPr>
                <w:rFonts w:asci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9" w:hRule="atLeast"/>
        </w:trPr>
        <w:tc>
          <w:tcPr>
            <w:tcW w:w="4987" w:type="dxa"/>
            <w:gridSpan w:val="5"/>
            <w:noWrap/>
            <w:tcMar>
              <w:top w:w="15" w:type="dxa"/>
              <w:left w:w="15" w:type="dxa"/>
              <w:bottom w:w="0" w:type="dxa"/>
              <w:right w:w="15" w:type="dxa"/>
            </w:tcMar>
            <w:vAlign w:val="center"/>
          </w:tcPr>
          <w:p>
            <w:pPr>
              <w:jc w:val="center"/>
              <w:rPr>
                <w:rFonts w:ascii="宋体"/>
                <w:b/>
                <w:bCs/>
                <w:sz w:val="24"/>
              </w:rPr>
            </w:pPr>
            <w:r>
              <w:rPr>
                <w:rFonts w:hint="eastAsia" w:ascii="宋体"/>
                <w:b/>
                <w:bCs/>
                <w:sz w:val="24"/>
              </w:rPr>
              <w:t>其中属残疾人福利性单位的价格合计（小写）</w:t>
            </w:r>
          </w:p>
        </w:tc>
        <w:tc>
          <w:tcPr>
            <w:tcW w:w="4988" w:type="dxa"/>
            <w:gridSpan w:val="7"/>
            <w:vAlign w:val="center"/>
          </w:tcPr>
          <w:p>
            <w:pPr>
              <w:rPr>
                <w:rFonts w:asci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630" w:type="dxa"/>
            <w:gridSpan w:val="2"/>
            <w:vMerge w:val="restart"/>
            <w:vAlign w:val="center"/>
          </w:tcPr>
          <w:p>
            <w:pPr>
              <w:pStyle w:val="35"/>
              <w:spacing w:line="400" w:lineRule="exact"/>
              <w:ind w:firstLine="120" w:firstLineChars="50"/>
              <w:rPr>
                <w:rFonts w:ascii="宋体"/>
                <w:b/>
                <w:bCs/>
                <w:sz w:val="24"/>
                <w:szCs w:val="24"/>
              </w:rPr>
            </w:pPr>
            <w:r>
              <w:rPr>
                <w:rFonts w:hint="eastAsia" w:ascii="宋体" w:hAnsi="宋体"/>
                <w:b/>
                <w:bCs/>
                <w:sz w:val="24"/>
                <w:szCs w:val="24"/>
              </w:rPr>
              <w:t>服</w:t>
            </w:r>
          </w:p>
          <w:p>
            <w:pPr>
              <w:pStyle w:val="35"/>
              <w:spacing w:line="400" w:lineRule="exact"/>
              <w:rPr>
                <w:rFonts w:ascii="宋体"/>
                <w:b/>
                <w:bCs/>
                <w:sz w:val="24"/>
                <w:szCs w:val="24"/>
              </w:rPr>
            </w:pPr>
          </w:p>
          <w:p>
            <w:pPr>
              <w:pStyle w:val="35"/>
              <w:spacing w:line="400" w:lineRule="exact"/>
              <w:ind w:firstLine="120" w:firstLineChars="50"/>
              <w:rPr>
                <w:rFonts w:ascii="宋体"/>
                <w:b/>
                <w:bCs/>
                <w:sz w:val="24"/>
                <w:szCs w:val="24"/>
              </w:rPr>
            </w:pPr>
            <w:r>
              <w:rPr>
                <w:rFonts w:hint="eastAsia" w:ascii="宋体" w:hAnsi="宋体"/>
                <w:b/>
                <w:bCs/>
                <w:sz w:val="24"/>
                <w:szCs w:val="24"/>
              </w:rPr>
              <w:t>务</w:t>
            </w:r>
          </w:p>
          <w:p>
            <w:pPr>
              <w:pStyle w:val="35"/>
              <w:spacing w:line="400" w:lineRule="exact"/>
              <w:rPr>
                <w:rFonts w:ascii="宋体"/>
                <w:b/>
                <w:bCs/>
                <w:sz w:val="24"/>
                <w:szCs w:val="24"/>
              </w:rPr>
            </w:pPr>
          </w:p>
          <w:p>
            <w:pPr>
              <w:pStyle w:val="35"/>
              <w:spacing w:line="400" w:lineRule="exact"/>
              <w:ind w:firstLine="120" w:firstLineChars="50"/>
              <w:rPr>
                <w:rFonts w:ascii="宋体"/>
                <w:b/>
                <w:bCs/>
                <w:sz w:val="24"/>
                <w:szCs w:val="24"/>
              </w:rPr>
            </w:pPr>
            <w:r>
              <w:rPr>
                <w:rFonts w:hint="eastAsia" w:ascii="宋体" w:hAnsi="宋体"/>
                <w:b/>
                <w:bCs/>
                <w:sz w:val="24"/>
                <w:szCs w:val="24"/>
              </w:rPr>
              <w:t>承</w:t>
            </w:r>
          </w:p>
          <w:p>
            <w:pPr>
              <w:pStyle w:val="35"/>
              <w:spacing w:line="400" w:lineRule="exact"/>
              <w:rPr>
                <w:rFonts w:ascii="宋体"/>
                <w:b/>
                <w:bCs/>
                <w:sz w:val="24"/>
                <w:szCs w:val="24"/>
              </w:rPr>
            </w:pPr>
          </w:p>
          <w:p>
            <w:pPr>
              <w:pStyle w:val="35"/>
              <w:spacing w:line="400" w:lineRule="exact"/>
              <w:ind w:firstLine="120" w:firstLineChars="50"/>
              <w:rPr>
                <w:rFonts w:ascii="宋体"/>
                <w:bCs/>
                <w:sz w:val="24"/>
                <w:szCs w:val="24"/>
              </w:rPr>
            </w:pPr>
            <w:r>
              <w:rPr>
                <w:rFonts w:hint="eastAsia" w:ascii="宋体" w:hAnsi="宋体"/>
                <w:b/>
                <w:bCs/>
                <w:sz w:val="24"/>
                <w:szCs w:val="24"/>
              </w:rPr>
              <w:t>诺</w:t>
            </w:r>
          </w:p>
        </w:tc>
        <w:tc>
          <w:tcPr>
            <w:tcW w:w="9345" w:type="dxa"/>
            <w:gridSpan w:val="10"/>
            <w:vAlign w:val="center"/>
          </w:tcPr>
          <w:p>
            <w:pPr>
              <w:numPr>
                <w:ilvl w:val="0"/>
                <w:numId w:val="45"/>
              </w:numPr>
              <w:rPr>
                <w:rFonts w:ascii="宋体"/>
                <w:bCs/>
                <w:sz w:val="24"/>
                <w:szCs w:val="24"/>
              </w:rPr>
            </w:pPr>
            <w:r>
              <w:rPr>
                <w:rFonts w:hint="eastAsia" w:ascii="宋体" w:hAnsi="宋体"/>
                <w:bCs/>
                <w:sz w:val="24"/>
                <w:szCs w:val="24"/>
              </w:rPr>
              <w:t>质量</w:t>
            </w:r>
            <w:r>
              <w:rPr>
                <w:rFonts w:ascii="宋体" w:hAnsi="宋体"/>
                <w:bCs/>
                <w:sz w:val="24"/>
                <w:szCs w:val="24"/>
              </w:rPr>
              <w:t xml:space="preserve"> 2.</w:t>
            </w:r>
            <w:r>
              <w:rPr>
                <w:rFonts w:hint="eastAsia" w:ascii="宋体" w:hAnsi="宋体"/>
                <w:bCs/>
                <w:sz w:val="24"/>
                <w:szCs w:val="24"/>
              </w:rPr>
              <w:t>安装</w:t>
            </w:r>
            <w:r>
              <w:rPr>
                <w:rFonts w:ascii="宋体" w:hAnsi="宋体"/>
                <w:bCs/>
                <w:sz w:val="24"/>
                <w:szCs w:val="24"/>
              </w:rPr>
              <w:t xml:space="preserve"> 3."</w:t>
            </w:r>
            <w:r>
              <w:rPr>
                <w:rFonts w:hint="eastAsia" w:ascii="宋体" w:hAnsi="宋体"/>
                <w:bCs/>
                <w:sz w:val="24"/>
                <w:szCs w:val="24"/>
              </w:rPr>
              <w:t>三包</w:t>
            </w:r>
            <w:r>
              <w:rPr>
                <w:rFonts w:ascii="宋体" w:hAnsi="宋体"/>
                <w:bCs/>
                <w:sz w:val="24"/>
                <w:szCs w:val="24"/>
              </w:rPr>
              <w:t>"(</w:t>
            </w:r>
            <w:r>
              <w:rPr>
                <w:rFonts w:hint="eastAsia" w:ascii="宋体" w:hAnsi="宋体"/>
                <w:bCs/>
                <w:sz w:val="24"/>
                <w:szCs w:val="24"/>
              </w:rPr>
              <w:t>包修、包退、包换</w:t>
            </w:r>
            <w:r>
              <w:rPr>
                <w:rFonts w:ascii="宋体" w:hAnsi="宋体"/>
                <w:bCs/>
                <w:sz w:val="24"/>
                <w:szCs w:val="24"/>
              </w:rPr>
              <w:t>)4</w:t>
            </w:r>
            <w:r>
              <w:rPr>
                <w:rFonts w:ascii="宋体"/>
                <w:bCs/>
                <w:sz w:val="24"/>
                <w:szCs w:val="24"/>
              </w:rPr>
              <w:t>.</w:t>
            </w:r>
            <w:r>
              <w:rPr>
                <w:rFonts w:hint="eastAsia" w:ascii="宋体" w:hAnsi="宋体"/>
                <w:bCs/>
                <w:sz w:val="24"/>
                <w:szCs w:val="24"/>
              </w:rPr>
              <w:t>其他承诺</w:t>
            </w:r>
          </w:p>
          <w:p>
            <w:pPr>
              <w:rPr>
                <w:rFonts w:ascii="宋体"/>
                <w:bCs/>
                <w:sz w:val="24"/>
                <w:szCs w:val="24"/>
              </w:rPr>
            </w:pPr>
            <w:r>
              <w:rPr>
                <w:rFonts w:hint="eastAsia" w:ascii="宋体" w:hAnsi="宋体"/>
                <w:bCs/>
                <w:sz w:val="24"/>
                <w:szCs w:val="24"/>
              </w:rPr>
              <w:t>（以上是主要承诺，供投标人参考，投标人应在满足招标文件要求的基础上，根据自己单位的情况作出具体承诺）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9" w:hRule="atLeast"/>
        </w:trPr>
        <w:tc>
          <w:tcPr>
            <w:tcW w:w="630" w:type="dxa"/>
            <w:gridSpan w:val="2"/>
            <w:vMerge w:val="continue"/>
            <w:vAlign w:val="center"/>
          </w:tcPr>
          <w:p>
            <w:pPr>
              <w:pStyle w:val="35"/>
              <w:spacing w:line="400" w:lineRule="exact"/>
              <w:rPr>
                <w:rFonts w:ascii="宋体"/>
                <w:bCs/>
                <w:sz w:val="24"/>
                <w:szCs w:val="24"/>
              </w:rPr>
            </w:pPr>
          </w:p>
        </w:tc>
        <w:tc>
          <w:tcPr>
            <w:tcW w:w="9345" w:type="dxa"/>
            <w:gridSpan w:val="10"/>
            <w:vAlign w:val="center"/>
          </w:tcPr>
          <w:p>
            <w:pPr>
              <w:rPr>
                <w:rFonts w:ascii="宋体"/>
                <w:bCs/>
                <w:sz w:val="24"/>
                <w:szCs w:val="24"/>
              </w:rPr>
            </w:pPr>
          </w:p>
        </w:tc>
      </w:tr>
    </w:tbl>
    <w:p>
      <w:pPr>
        <w:spacing w:before="5" w:line="560" w:lineRule="atLeast"/>
        <w:rPr>
          <w:b/>
          <w:bCs/>
          <w:color w:val="000000"/>
          <w:sz w:val="24"/>
          <w:szCs w:val="24"/>
        </w:rPr>
      </w:pPr>
      <w:r>
        <w:rPr>
          <w:rFonts w:hint="eastAsia"/>
          <w:b/>
          <w:bCs/>
          <w:color w:val="000000"/>
          <w:sz w:val="24"/>
          <w:szCs w:val="24"/>
        </w:rPr>
        <w:t>法定代表人或法定代表人授权代表签字或盖章：</w:t>
      </w:r>
    </w:p>
    <w:p>
      <w:pPr>
        <w:spacing w:line="400" w:lineRule="exact"/>
        <w:outlineLvl w:val="0"/>
        <w:rPr>
          <w:rFonts w:ascii="宋体"/>
          <w:b/>
          <w:color w:val="000000"/>
          <w:szCs w:val="21"/>
        </w:rPr>
      </w:pPr>
      <w:r>
        <w:rPr>
          <w:rFonts w:hint="eastAsia" w:ascii="宋体" w:hAnsi="宋体"/>
          <w:b/>
          <w:color w:val="000000"/>
          <w:szCs w:val="21"/>
        </w:rPr>
        <w:t>提醒：请各投标人尽可能携带明细报价表的电子文档。</w:t>
      </w:r>
    </w:p>
    <w:p>
      <w:pPr>
        <w:spacing w:line="400" w:lineRule="exact"/>
        <w:outlineLvl w:val="0"/>
        <w:rPr>
          <w:rFonts w:ascii="宋体"/>
          <w:bCs/>
          <w:color w:val="000000"/>
          <w:szCs w:val="21"/>
        </w:rPr>
      </w:pPr>
      <w:r>
        <w:rPr>
          <w:rFonts w:hint="eastAsia" w:ascii="宋体" w:hAnsi="宋体"/>
          <w:b/>
          <w:color w:val="000000"/>
          <w:szCs w:val="21"/>
        </w:rPr>
        <w:t>注：</w:t>
      </w:r>
      <w:r>
        <w:rPr>
          <w:rFonts w:hint="eastAsia" w:ascii="宋体" w:hAnsi="宋体"/>
          <w:bCs/>
          <w:color w:val="000000"/>
          <w:szCs w:val="21"/>
        </w:rPr>
        <w:t>（</w:t>
      </w:r>
      <w:r>
        <w:rPr>
          <w:rFonts w:ascii="宋体" w:hAnsi="宋体"/>
          <w:bCs/>
          <w:color w:val="000000"/>
          <w:szCs w:val="21"/>
        </w:rPr>
        <w:t>1</w:t>
      </w:r>
      <w:r>
        <w:rPr>
          <w:rFonts w:hint="eastAsia" w:ascii="宋体" w:hAnsi="宋体"/>
          <w:bCs/>
          <w:color w:val="000000"/>
          <w:szCs w:val="21"/>
        </w:rPr>
        <w:t>）</w:t>
      </w:r>
      <w:r>
        <w:rPr>
          <w:rFonts w:hint="eastAsia" w:ascii="宋体" w:hAnsi="宋体" w:cs="宋体"/>
          <w:color w:val="000000" w:themeColor="text1"/>
          <w:kern w:val="0"/>
          <w:szCs w:val="21"/>
          <w:lang w:val="zh-CN"/>
          <w14:textFill>
            <w14:solidFill>
              <w14:schemeClr w14:val="tx1"/>
            </w14:solidFill>
          </w14:textFill>
        </w:rPr>
        <w:t>投标人本项目</w:t>
      </w:r>
      <w:r>
        <w:rPr>
          <w:rFonts w:ascii="宋体" w:hAnsi="宋体" w:cs="宋体"/>
          <w:color w:val="000000" w:themeColor="text1"/>
          <w:kern w:val="0"/>
          <w:szCs w:val="21"/>
          <w:lang w:val="zh-CN"/>
          <w14:textFill>
            <w14:solidFill>
              <w14:schemeClr w14:val="tx1"/>
            </w14:solidFill>
          </w14:textFill>
        </w:rPr>
        <w:t>提供的货物全部由符合政策要求的中小企业制造</w:t>
      </w:r>
      <w:r>
        <w:rPr>
          <w:rFonts w:hint="eastAsia" w:ascii="宋体" w:hAnsi="宋体" w:cs="宋体"/>
          <w:color w:val="000000" w:themeColor="text1"/>
          <w:kern w:val="0"/>
          <w:szCs w:val="21"/>
          <w:lang w:val="zh-CN"/>
          <w14:textFill>
            <w14:solidFill>
              <w14:schemeClr w14:val="tx1"/>
            </w14:solidFill>
          </w14:textFill>
        </w:rPr>
        <w:t>的，须提供按格式填写的《中小企业声明函》（</w:t>
      </w:r>
      <w:r>
        <w:rPr>
          <w:rFonts w:hint="eastAsia" w:ascii="宋体" w:hAnsi="宋体" w:cs="宋体"/>
          <w:color w:val="000000" w:themeColor="text1"/>
          <w:kern w:val="0"/>
          <w:szCs w:val="21"/>
          <w:lang w:val="en-US" w:eastAsia="zh-CN"/>
          <w14:textFill>
            <w14:solidFill>
              <w14:schemeClr w14:val="tx1"/>
            </w14:solidFill>
          </w14:textFill>
        </w:rPr>
        <w:t>服务</w:t>
      </w:r>
      <w:r>
        <w:rPr>
          <w:rFonts w:hint="eastAsia" w:ascii="宋体" w:hAnsi="宋体" w:cs="宋体"/>
          <w:color w:val="000000" w:themeColor="text1"/>
          <w:kern w:val="0"/>
          <w:szCs w:val="21"/>
          <w:lang w:val="zh-CN"/>
          <w14:textFill>
            <w14:solidFill>
              <w14:schemeClr w14:val="tx1"/>
            </w14:solidFill>
          </w14:textFill>
        </w:rPr>
        <w:t>）（《中小企业声明函》（</w:t>
      </w:r>
      <w:r>
        <w:rPr>
          <w:rFonts w:hint="eastAsia" w:ascii="宋体" w:hAnsi="宋体" w:cs="宋体"/>
          <w:color w:val="000000" w:themeColor="text1"/>
          <w:kern w:val="0"/>
          <w:szCs w:val="21"/>
          <w:lang w:val="en-US" w:eastAsia="zh-CN"/>
          <w14:textFill>
            <w14:solidFill>
              <w14:schemeClr w14:val="tx1"/>
            </w14:solidFill>
          </w14:textFill>
        </w:rPr>
        <w:t>服务</w:t>
      </w:r>
      <w:r>
        <w:rPr>
          <w:rFonts w:hint="eastAsia" w:ascii="宋体" w:hAnsi="宋体" w:cs="宋体"/>
          <w:color w:val="000000" w:themeColor="text1"/>
          <w:kern w:val="0"/>
          <w:szCs w:val="21"/>
          <w:lang w:val="zh-CN"/>
          <w14:textFill>
            <w14:solidFill>
              <w14:schemeClr w14:val="tx1"/>
            </w14:solidFill>
          </w14:textFill>
        </w:rPr>
        <w:t>）相应内容须与上表填列内容保持一致）</w:t>
      </w:r>
      <w:r>
        <w:rPr>
          <w:rFonts w:hint="eastAsia" w:ascii="宋体" w:hAnsi="宋体"/>
          <w:bCs/>
          <w:color w:val="000000"/>
          <w:szCs w:val="21"/>
        </w:rPr>
        <w:t>；或提供由省级以上监狱管理局、戒毒管理局(含新疆生产建设兵团)出具的投标人属于监狱企业的证明文件复印件；或提供投标人《残疾人福利性单位声明函》。如未按要求填写和提供有效证明或</w:t>
      </w:r>
      <w:r>
        <w:rPr>
          <w:rFonts w:hint="eastAsia" w:ascii="宋体" w:hAnsi="宋体" w:cs="宋体"/>
          <w:color w:val="000000"/>
          <w:kern w:val="0"/>
          <w:szCs w:val="21"/>
          <w:lang w:val="zh-CN"/>
        </w:rPr>
        <w:t>相关内容表述不清的，</w:t>
      </w:r>
      <w:r>
        <w:rPr>
          <w:rFonts w:hint="eastAsia" w:ascii="宋体" w:hAnsi="宋体"/>
          <w:bCs/>
          <w:color w:val="000000"/>
          <w:szCs w:val="21"/>
        </w:rPr>
        <w:t>不得享受价格扣除。</w:t>
      </w:r>
      <w:r>
        <w:rPr>
          <w:rFonts w:hint="eastAsia" w:ascii="宋体" w:hAnsi="宋体" w:cs="宋体"/>
          <w:color w:val="000000"/>
          <w:kern w:val="0"/>
          <w:szCs w:val="21"/>
          <w:lang w:val="zh-CN"/>
        </w:rPr>
        <w:t>投标人对所报相关数据的真实性负责，无锡市公共资源交易中心梁溪分中心有权将相关内容进行公示；</w:t>
      </w:r>
    </w:p>
    <w:p>
      <w:pPr>
        <w:spacing w:line="400" w:lineRule="exact"/>
        <w:ind w:firstLine="420" w:firstLineChars="200"/>
        <w:outlineLvl w:val="0"/>
        <w:rPr>
          <w:rFonts w:ascii="宋体"/>
          <w:bCs/>
          <w:color w:val="000000"/>
          <w:szCs w:val="21"/>
        </w:rPr>
      </w:pPr>
      <w:r>
        <w:rPr>
          <w:rFonts w:hint="eastAsia" w:ascii="宋体" w:hAnsi="宋体"/>
          <w:bCs/>
          <w:color w:val="000000"/>
          <w:szCs w:val="21"/>
        </w:rPr>
        <w:t>（</w:t>
      </w:r>
      <w:r>
        <w:rPr>
          <w:rFonts w:ascii="宋体" w:hAnsi="宋体"/>
          <w:bCs/>
          <w:color w:val="000000"/>
          <w:szCs w:val="21"/>
        </w:rPr>
        <w:t>2</w:t>
      </w:r>
      <w:r>
        <w:rPr>
          <w:rFonts w:hint="eastAsia" w:ascii="宋体" w:hAnsi="宋体"/>
          <w:bCs/>
          <w:color w:val="000000"/>
          <w:szCs w:val="21"/>
        </w:rPr>
        <w:t>）投标人应当根据“项目技术要求和有关说明”的内容在上表中详细填写；</w:t>
      </w:r>
    </w:p>
    <w:p>
      <w:pPr>
        <w:ind w:firstLine="420" w:firstLineChars="200"/>
        <w:outlineLvl w:val="0"/>
        <w:rPr>
          <w:rFonts w:ascii="宋体" w:hAnsi="宋体"/>
          <w:bCs/>
          <w:szCs w:val="21"/>
        </w:rPr>
      </w:pPr>
      <w:r>
        <w:rPr>
          <w:rFonts w:hint="eastAsia" w:ascii="宋体" w:hAnsi="宋体"/>
          <w:bCs/>
          <w:color w:val="000000"/>
          <w:szCs w:val="21"/>
        </w:rPr>
        <w:t>（</w:t>
      </w:r>
      <w:r>
        <w:rPr>
          <w:rFonts w:ascii="宋体" w:hAnsi="宋体"/>
          <w:bCs/>
          <w:color w:val="000000"/>
          <w:szCs w:val="21"/>
        </w:rPr>
        <w:t>3</w:t>
      </w:r>
      <w:r>
        <w:rPr>
          <w:rFonts w:hint="eastAsia" w:ascii="宋体" w:hAnsi="宋体"/>
          <w:bCs/>
          <w:color w:val="000000"/>
          <w:szCs w:val="21"/>
        </w:rPr>
        <w:t>）表格不够可自行延长。</w:t>
      </w:r>
    </w:p>
    <w:p>
      <w:pPr>
        <w:ind w:firstLine="420" w:firstLineChars="200"/>
        <w:jc w:val="left"/>
        <w:outlineLvl w:val="0"/>
        <w:rPr>
          <w:rFonts w:ascii="宋体" w:hAnsi="宋体"/>
          <w:bCs/>
          <w:szCs w:val="21"/>
        </w:rPr>
      </w:pPr>
    </w:p>
    <w:p>
      <w:pPr>
        <w:outlineLvl w:val="2"/>
        <w:rPr>
          <w:rFonts w:ascii="黑体" w:hAnsi="宋体" w:eastAsia="黑体"/>
          <w:bCs/>
          <w:sz w:val="24"/>
          <w:szCs w:val="24"/>
        </w:rPr>
      </w:pPr>
      <w:r>
        <w:rPr>
          <w:rFonts w:hint="eastAsia" w:ascii="黑体" w:hAnsi="宋体" w:eastAsia="黑体"/>
          <w:bCs/>
          <w:sz w:val="24"/>
          <w:szCs w:val="24"/>
        </w:rPr>
        <w:t>（九）项目人员配置清单（格式）：</w:t>
      </w:r>
    </w:p>
    <w:p>
      <w:pPr>
        <w:spacing w:line="400" w:lineRule="exact"/>
        <w:rPr>
          <w:rFonts w:ascii="黑体" w:hAnsi="Calibri" w:eastAsia="黑体"/>
          <w:bCs/>
          <w:sz w:val="28"/>
          <w:szCs w:val="28"/>
        </w:rPr>
      </w:pPr>
    </w:p>
    <w:p>
      <w:pPr>
        <w:spacing w:line="400" w:lineRule="exact"/>
        <w:jc w:val="center"/>
        <w:rPr>
          <w:rFonts w:ascii="黑体" w:eastAsia="黑体"/>
          <w:bCs/>
          <w:sz w:val="28"/>
          <w:szCs w:val="28"/>
        </w:rPr>
      </w:pPr>
      <w:r>
        <w:rPr>
          <w:rFonts w:hint="eastAsia" w:ascii="黑体" w:eastAsia="黑体"/>
          <w:bCs/>
          <w:sz w:val="28"/>
          <w:szCs w:val="28"/>
        </w:rPr>
        <w:t>项目人员配置清单</w:t>
      </w:r>
    </w:p>
    <w:p>
      <w:pPr>
        <w:spacing w:line="400" w:lineRule="exact"/>
        <w:jc w:val="center"/>
        <w:rPr>
          <w:rFonts w:ascii="黑体" w:eastAsia="黑体"/>
          <w:bCs/>
          <w:sz w:val="28"/>
          <w:szCs w:val="28"/>
        </w:rPr>
      </w:pPr>
    </w:p>
    <w:p>
      <w:pPr>
        <w:spacing w:line="580" w:lineRule="exact"/>
        <w:rPr>
          <w:rFonts w:hint="eastAsia" w:ascii="黑体" w:eastAsia="黑体"/>
          <w:bCs/>
          <w:sz w:val="24"/>
          <w:szCs w:val="24"/>
          <w:highlight w:val="yellow"/>
          <w:lang w:eastAsia="zh-CN"/>
        </w:rPr>
      </w:pPr>
      <w:r>
        <w:rPr>
          <w:rFonts w:hint="eastAsia" w:ascii="黑体" w:eastAsia="黑体"/>
          <w:bCs/>
          <w:sz w:val="24"/>
          <w:szCs w:val="24"/>
        </w:rPr>
        <w:t>投标人名称（盖章）                                  采购项目编号：</w:t>
      </w:r>
      <w:r>
        <w:rPr>
          <w:rFonts w:hint="eastAsia" w:ascii="黑体" w:eastAsia="黑体"/>
          <w:bCs/>
          <w:sz w:val="24"/>
          <w:szCs w:val="24"/>
          <w:lang w:eastAsia="zh-CN"/>
        </w:rPr>
        <w:t>LXZC2021-054</w:t>
      </w:r>
    </w:p>
    <w:tbl>
      <w:tblPr>
        <w:tblStyle w:val="41"/>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626"/>
        <w:gridCol w:w="793"/>
        <w:gridCol w:w="2585"/>
        <w:gridCol w:w="1459"/>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76" w:type="dxa"/>
            <w:vAlign w:val="center"/>
          </w:tcPr>
          <w:p>
            <w:pPr>
              <w:rPr>
                <w:b/>
                <w:bCs/>
                <w:sz w:val="24"/>
                <w:szCs w:val="24"/>
              </w:rPr>
            </w:pPr>
            <w:r>
              <w:rPr>
                <w:rFonts w:hint="eastAsia"/>
                <w:b/>
                <w:bCs/>
                <w:sz w:val="24"/>
                <w:szCs w:val="24"/>
              </w:rPr>
              <w:t>序号</w:t>
            </w:r>
          </w:p>
        </w:tc>
        <w:tc>
          <w:tcPr>
            <w:tcW w:w="1626" w:type="dxa"/>
            <w:vAlign w:val="center"/>
          </w:tcPr>
          <w:p>
            <w:pPr>
              <w:rPr>
                <w:b/>
                <w:bCs/>
                <w:sz w:val="24"/>
                <w:szCs w:val="24"/>
              </w:rPr>
            </w:pPr>
            <w:r>
              <w:rPr>
                <w:rFonts w:hint="eastAsia"/>
                <w:b/>
                <w:bCs/>
                <w:sz w:val="24"/>
                <w:szCs w:val="24"/>
              </w:rPr>
              <w:t>姓名</w:t>
            </w:r>
          </w:p>
        </w:tc>
        <w:tc>
          <w:tcPr>
            <w:tcW w:w="793" w:type="dxa"/>
            <w:vAlign w:val="center"/>
          </w:tcPr>
          <w:p>
            <w:pPr>
              <w:rPr>
                <w:b/>
                <w:bCs/>
                <w:sz w:val="24"/>
                <w:szCs w:val="24"/>
              </w:rPr>
            </w:pPr>
            <w:r>
              <w:rPr>
                <w:rFonts w:hint="eastAsia"/>
                <w:b/>
                <w:bCs/>
                <w:sz w:val="24"/>
                <w:szCs w:val="24"/>
              </w:rPr>
              <w:t>年龄</w:t>
            </w:r>
          </w:p>
        </w:tc>
        <w:tc>
          <w:tcPr>
            <w:tcW w:w="2585" w:type="dxa"/>
            <w:vAlign w:val="center"/>
          </w:tcPr>
          <w:p>
            <w:pPr>
              <w:rPr>
                <w:b/>
                <w:bCs/>
                <w:sz w:val="24"/>
                <w:szCs w:val="24"/>
              </w:rPr>
            </w:pPr>
            <w:r>
              <w:rPr>
                <w:rFonts w:hint="eastAsia"/>
                <w:b/>
                <w:bCs/>
                <w:sz w:val="24"/>
                <w:szCs w:val="24"/>
              </w:rPr>
              <w:t>本项目职责</w:t>
            </w:r>
          </w:p>
        </w:tc>
        <w:tc>
          <w:tcPr>
            <w:tcW w:w="1459" w:type="dxa"/>
            <w:vAlign w:val="center"/>
          </w:tcPr>
          <w:p>
            <w:pPr>
              <w:rPr>
                <w:b/>
                <w:bCs/>
                <w:sz w:val="24"/>
                <w:szCs w:val="24"/>
              </w:rPr>
            </w:pPr>
            <w:r>
              <w:rPr>
                <w:rFonts w:hint="eastAsia"/>
                <w:b/>
                <w:bCs/>
                <w:sz w:val="24"/>
                <w:szCs w:val="24"/>
              </w:rPr>
              <w:t>个人经验</w:t>
            </w:r>
          </w:p>
        </w:tc>
        <w:tc>
          <w:tcPr>
            <w:tcW w:w="1977" w:type="dxa"/>
            <w:vAlign w:val="center"/>
          </w:tcPr>
          <w:p>
            <w:pPr>
              <w:rPr>
                <w:b/>
                <w:bCs/>
                <w:sz w:val="24"/>
                <w:szCs w:val="24"/>
              </w:rPr>
            </w:pPr>
            <w:r>
              <w:rPr>
                <w:rFonts w:hint="eastAsia"/>
                <w:b/>
                <w:bCs/>
                <w:sz w:val="24"/>
                <w:szCs w:val="24"/>
              </w:rPr>
              <w:t>证书名称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76" w:type="dxa"/>
          </w:tcPr>
          <w:p>
            <w:pPr>
              <w:rPr>
                <w:b/>
                <w:bCs/>
                <w:sz w:val="24"/>
                <w:szCs w:val="24"/>
              </w:rPr>
            </w:pPr>
          </w:p>
        </w:tc>
        <w:tc>
          <w:tcPr>
            <w:tcW w:w="1626" w:type="dxa"/>
          </w:tcPr>
          <w:p>
            <w:pPr>
              <w:rPr>
                <w:b/>
                <w:bCs/>
                <w:sz w:val="24"/>
                <w:szCs w:val="24"/>
              </w:rPr>
            </w:pPr>
          </w:p>
        </w:tc>
        <w:tc>
          <w:tcPr>
            <w:tcW w:w="793" w:type="dxa"/>
          </w:tcPr>
          <w:p>
            <w:pPr>
              <w:rPr>
                <w:b/>
                <w:bCs/>
                <w:sz w:val="24"/>
                <w:szCs w:val="24"/>
              </w:rPr>
            </w:pPr>
          </w:p>
        </w:tc>
        <w:tc>
          <w:tcPr>
            <w:tcW w:w="2585" w:type="dxa"/>
          </w:tcPr>
          <w:p>
            <w:pPr>
              <w:rPr>
                <w:b/>
                <w:bCs/>
                <w:sz w:val="24"/>
                <w:szCs w:val="24"/>
              </w:rPr>
            </w:pPr>
          </w:p>
        </w:tc>
        <w:tc>
          <w:tcPr>
            <w:tcW w:w="1459" w:type="dxa"/>
          </w:tcPr>
          <w:p>
            <w:pPr>
              <w:rPr>
                <w:b/>
                <w:bCs/>
                <w:sz w:val="24"/>
                <w:szCs w:val="24"/>
              </w:rPr>
            </w:pPr>
          </w:p>
        </w:tc>
        <w:tc>
          <w:tcPr>
            <w:tcW w:w="1977" w:type="dxa"/>
          </w:tcPr>
          <w:p>
            <w:pP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76" w:type="dxa"/>
          </w:tcPr>
          <w:p>
            <w:pPr>
              <w:rPr>
                <w:b/>
                <w:bCs/>
                <w:sz w:val="24"/>
                <w:szCs w:val="24"/>
              </w:rPr>
            </w:pPr>
          </w:p>
        </w:tc>
        <w:tc>
          <w:tcPr>
            <w:tcW w:w="1626" w:type="dxa"/>
          </w:tcPr>
          <w:p>
            <w:pPr>
              <w:rPr>
                <w:b/>
                <w:bCs/>
                <w:sz w:val="24"/>
                <w:szCs w:val="24"/>
              </w:rPr>
            </w:pPr>
          </w:p>
        </w:tc>
        <w:tc>
          <w:tcPr>
            <w:tcW w:w="793" w:type="dxa"/>
          </w:tcPr>
          <w:p>
            <w:pPr>
              <w:rPr>
                <w:b/>
                <w:bCs/>
                <w:sz w:val="24"/>
                <w:szCs w:val="24"/>
              </w:rPr>
            </w:pPr>
          </w:p>
        </w:tc>
        <w:tc>
          <w:tcPr>
            <w:tcW w:w="2585" w:type="dxa"/>
          </w:tcPr>
          <w:p>
            <w:pPr>
              <w:rPr>
                <w:b/>
                <w:bCs/>
                <w:sz w:val="24"/>
                <w:szCs w:val="24"/>
              </w:rPr>
            </w:pPr>
          </w:p>
        </w:tc>
        <w:tc>
          <w:tcPr>
            <w:tcW w:w="1459" w:type="dxa"/>
          </w:tcPr>
          <w:p>
            <w:pPr>
              <w:rPr>
                <w:b/>
                <w:bCs/>
                <w:sz w:val="24"/>
                <w:szCs w:val="24"/>
              </w:rPr>
            </w:pPr>
          </w:p>
        </w:tc>
        <w:tc>
          <w:tcPr>
            <w:tcW w:w="1977" w:type="dxa"/>
          </w:tcPr>
          <w:p>
            <w:pP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76" w:type="dxa"/>
          </w:tcPr>
          <w:p>
            <w:pPr>
              <w:rPr>
                <w:b/>
                <w:bCs/>
                <w:sz w:val="24"/>
                <w:szCs w:val="24"/>
              </w:rPr>
            </w:pPr>
          </w:p>
        </w:tc>
        <w:tc>
          <w:tcPr>
            <w:tcW w:w="1626" w:type="dxa"/>
          </w:tcPr>
          <w:p>
            <w:pPr>
              <w:rPr>
                <w:b/>
                <w:bCs/>
                <w:sz w:val="24"/>
                <w:szCs w:val="24"/>
              </w:rPr>
            </w:pPr>
          </w:p>
        </w:tc>
        <w:tc>
          <w:tcPr>
            <w:tcW w:w="793" w:type="dxa"/>
          </w:tcPr>
          <w:p>
            <w:pPr>
              <w:rPr>
                <w:b/>
                <w:bCs/>
                <w:sz w:val="24"/>
                <w:szCs w:val="24"/>
              </w:rPr>
            </w:pPr>
          </w:p>
        </w:tc>
        <w:tc>
          <w:tcPr>
            <w:tcW w:w="2585" w:type="dxa"/>
          </w:tcPr>
          <w:p>
            <w:pPr>
              <w:rPr>
                <w:b/>
                <w:bCs/>
                <w:sz w:val="24"/>
                <w:szCs w:val="24"/>
              </w:rPr>
            </w:pPr>
          </w:p>
        </w:tc>
        <w:tc>
          <w:tcPr>
            <w:tcW w:w="1459" w:type="dxa"/>
          </w:tcPr>
          <w:p>
            <w:pPr>
              <w:rPr>
                <w:b/>
                <w:bCs/>
                <w:sz w:val="24"/>
                <w:szCs w:val="24"/>
              </w:rPr>
            </w:pPr>
          </w:p>
        </w:tc>
        <w:tc>
          <w:tcPr>
            <w:tcW w:w="1977" w:type="dxa"/>
          </w:tcPr>
          <w:p>
            <w:pP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76" w:type="dxa"/>
          </w:tcPr>
          <w:p>
            <w:pPr>
              <w:rPr>
                <w:b/>
                <w:bCs/>
                <w:sz w:val="24"/>
                <w:szCs w:val="24"/>
              </w:rPr>
            </w:pPr>
          </w:p>
        </w:tc>
        <w:tc>
          <w:tcPr>
            <w:tcW w:w="1626" w:type="dxa"/>
          </w:tcPr>
          <w:p>
            <w:pPr>
              <w:rPr>
                <w:b/>
                <w:bCs/>
                <w:sz w:val="24"/>
                <w:szCs w:val="24"/>
              </w:rPr>
            </w:pPr>
          </w:p>
        </w:tc>
        <w:tc>
          <w:tcPr>
            <w:tcW w:w="793" w:type="dxa"/>
          </w:tcPr>
          <w:p>
            <w:pPr>
              <w:rPr>
                <w:b/>
                <w:bCs/>
                <w:sz w:val="24"/>
                <w:szCs w:val="24"/>
              </w:rPr>
            </w:pPr>
          </w:p>
        </w:tc>
        <w:tc>
          <w:tcPr>
            <w:tcW w:w="2585" w:type="dxa"/>
          </w:tcPr>
          <w:p>
            <w:pPr>
              <w:rPr>
                <w:b/>
                <w:bCs/>
                <w:sz w:val="24"/>
                <w:szCs w:val="24"/>
              </w:rPr>
            </w:pPr>
          </w:p>
        </w:tc>
        <w:tc>
          <w:tcPr>
            <w:tcW w:w="1459" w:type="dxa"/>
          </w:tcPr>
          <w:p>
            <w:pPr>
              <w:rPr>
                <w:b/>
                <w:bCs/>
                <w:sz w:val="24"/>
                <w:szCs w:val="24"/>
              </w:rPr>
            </w:pPr>
          </w:p>
        </w:tc>
        <w:tc>
          <w:tcPr>
            <w:tcW w:w="1977" w:type="dxa"/>
          </w:tcPr>
          <w:p>
            <w:pP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76" w:type="dxa"/>
          </w:tcPr>
          <w:p>
            <w:pPr>
              <w:rPr>
                <w:b/>
                <w:bCs/>
                <w:sz w:val="24"/>
                <w:szCs w:val="24"/>
              </w:rPr>
            </w:pPr>
          </w:p>
        </w:tc>
        <w:tc>
          <w:tcPr>
            <w:tcW w:w="1626" w:type="dxa"/>
          </w:tcPr>
          <w:p>
            <w:pPr>
              <w:rPr>
                <w:b/>
                <w:bCs/>
                <w:sz w:val="24"/>
                <w:szCs w:val="24"/>
              </w:rPr>
            </w:pPr>
          </w:p>
        </w:tc>
        <w:tc>
          <w:tcPr>
            <w:tcW w:w="793" w:type="dxa"/>
          </w:tcPr>
          <w:p>
            <w:pPr>
              <w:rPr>
                <w:b/>
                <w:bCs/>
                <w:sz w:val="24"/>
                <w:szCs w:val="24"/>
              </w:rPr>
            </w:pPr>
          </w:p>
        </w:tc>
        <w:tc>
          <w:tcPr>
            <w:tcW w:w="2585" w:type="dxa"/>
          </w:tcPr>
          <w:p>
            <w:pPr>
              <w:rPr>
                <w:b/>
                <w:bCs/>
                <w:sz w:val="24"/>
                <w:szCs w:val="24"/>
              </w:rPr>
            </w:pPr>
          </w:p>
        </w:tc>
        <w:tc>
          <w:tcPr>
            <w:tcW w:w="1459" w:type="dxa"/>
          </w:tcPr>
          <w:p>
            <w:pPr>
              <w:rPr>
                <w:b/>
                <w:bCs/>
                <w:sz w:val="24"/>
                <w:szCs w:val="24"/>
              </w:rPr>
            </w:pPr>
          </w:p>
        </w:tc>
        <w:tc>
          <w:tcPr>
            <w:tcW w:w="1977" w:type="dxa"/>
          </w:tcPr>
          <w:p>
            <w:pPr>
              <w:rPr>
                <w:b/>
                <w:bCs/>
                <w:sz w:val="24"/>
                <w:szCs w:val="24"/>
              </w:rPr>
            </w:pPr>
          </w:p>
        </w:tc>
      </w:tr>
    </w:tbl>
    <w:p>
      <w:pPr>
        <w:rPr>
          <w:rFonts w:ascii="Calibri" w:hAnsi="Calibri"/>
          <w:b/>
          <w:bCs/>
          <w:sz w:val="24"/>
          <w:szCs w:val="24"/>
        </w:rPr>
      </w:pPr>
      <w:r>
        <w:rPr>
          <w:rFonts w:hint="eastAsia"/>
          <w:b/>
          <w:bCs/>
          <w:sz w:val="24"/>
          <w:szCs w:val="24"/>
        </w:rPr>
        <w:t>法定代表人或法定代表人授权代表签字或盖章：</w:t>
      </w:r>
    </w:p>
    <w:p>
      <w:pPr>
        <w:rPr>
          <w:rFonts w:ascii="宋体" w:hAnsi="宋体"/>
          <w:bCs/>
          <w:szCs w:val="21"/>
        </w:rPr>
      </w:pPr>
    </w:p>
    <w:p>
      <w:pPr>
        <w:rPr>
          <w:rFonts w:ascii="宋体" w:hAnsi="宋体"/>
          <w:bCs/>
          <w:szCs w:val="21"/>
        </w:rPr>
      </w:pPr>
      <w:r>
        <w:rPr>
          <w:rFonts w:hint="eastAsia" w:ascii="宋体" w:hAnsi="宋体"/>
          <w:bCs/>
          <w:szCs w:val="21"/>
        </w:rPr>
        <w:t>注：1. 表格不够可自行延长。</w:t>
      </w:r>
    </w:p>
    <w:p>
      <w:pPr>
        <w:ind w:firstLine="420" w:firstLineChars="200"/>
        <w:jc w:val="left"/>
        <w:outlineLvl w:val="0"/>
        <w:rPr>
          <w:rFonts w:ascii="宋体" w:hAnsi="宋体"/>
          <w:sz w:val="24"/>
          <w:szCs w:val="24"/>
        </w:rPr>
      </w:pPr>
      <w:r>
        <w:rPr>
          <w:rFonts w:hint="eastAsia" w:ascii="宋体" w:hAnsi="宋体"/>
          <w:bCs/>
          <w:szCs w:val="21"/>
        </w:rPr>
        <w:t>2. 人员相关证明材料应按招标文件要求提供，并附在本表之后。</w:t>
      </w: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ind w:firstLine="480" w:firstLineChars="200"/>
        <w:rPr>
          <w:rFonts w:ascii="黑体" w:hAnsi="宋体" w:eastAsia="黑体"/>
          <w:bCs/>
          <w:sz w:val="24"/>
          <w:szCs w:val="24"/>
        </w:rPr>
      </w:pPr>
    </w:p>
    <w:p>
      <w:pPr>
        <w:spacing w:line="580" w:lineRule="exact"/>
        <w:rPr>
          <w:rFonts w:ascii="黑体" w:hAnsi="宋体" w:eastAsia="黑体"/>
          <w:bCs/>
          <w:sz w:val="24"/>
          <w:szCs w:val="24"/>
        </w:rPr>
      </w:pPr>
    </w:p>
    <w:p>
      <w:pPr>
        <w:spacing w:line="580" w:lineRule="exact"/>
        <w:ind w:firstLine="480" w:firstLineChars="200"/>
        <w:rPr>
          <w:rFonts w:hint="eastAsia" w:ascii="黑体" w:hAnsi="宋体" w:eastAsia="黑体"/>
          <w:bCs/>
          <w:sz w:val="24"/>
          <w:szCs w:val="24"/>
        </w:rPr>
      </w:pPr>
    </w:p>
    <w:p>
      <w:pPr>
        <w:spacing w:line="580" w:lineRule="exact"/>
        <w:ind w:firstLine="480" w:firstLineChars="200"/>
        <w:rPr>
          <w:rFonts w:ascii="黑体" w:eastAsia="黑体"/>
          <w:bCs/>
          <w:sz w:val="24"/>
          <w:szCs w:val="24"/>
        </w:rPr>
        <w:sectPr>
          <w:pgSz w:w="11906" w:h="16838"/>
          <w:pgMar w:top="567" w:right="851" w:bottom="567" w:left="1134" w:header="624" w:footer="907" w:gutter="0"/>
          <w:pgNumType w:start="0"/>
          <w:cols w:space="720" w:num="1"/>
          <w:titlePg/>
          <w:docGrid w:type="linesAndChars" w:linePitch="312" w:charSpace="0"/>
        </w:sectPr>
      </w:pPr>
      <w:r>
        <w:rPr>
          <w:rFonts w:hint="eastAsia" w:ascii="黑体" w:hAnsi="宋体" w:eastAsia="黑体"/>
          <w:bCs/>
          <w:sz w:val="24"/>
          <w:szCs w:val="24"/>
        </w:rPr>
        <w:t>附件三：技术标投标文件（格式）</w:t>
      </w:r>
    </w:p>
    <w:p>
      <w:pPr>
        <w:jc w:val="center"/>
        <w:rPr>
          <w:rFonts w:ascii="黑体" w:eastAsia="黑体"/>
          <w:bCs/>
          <w:sz w:val="52"/>
          <w:szCs w:val="52"/>
        </w:rPr>
      </w:pPr>
    </w:p>
    <w:p>
      <w:pPr>
        <w:jc w:val="center"/>
        <w:rPr>
          <w:rFonts w:ascii="黑体" w:eastAsia="黑体"/>
          <w:bCs/>
          <w:sz w:val="52"/>
          <w:szCs w:val="52"/>
        </w:rPr>
      </w:pPr>
    </w:p>
    <w:p>
      <w:pPr>
        <w:jc w:val="center"/>
        <w:rPr>
          <w:rFonts w:ascii="宋体" w:hAnsi="宋体"/>
          <w:bCs/>
          <w:sz w:val="24"/>
          <w:szCs w:val="24"/>
        </w:rPr>
      </w:pPr>
      <w:r>
        <w:rPr>
          <w:rFonts w:hint="eastAsia" w:ascii="宋体" w:hAnsi="宋体"/>
          <w:bCs/>
          <w:sz w:val="24"/>
          <w:szCs w:val="24"/>
        </w:rPr>
        <w:t xml:space="preserve">投  </w:t>
      </w: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r>
        <w:rPr>
          <w:rFonts w:hint="eastAsia" w:ascii="宋体" w:hAnsi="宋体"/>
          <w:bCs/>
          <w:sz w:val="24"/>
          <w:szCs w:val="24"/>
        </w:rPr>
        <w:t>标</w:t>
      </w: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r>
        <w:rPr>
          <w:rFonts w:hint="eastAsia" w:ascii="宋体" w:hAnsi="宋体"/>
          <w:bCs/>
          <w:sz w:val="24"/>
          <w:szCs w:val="24"/>
        </w:rPr>
        <w:t>文</w:t>
      </w: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r>
        <w:rPr>
          <w:rFonts w:hint="eastAsia" w:ascii="宋体" w:hAnsi="宋体"/>
          <w:bCs/>
          <w:sz w:val="24"/>
          <w:szCs w:val="24"/>
        </w:rPr>
        <w:t>件</w:t>
      </w: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r>
        <w:rPr>
          <w:rFonts w:hint="eastAsia" w:ascii="宋体" w:hAnsi="宋体"/>
          <w:bCs/>
          <w:sz w:val="24"/>
          <w:szCs w:val="24"/>
        </w:rPr>
        <w:t>（技 术 标）</w:t>
      </w: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ind w:firstLine="2715"/>
        <w:rPr>
          <w:rFonts w:ascii="宋体" w:hAnsi="宋体"/>
          <w:bCs/>
          <w:sz w:val="24"/>
          <w:szCs w:val="24"/>
        </w:rPr>
      </w:pPr>
      <w:r>
        <w:rPr>
          <w:rFonts w:hint="eastAsia" w:ascii="宋体" w:hAnsi="宋体"/>
          <w:bCs/>
          <w:sz w:val="24"/>
          <w:szCs w:val="24"/>
        </w:rPr>
        <w:t>采购项目编号：</w:t>
      </w:r>
      <w:r>
        <w:rPr>
          <w:rFonts w:hint="eastAsia" w:ascii="宋体" w:hAnsi="宋体"/>
          <w:bCs/>
          <w:sz w:val="24"/>
          <w:szCs w:val="24"/>
          <w:lang w:eastAsia="zh-CN"/>
        </w:rPr>
        <w:t>LXZC2021-054</w:t>
      </w:r>
      <w:r>
        <w:rPr>
          <w:rFonts w:hint="eastAsia" w:ascii="宋体" w:hAnsi="宋体"/>
          <w:bCs/>
          <w:sz w:val="24"/>
          <w:szCs w:val="24"/>
        </w:rPr>
        <w:t xml:space="preserve">   </w:t>
      </w:r>
    </w:p>
    <w:p>
      <w:pPr>
        <w:ind w:left="4410" w:leftChars="1300" w:hanging="1680" w:hangingChars="700"/>
        <w:rPr>
          <w:rFonts w:hint="eastAsia" w:ascii="宋体" w:hAnsi="宋体" w:eastAsia="宋体"/>
          <w:bCs/>
          <w:sz w:val="24"/>
          <w:szCs w:val="24"/>
          <w:lang w:eastAsia="zh-CN"/>
        </w:rPr>
      </w:pPr>
      <w:r>
        <w:rPr>
          <w:rFonts w:hint="eastAsia" w:ascii="宋体" w:hAnsi="宋体"/>
          <w:bCs/>
          <w:sz w:val="24"/>
          <w:szCs w:val="24"/>
        </w:rPr>
        <w:t>采购项目名称：</w:t>
      </w:r>
      <w:r>
        <w:rPr>
          <w:rFonts w:hint="eastAsia" w:ascii="宋体" w:hAnsi="宋体"/>
          <w:bCs/>
          <w:sz w:val="24"/>
          <w:szCs w:val="24"/>
          <w:lang w:eastAsia="zh-CN"/>
        </w:rPr>
        <w:t>无锡市康复医院（梁溪区中医医院）信息化建设一体化项目</w:t>
      </w:r>
    </w:p>
    <w:p>
      <w:pP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highlight w:val="none"/>
        </w:rPr>
      </w:pPr>
      <w:bookmarkStart w:id="149" w:name="_GoBack"/>
      <w:bookmarkEnd w:id="149"/>
    </w:p>
    <w:p>
      <w:pPr>
        <w:jc w:val="center"/>
        <w:rPr>
          <w:rFonts w:ascii="宋体" w:hAnsi="宋体"/>
          <w:bCs/>
          <w:sz w:val="24"/>
          <w:szCs w:val="24"/>
          <w:highlight w:val="none"/>
        </w:rPr>
      </w:pPr>
      <w:r>
        <w:rPr>
          <w:rFonts w:hint="eastAsia" w:ascii="宋体" w:hAnsi="宋体"/>
          <w:bCs/>
          <w:sz w:val="24"/>
          <w:szCs w:val="24"/>
          <w:highlight w:val="none"/>
        </w:rPr>
        <w:t>202</w:t>
      </w:r>
      <w:r>
        <w:rPr>
          <w:rFonts w:hint="eastAsia" w:ascii="宋体" w:hAnsi="宋体"/>
          <w:bCs/>
          <w:sz w:val="24"/>
          <w:szCs w:val="24"/>
          <w:highlight w:val="none"/>
          <w:lang w:val="en-US" w:eastAsia="zh-CN"/>
        </w:rPr>
        <w:t>2</w:t>
      </w:r>
      <w:r>
        <w:rPr>
          <w:rFonts w:hint="eastAsia" w:ascii="宋体" w:hAnsi="宋体"/>
          <w:bCs/>
          <w:sz w:val="24"/>
          <w:szCs w:val="24"/>
          <w:highlight w:val="none"/>
        </w:rPr>
        <w:t>年</w:t>
      </w:r>
      <w:r>
        <w:rPr>
          <w:rFonts w:hint="eastAsia" w:ascii="宋体" w:hAnsi="宋体"/>
          <w:bCs/>
          <w:sz w:val="24"/>
          <w:szCs w:val="24"/>
          <w:highlight w:val="none"/>
          <w:lang w:val="en-US" w:eastAsia="zh-CN"/>
        </w:rPr>
        <w:t>3</w:t>
      </w:r>
      <w:r>
        <w:rPr>
          <w:rFonts w:hint="eastAsia" w:ascii="宋体" w:hAnsi="宋体"/>
          <w:bCs/>
          <w:sz w:val="24"/>
          <w:szCs w:val="24"/>
          <w:highlight w:val="none"/>
        </w:rPr>
        <w:t>月</w:t>
      </w:r>
      <w:r>
        <w:rPr>
          <w:rFonts w:hint="eastAsia" w:ascii="宋体" w:hAnsi="宋体"/>
          <w:bCs/>
          <w:sz w:val="24"/>
          <w:szCs w:val="24"/>
          <w:highlight w:val="none"/>
          <w:lang w:val="en-US" w:eastAsia="zh-CN"/>
        </w:rPr>
        <w:t>3</w:t>
      </w:r>
      <w:r>
        <w:rPr>
          <w:rFonts w:hint="eastAsia" w:ascii="宋体" w:hAnsi="宋体"/>
          <w:bCs/>
          <w:sz w:val="24"/>
          <w:szCs w:val="24"/>
          <w:highlight w:val="none"/>
        </w:rPr>
        <w:t>日</w:t>
      </w:r>
    </w:p>
    <w:p>
      <w:pPr>
        <w:jc w:val="center"/>
        <w:rPr>
          <w:rStyle w:val="46"/>
          <w:rFonts w:ascii="宋体" w:hAnsi="宋体"/>
          <w:bCs/>
          <w:color w:val="auto"/>
          <w:sz w:val="24"/>
          <w:szCs w:val="24"/>
        </w:rPr>
      </w:pPr>
    </w:p>
    <w:p>
      <w:pPr>
        <w:jc w:val="center"/>
        <w:rPr>
          <w:rStyle w:val="46"/>
          <w:rFonts w:ascii="宋体" w:hAnsi="宋体"/>
          <w:bCs/>
          <w:color w:val="auto"/>
          <w:sz w:val="24"/>
          <w:szCs w:val="24"/>
        </w:rPr>
      </w:pPr>
    </w:p>
    <w:p>
      <w:pPr>
        <w:jc w:val="center"/>
        <w:rPr>
          <w:rStyle w:val="46"/>
          <w:rFonts w:ascii="宋体" w:hAnsi="宋体"/>
          <w:bCs/>
          <w:color w:val="auto"/>
          <w:sz w:val="24"/>
          <w:szCs w:val="24"/>
        </w:rPr>
      </w:pPr>
    </w:p>
    <w:p>
      <w:pPr>
        <w:jc w:val="center"/>
        <w:rPr>
          <w:rStyle w:val="46"/>
          <w:rFonts w:ascii="宋体" w:hAnsi="宋体"/>
          <w:bCs/>
          <w:color w:val="auto"/>
          <w:sz w:val="24"/>
          <w:szCs w:val="24"/>
        </w:rPr>
      </w:pPr>
    </w:p>
    <w:p>
      <w:pPr>
        <w:jc w:val="center"/>
        <w:rPr>
          <w:rStyle w:val="46"/>
          <w:rFonts w:ascii="宋体" w:hAnsi="宋体"/>
          <w:bCs/>
          <w:color w:val="auto"/>
          <w:sz w:val="24"/>
          <w:szCs w:val="24"/>
        </w:rPr>
      </w:pPr>
    </w:p>
    <w:p>
      <w:pPr>
        <w:jc w:val="center"/>
        <w:rPr>
          <w:rStyle w:val="46"/>
          <w:rFonts w:ascii="宋体" w:hAnsi="宋体"/>
          <w:bCs/>
          <w:color w:val="auto"/>
          <w:sz w:val="24"/>
          <w:szCs w:val="24"/>
          <w:u w:val="none"/>
        </w:rPr>
      </w:pPr>
      <w:r>
        <w:rPr>
          <w:rStyle w:val="46"/>
          <w:rFonts w:hint="eastAsia" w:ascii="宋体" w:hAnsi="宋体"/>
          <w:bCs/>
          <w:color w:val="auto"/>
          <w:sz w:val="24"/>
          <w:szCs w:val="24"/>
          <w:u w:val="none"/>
        </w:rPr>
        <w:t>目     录</w:t>
      </w:r>
    </w:p>
    <w:p>
      <w:pPr>
        <w:jc w:val="center"/>
        <w:rPr>
          <w:rFonts w:ascii="宋体" w:hAnsi="宋体"/>
          <w:bCs/>
          <w:sz w:val="24"/>
          <w:szCs w:val="24"/>
        </w:rPr>
      </w:pPr>
    </w:p>
    <w:p>
      <w:pPr>
        <w:jc w:val="center"/>
        <w:rPr>
          <w:rFonts w:ascii="宋体" w:hAnsi="宋体"/>
          <w:bCs/>
          <w:sz w:val="24"/>
          <w:szCs w:val="24"/>
        </w:rPr>
      </w:pPr>
    </w:p>
    <w:p>
      <w:pPr>
        <w:jc w:val="center"/>
        <w:rPr>
          <w:rFonts w:ascii="宋体" w:hAnsi="宋体"/>
          <w:bCs/>
          <w:sz w:val="24"/>
          <w:szCs w:val="24"/>
        </w:rPr>
      </w:pPr>
    </w:p>
    <w:p>
      <w:pPr>
        <w:ind w:firstLine="360" w:firstLineChars="150"/>
        <w:rPr>
          <w:rFonts w:ascii="宋体" w:hAnsi="宋体"/>
          <w:bCs/>
          <w:sz w:val="24"/>
          <w:szCs w:val="24"/>
        </w:rPr>
      </w:pPr>
      <w:r>
        <w:rPr>
          <w:rFonts w:hint="eastAsia" w:ascii="宋体" w:hAnsi="宋体"/>
          <w:bCs/>
          <w:sz w:val="24"/>
          <w:szCs w:val="24"/>
        </w:rPr>
        <w:t>一．服务偏离表-------------------------------------------------（ ）</w:t>
      </w:r>
    </w:p>
    <w:p>
      <w:pPr>
        <w:ind w:firstLine="360" w:firstLineChars="150"/>
        <w:rPr>
          <w:rFonts w:ascii="宋体" w:hAnsi="宋体"/>
          <w:bCs/>
          <w:sz w:val="24"/>
          <w:szCs w:val="24"/>
        </w:rPr>
      </w:pPr>
      <w:r>
        <w:rPr>
          <w:rFonts w:hint="eastAsia" w:ascii="宋体" w:hAnsi="宋体"/>
          <w:bCs/>
          <w:sz w:val="24"/>
          <w:szCs w:val="24"/>
        </w:rPr>
        <w:t>二.</w:t>
      </w:r>
      <w:r>
        <w:rPr>
          <w:rFonts w:ascii="宋体" w:hAnsi="宋体"/>
          <w:bCs/>
          <w:sz w:val="24"/>
          <w:szCs w:val="24"/>
        </w:rPr>
        <w:t xml:space="preserve"> </w:t>
      </w:r>
      <w:r>
        <w:rPr>
          <w:rFonts w:hint="eastAsia" w:ascii="宋体" w:hAnsi="宋体"/>
          <w:bCs/>
          <w:sz w:val="24"/>
          <w:szCs w:val="24"/>
        </w:rPr>
        <w:t>服务方案---------------------------------------------------（ ）</w:t>
      </w:r>
    </w:p>
    <w:p>
      <w:pPr>
        <w:ind w:firstLine="360" w:firstLineChars="150"/>
        <w:rPr>
          <w:rFonts w:ascii="宋体" w:hAnsi="宋体"/>
          <w:bCs/>
          <w:sz w:val="24"/>
          <w:szCs w:val="24"/>
        </w:rPr>
      </w:pPr>
    </w:p>
    <w:p>
      <w:pPr>
        <w:ind w:firstLine="360" w:firstLineChars="150"/>
        <w:rPr>
          <w:rFonts w:ascii="宋体" w:hAnsi="宋体"/>
          <w:bCs/>
          <w:sz w:val="24"/>
          <w:szCs w:val="24"/>
        </w:rPr>
      </w:pPr>
      <w:r>
        <w:rPr>
          <w:rFonts w:hint="eastAsia" w:ascii="宋体" w:hAnsi="宋体"/>
          <w:bCs/>
          <w:sz w:val="24"/>
          <w:szCs w:val="24"/>
        </w:rPr>
        <w:t xml:space="preserve">   </w:t>
      </w: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ind w:firstLine="360" w:firstLineChars="150"/>
        <w:rPr>
          <w:rFonts w:ascii="宋体" w:hAnsi="宋体"/>
          <w:bCs/>
          <w:sz w:val="24"/>
          <w:szCs w:val="24"/>
        </w:rPr>
      </w:pPr>
    </w:p>
    <w:p>
      <w:pPr>
        <w:pStyle w:val="2"/>
      </w:pPr>
    </w:p>
    <w:p>
      <w:pPr>
        <w:ind w:firstLine="360" w:firstLineChars="150"/>
        <w:rPr>
          <w:rFonts w:ascii="宋体" w:hAnsi="宋体"/>
          <w:bCs/>
          <w:sz w:val="24"/>
          <w:szCs w:val="24"/>
        </w:rPr>
      </w:pPr>
    </w:p>
    <w:p>
      <w:pPr>
        <w:ind w:firstLine="420" w:firstLineChars="175"/>
        <w:outlineLvl w:val="2"/>
        <w:rPr>
          <w:rFonts w:ascii="宋体" w:hAnsi="宋体"/>
          <w:bCs/>
          <w:sz w:val="24"/>
          <w:szCs w:val="24"/>
        </w:rPr>
      </w:pPr>
      <w:r>
        <w:rPr>
          <w:rFonts w:hint="eastAsia" w:ascii="宋体" w:hAnsi="宋体"/>
          <w:bCs/>
          <w:sz w:val="24"/>
          <w:szCs w:val="24"/>
        </w:rPr>
        <w:t>一、服务偏离表：</w:t>
      </w:r>
    </w:p>
    <w:p>
      <w:pPr>
        <w:ind w:firstLine="420" w:firstLineChars="175"/>
        <w:jc w:val="center"/>
        <w:rPr>
          <w:rFonts w:ascii="宋体" w:hAnsi="宋体"/>
          <w:bCs/>
          <w:sz w:val="24"/>
          <w:szCs w:val="24"/>
        </w:rPr>
      </w:pPr>
      <w:r>
        <w:rPr>
          <w:rFonts w:hint="eastAsia" w:ascii="宋体" w:hAnsi="宋体"/>
          <w:bCs/>
          <w:sz w:val="24"/>
          <w:szCs w:val="24"/>
        </w:rPr>
        <w:t>服务偏离表</w:t>
      </w:r>
    </w:p>
    <w:p>
      <w:pPr>
        <w:jc w:val="center"/>
        <w:rPr>
          <w:rFonts w:ascii="宋体" w:hAnsi="宋体"/>
          <w:bCs/>
          <w:sz w:val="24"/>
          <w:szCs w:val="24"/>
        </w:rPr>
      </w:pPr>
    </w:p>
    <w:p>
      <w:pPr>
        <w:jc w:val="center"/>
        <w:rPr>
          <w:rFonts w:ascii="宋体" w:hAnsi="宋体"/>
          <w:bCs/>
          <w:sz w:val="24"/>
          <w:szCs w:val="24"/>
        </w:rPr>
      </w:pPr>
    </w:p>
    <w:p>
      <w:pPr>
        <w:rPr>
          <w:rFonts w:hint="eastAsia" w:ascii="宋体" w:hAnsi="宋体" w:eastAsia="宋体"/>
          <w:bCs/>
          <w:sz w:val="24"/>
          <w:szCs w:val="24"/>
          <w:lang w:val="en-US" w:eastAsia="zh-CN"/>
        </w:rPr>
      </w:pPr>
      <w:r>
        <w:rPr>
          <w:rFonts w:hint="eastAsia" w:ascii="宋体" w:hAnsi="宋体"/>
          <w:bCs/>
          <w:sz w:val="24"/>
          <w:szCs w:val="24"/>
        </w:rPr>
        <w:t>采购项目编号：</w:t>
      </w:r>
      <w:r>
        <w:rPr>
          <w:rFonts w:hint="eastAsia" w:ascii="宋体" w:hAnsi="宋体"/>
          <w:bCs/>
          <w:sz w:val="24"/>
          <w:szCs w:val="24"/>
          <w:lang w:eastAsia="zh-CN"/>
        </w:rPr>
        <w:t>LXZC2021-054</w:t>
      </w:r>
    </w:p>
    <w:p>
      <w:pPr>
        <w:rPr>
          <w:rFonts w:ascii="宋体" w:hAnsi="宋体"/>
          <w:bCs/>
          <w:sz w:val="24"/>
          <w:szCs w:val="24"/>
        </w:rPr>
      </w:pPr>
    </w:p>
    <w:tbl>
      <w:tblPr>
        <w:tblStyle w:val="41"/>
        <w:tblW w:w="0" w:type="auto"/>
        <w:tblInd w:w="0" w:type="dxa"/>
        <w:tblLayout w:type="fixed"/>
        <w:tblCellMar>
          <w:top w:w="0" w:type="dxa"/>
          <w:left w:w="0" w:type="dxa"/>
          <w:bottom w:w="0" w:type="dxa"/>
          <w:right w:w="0" w:type="dxa"/>
        </w:tblCellMar>
      </w:tblPr>
      <w:tblGrid>
        <w:gridCol w:w="1905"/>
        <w:gridCol w:w="2835"/>
        <w:gridCol w:w="2835"/>
        <w:gridCol w:w="2310"/>
      </w:tblGrid>
      <w:tr>
        <w:tblPrEx>
          <w:tblCellMar>
            <w:top w:w="0" w:type="dxa"/>
            <w:left w:w="0" w:type="dxa"/>
            <w:bottom w:w="0" w:type="dxa"/>
            <w:right w:w="0" w:type="dxa"/>
          </w:tblCellMar>
        </w:tblPrEx>
        <w:trPr>
          <w:cantSplit/>
          <w:trHeight w:val="555"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hAnsi="宋体"/>
                <w:bCs/>
                <w:sz w:val="24"/>
                <w:szCs w:val="24"/>
              </w:rPr>
            </w:pPr>
            <w:r>
              <w:rPr>
                <w:rFonts w:hint="eastAsia" w:ascii="宋体" w:hAnsi="宋体"/>
                <w:bCs/>
                <w:sz w:val="24"/>
                <w:szCs w:val="24"/>
              </w:rPr>
              <w:t>服务内容</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szCs w:val="24"/>
              </w:rPr>
            </w:pPr>
            <w:r>
              <w:rPr>
                <w:rFonts w:hint="eastAsia" w:ascii="宋体" w:hAnsi="宋体"/>
                <w:bCs/>
                <w:sz w:val="24"/>
                <w:szCs w:val="24"/>
              </w:rPr>
              <w:t>采购要求</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szCs w:val="24"/>
              </w:rPr>
            </w:pPr>
            <w:r>
              <w:rPr>
                <w:rFonts w:hint="eastAsia" w:ascii="宋体" w:hAnsi="宋体"/>
                <w:bCs/>
                <w:sz w:val="24"/>
                <w:szCs w:val="24"/>
              </w:rPr>
              <w:t>实报内容</w:t>
            </w: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szCs w:val="24"/>
              </w:rPr>
            </w:pPr>
            <w:r>
              <w:rPr>
                <w:rFonts w:hint="eastAsia" w:ascii="宋体" w:hAnsi="宋体"/>
                <w:bCs/>
                <w:sz w:val="24"/>
                <w:szCs w:val="24"/>
              </w:rPr>
              <w:t>偏离说明</w:t>
            </w:r>
          </w:p>
        </w:tc>
      </w:tr>
      <w:tr>
        <w:tblPrEx>
          <w:tblCellMar>
            <w:top w:w="0" w:type="dxa"/>
            <w:left w:w="0" w:type="dxa"/>
            <w:bottom w:w="0" w:type="dxa"/>
            <w:right w:w="0" w:type="dxa"/>
          </w:tblCellMar>
        </w:tblPrEx>
        <w:trPr>
          <w:cantSplit/>
          <w:trHeight w:val="510"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hAnsi="宋体"/>
                <w:bCs/>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rPr>
                <w:rFonts w:ascii="宋体" w:hAnsi="宋体"/>
                <w:bCs/>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szCs w:val="24"/>
              </w:rPr>
            </w:pP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sz w:val="24"/>
                <w:szCs w:val="24"/>
              </w:rPr>
            </w:pPr>
          </w:p>
        </w:tc>
      </w:tr>
    </w:tbl>
    <w:p>
      <w:pPr>
        <w:ind w:firstLine="420" w:firstLineChars="175"/>
        <w:rPr>
          <w:rFonts w:ascii="宋体" w:hAnsi="宋体"/>
          <w:bCs/>
          <w:sz w:val="24"/>
          <w:szCs w:val="24"/>
        </w:rPr>
      </w:pPr>
    </w:p>
    <w:p>
      <w:pPr>
        <w:ind w:firstLine="420" w:firstLineChars="175"/>
        <w:rPr>
          <w:rFonts w:ascii="宋体" w:hAnsi="宋体"/>
          <w:bCs/>
          <w:sz w:val="24"/>
          <w:szCs w:val="24"/>
        </w:rPr>
      </w:pPr>
      <w:r>
        <w:rPr>
          <w:rFonts w:hint="eastAsia" w:ascii="宋体" w:hAnsi="宋体"/>
          <w:bCs/>
          <w:sz w:val="24"/>
          <w:szCs w:val="24"/>
        </w:rPr>
        <w:t>注：（</w:t>
      </w:r>
      <w:r>
        <w:rPr>
          <w:rFonts w:ascii="宋体" w:hAnsi="宋体"/>
          <w:bCs/>
          <w:sz w:val="24"/>
          <w:szCs w:val="24"/>
        </w:rPr>
        <w:t>1</w:t>
      </w:r>
      <w:r>
        <w:rPr>
          <w:rFonts w:hint="eastAsia" w:ascii="宋体" w:hAnsi="宋体"/>
          <w:bCs/>
          <w:sz w:val="24"/>
          <w:szCs w:val="24"/>
        </w:rPr>
        <w:t>）本表不得删除；</w:t>
      </w:r>
    </w:p>
    <w:p>
      <w:pPr>
        <w:ind w:firstLine="420" w:firstLineChars="175"/>
        <w:rPr>
          <w:rFonts w:ascii="宋体" w:hAnsi="宋体"/>
          <w:bCs/>
          <w:sz w:val="24"/>
          <w:szCs w:val="24"/>
        </w:rPr>
      </w:pPr>
      <w:r>
        <w:rPr>
          <w:rFonts w:ascii="宋体" w:hAnsi="宋体"/>
          <w:bCs/>
          <w:sz w:val="24"/>
          <w:szCs w:val="24"/>
        </w:rPr>
        <w:t xml:space="preserve">   </w:t>
      </w:r>
      <w:r>
        <w:rPr>
          <w:rFonts w:hint="eastAsia" w:ascii="宋体" w:hAnsi="宋体"/>
          <w:bCs/>
          <w:sz w:val="24"/>
          <w:szCs w:val="24"/>
        </w:rPr>
        <w:t xml:space="preserve"> （</w:t>
      </w:r>
      <w:r>
        <w:rPr>
          <w:rFonts w:ascii="宋体" w:hAnsi="宋体"/>
          <w:bCs/>
          <w:sz w:val="24"/>
          <w:szCs w:val="24"/>
        </w:rPr>
        <w:t>2</w:t>
      </w:r>
      <w:r>
        <w:rPr>
          <w:rFonts w:hint="eastAsia" w:ascii="宋体" w:hAnsi="宋体"/>
          <w:bCs/>
          <w:sz w:val="24"/>
          <w:szCs w:val="24"/>
        </w:rPr>
        <w:t>）如无任何服务偏离，请于本表 “偏离说明”中注明“无偏离”；</w:t>
      </w:r>
    </w:p>
    <w:p>
      <w:pPr>
        <w:ind w:firstLine="420" w:firstLineChars="175"/>
        <w:rPr>
          <w:rFonts w:ascii="宋体"/>
          <w:bCs/>
          <w:sz w:val="24"/>
          <w:szCs w:val="24"/>
        </w:rPr>
      </w:pPr>
      <w:r>
        <w:rPr>
          <w:rFonts w:hint="eastAsia" w:ascii="宋体" w:hAnsi="宋体"/>
          <w:bCs/>
          <w:sz w:val="24"/>
          <w:szCs w:val="24"/>
        </w:rPr>
        <w:t xml:space="preserve">    （3）如有服务偏离项，请于本表中列明偏离内容，如需要可自行延长，其余无偏离内容不须赘述。</w:t>
      </w:r>
    </w:p>
    <w:p>
      <w:pPr>
        <w:ind w:firstLine="420" w:firstLineChars="175"/>
        <w:rPr>
          <w:rFonts w:ascii="宋体" w:hAnsi="宋体"/>
          <w:bCs/>
          <w:sz w:val="24"/>
          <w:szCs w:val="24"/>
        </w:rPr>
      </w:pPr>
    </w:p>
    <w:p>
      <w:pPr>
        <w:ind w:firstLine="780" w:firstLineChars="325"/>
        <w:rPr>
          <w:rFonts w:ascii="宋体" w:hAnsi="宋体"/>
          <w:bCs/>
          <w:sz w:val="24"/>
          <w:szCs w:val="24"/>
        </w:rPr>
      </w:pPr>
    </w:p>
    <w:p>
      <w:pPr>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ind w:firstLine="480" w:firstLineChars="200"/>
        <w:rPr>
          <w:rFonts w:ascii="宋体" w:hAnsi="宋体"/>
          <w:bCs/>
          <w:sz w:val="24"/>
          <w:szCs w:val="24"/>
        </w:rPr>
      </w:pPr>
    </w:p>
    <w:p>
      <w:pPr>
        <w:pStyle w:val="2"/>
        <w:rPr>
          <w:rFonts w:ascii="宋体" w:hAnsi="宋体"/>
          <w:sz w:val="24"/>
          <w:szCs w:val="24"/>
        </w:rPr>
      </w:pPr>
    </w:p>
    <w:p>
      <w:pPr>
        <w:ind w:firstLine="420" w:firstLineChars="175"/>
        <w:outlineLvl w:val="2"/>
        <w:rPr>
          <w:rFonts w:ascii="宋体" w:hAnsi="宋体"/>
          <w:bCs/>
          <w:sz w:val="24"/>
          <w:szCs w:val="24"/>
        </w:rPr>
      </w:pPr>
    </w:p>
    <w:p>
      <w:pPr>
        <w:ind w:firstLine="420" w:firstLineChars="175"/>
        <w:outlineLvl w:val="2"/>
        <w:rPr>
          <w:rFonts w:ascii="宋体" w:hAnsi="宋体"/>
          <w:bCs/>
          <w:sz w:val="24"/>
          <w:szCs w:val="24"/>
        </w:rPr>
      </w:pPr>
    </w:p>
    <w:p>
      <w:pPr>
        <w:ind w:firstLine="420" w:firstLineChars="175"/>
        <w:outlineLvl w:val="2"/>
        <w:rPr>
          <w:rFonts w:ascii="宋体" w:hAnsi="宋体"/>
          <w:bCs/>
          <w:sz w:val="24"/>
          <w:szCs w:val="24"/>
        </w:rPr>
      </w:pPr>
      <w:r>
        <w:rPr>
          <w:rFonts w:hint="eastAsia" w:ascii="宋体" w:hAnsi="宋体"/>
          <w:bCs/>
          <w:sz w:val="24"/>
          <w:szCs w:val="24"/>
        </w:rPr>
        <w:t>二、服务方案（格式）</w:t>
      </w:r>
    </w:p>
    <w:p>
      <w:pPr>
        <w:spacing w:line="480" w:lineRule="auto"/>
        <w:ind w:firstLine="480" w:firstLineChars="200"/>
        <w:rPr>
          <w:rFonts w:ascii="宋体" w:hAnsi="宋体"/>
          <w:sz w:val="24"/>
        </w:rPr>
      </w:pPr>
      <w:r>
        <w:rPr>
          <w:rFonts w:hint="eastAsia" w:ascii="宋体" w:hAnsi="宋体"/>
          <w:sz w:val="24"/>
          <w:szCs w:val="24"/>
          <w:lang w:val="en-US" w:eastAsia="zh-CN"/>
        </w:rPr>
        <w:t>注：</w:t>
      </w:r>
      <w:r>
        <w:rPr>
          <w:rFonts w:hint="eastAsia" w:ascii="宋体" w:hAnsi="宋体"/>
          <w:sz w:val="24"/>
          <w:szCs w:val="24"/>
        </w:rPr>
        <w:t>投标人</w:t>
      </w:r>
      <w:r>
        <w:rPr>
          <w:rFonts w:hint="eastAsia"/>
          <w:sz w:val="24"/>
        </w:rPr>
        <w:t>应编制完整的服务方案，</w:t>
      </w:r>
      <w:r>
        <w:rPr>
          <w:rFonts w:hint="eastAsia" w:ascii="宋体" w:hAnsi="宋体"/>
          <w:sz w:val="24"/>
        </w:rPr>
        <w:t>以便评审。</w:t>
      </w:r>
    </w:p>
    <w:p>
      <w:pPr>
        <w:ind w:firstLine="420" w:firstLineChars="175"/>
        <w:outlineLvl w:val="0"/>
        <w:rPr>
          <w:rFonts w:ascii="宋体" w:hAnsi="宋体"/>
          <w:bCs/>
          <w:sz w:val="24"/>
          <w:szCs w:val="24"/>
        </w:rPr>
      </w:pPr>
      <w:r>
        <w:rPr>
          <w:rFonts w:ascii="黑体" w:hAnsi="宋体" w:eastAsia="黑体"/>
          <w:bCs/>
          <w:sz w:val="24"/>
          <w:szCs w:val="24"/>
        </w:rPr>
        <w:br w:type="page"/>
      </w:r>
    </w:p>
    <w:p>
      <w:pPr>
        <w:spacing w:after="312" w:afterLines="100"/>
        <w:jc w:val="left"/>
        <w:outlineLvl w:val="1"/>
        <w:rPr>
          <w:rFonts w:ascii="黑体" w:hAnsi="Calibri" w:eastAsia="黑体"/>
          <w:bCs/>
          <w:sz w:val="24"/>
          <w:szCs w:val="24"/>
        </w:rPr>
      </w:pPr>
      <w:r>
        <w:rPr>
          <w:rFonts w:hint="eastAsia" w:ascii="黑体" w:hAnsi="Calibri" w:eastAsia="黑体"/>
          <w:bCs/>
          <w:sz w:val="24"/>
          <w:szCs w:val="24"/>
        </w:rPr>
        <w:t>附件四：供应商参加投标（报价）确认函（格式）</w:t>
      </w:r>
    </w:p>
    <w:p>
      <w:pPr>
        <w:spacing w:line="580" w:lineRule="exact"/>
        <w:ind w:firstLine="560" w:firstLineChars="200"/>
        <w:jc w:val="center"/>
        <w:rPr>
          <w:rFonts w:ascii="黑体" w:hAnsi="黑体" w:eastAsia="黑体"/>
          <w:bCs/>
          <w:sz w:val="28"/>
          <w:szCs w:val="28"/>
        </w:rPr>
      </w:pPr>
      <w:r>
        <w:rPr>
          <w:rFonts w:hint="eastAsia" w:ascii="黑体" w:hAnsi="黑体" w:eastAsia="黑体"/>
          <w:bCs/>
          <w:sz w:val="28"/>
          <w:szCs w:val="28"/>
        </w:rPr>
        <w:t>供应商参加投标（报价）确认函</w:t>
      </w:r>
    </w:p>
    <w:p>
      <w:pPr>
        <w:spacing w:line="580" w:lineRule="exact"/>
        <w:ind w:firstLine="480" w:firstLineChars="200"/>
        <w:rPr>
          <w:rFonts w:ascii="宋体" w:hAnsi="宋体"/>
          <w:bCs/>
          <w:sz w:val="24"/>
          <w:szCs w:val="24"/>
        </w:rPr>
      </w:pPr>
      <w:r>
        <w:rPr>
          <w:rFonts w:hint="eastAsia" w:ascii="宋体" w:hAnsi="宋体"/>
          <w:bCs/>
          <w:sz w:val="24"/>
          <w:szCs w:val="24"/>
        </w:rPr>
        <w:t>无锡市公共资源交易中心梁溪分中心：</w:t>
      </w:r>
    </w:p>
    <w:p>
      <w:pPr>
        <w:spacing w:line="580" w:lineRule="exact"/>
        <w:ind w:firstLine="480" w:firstLineChars="200"/>
        <w:rPr>
          <w:rFonts w:ascii="宋体" w:hAnsi="宋体"/>
          <w:bCs/>
          <w:sz w:val="24"/>
          <w:szCs w:val="24"/>
        </w:rPr>
      </w:pPr>
      <w:r>
        <w:rPr>
          <w:rFonts w:hint="eastAsia" w:ascii="宋体" w:hAnsi="宋体"/>
          <w:bCs/>
          <w:sz w:val="24"/>
          <w:szCs w:val="24"/>
        </w:rPr>
        <w:t>　　本单位将参加贵中心于＿＿月＿＿日开标（评审）的编号为</w:t>
      </w:r>
      <w:r>
        <w:rPr>
          <w:rFonts w:hint="eastAsia" w:ascii="宋体" w:hAnsi="宋体"/>
          <w:bCs/>
          <w:sz w:val="24"/>
          <w:szCs w:val="24"/>
          <w:lang w:eastAsia="zh-CN"/>
        </w:rPr>
        <w:t>LXZC2021-054</w:t>
      </w:r>
      <w:r>
        <w:rPr>
          <w:rFonts w:hint="eastAsia" w:ascii="宋体" w:hAnsi="宋体"/>
          <w:bCs/>
          <w:sz w:val="24"/>
          <w:szCs w:val="24"/>
        </w:rPr>
        <w:t>项目的投标（报价）。本单位已在无锡市公共资源交易中心（</w:t>
      </w:r>
      <w:r>
        <w:fldChar w:fldCharType="begin"/>
      </w:r>
      <w:r>
        <w:instrText xml:space="preserve"> HYPERLINK "http://xzfw.wuxi.gov.cn/ztzl/wxsggzyjyzx/index.shtml" </w:instrText>
      </w:r>
      <w:r>
        <w:fldChar w:fldCharType="separate"/>
      </w:r>
      <w:r>
        <w:rPr>
          <w:rFonts w:ascii="Calibri" w:hAnsi="Calibri"/>
          <w:szCs w:val="21"/>
        </w:rPr>
        <w:t>http://xzfw.wuxi.gov.cn/ztzl/wxsggzyjyzx/index.shtml</w:t>
      </w:r>
      <w:r>
        <w:rPr>
          <w:rFonts w:ascii="Calibri" w:hAnsi="Calibri"/>
          <w:szCs w:val="21"/>
        </w:rPr>
        <w:fldChar w:fldCharType="end"/>
      </w:r>
      <w:r>
        <w:rPr>
          <w:rFonts w:hint="eastAsia" w:ascii="宋体" w:hAnsi="宋体"/>
          <w:bCs/>
          <w:sz w:val="24"/>
          <w:szCs w:val="24"/>
        </w:rPr>
        <w:t>）政府采购专栏成功下载招标（采购）文件，特发函确认。</w:t>
      </w:r>
    </w:p>
    <w:p>
      <w:pPr>
        <w:spacing w:line="580" w:lineRule="exact"/>
        <w:ind w:firstLine="480" w:firstLineChars="200"/>
        <w:rPr>
          <w:rFonts w:ascii="宋体" w:hAnsi="宋体"/>
          <w:bCs/>
          <w:sz w:val="24"/>
          <w:szCs w:val="24"/>
        </w:rPr>
      </w:pPr>
      <w:r>
        <w:rPr>
          <w:rFonts w:hint="eastAsia" w:ascii="宋体" w:hAnsi="宋体"/>
          <w:bCs/>
          <w:sz w:val="24"/>
          <w:szCs w:val="24"/>
        </w:rPr>
        <w:t>　　　　　　            　＿＿＿＿＿＿＿（单位公章）</w:t>
      </w:r>
    </w:p>
    <w:p>
      <w:pPr>
        <w:spacing w:line="580" w:lineRule="exact"/>
        <w:ind w:firstLine="480" w:firstLineChars="200"/>
        <w:rPr>
          <w:rFonts w:ascii="宋体" w:hAnsi="宋体"/>
          <w:bCs/>
          <w:sz w:val="24"/>
          <w:szCs w:val="24"/>
        </w:rPr>
      </w:pPr>
      <w:r>
        <w:rPr>
          <w:rFonts w:hint="eastAsia" w:ascii="宋体" w:hAnsi="宋体"/>
          <w:bCs/>
          <w:sz w:val="24"/>
          <w:szCs w:val="24"/>
        </w:rPr>
        <w:t>　　　　　　　　　　　　　    　年　　　月　　　日</w:t>
      </w: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r>
        <w:rPr>
          <w:rFonts w:hint="eastAsia" w:ascii="宋体" w:hAnsi="宋体"/>
          <w:bCs/>
          <w:sz w:val="24"/>
          <w:szCs w:val="24"/>
        </w:rPr>
        <w:t>附：</w:t>
      </w:r>
    </w:p>
    <w:p>
      <w:pPr>
        <w:spacing w:line="580" w:lineRule="exact"/>
        <w:ind w:firstLine="480" w:firstLineChars="200"/>
        <w:rPr>
          <w:rFonts w:ascii="宋体" w:hAnsi="宋体"/>
          <w:bCs/>
          <w:sz w:val="24"/>
          <w:szCs w:val="24"/>
        </w:rPr>
      </w:pPr>
      <w:r>
        <w:rPr>
          <w:rFonts w:hint="eastAsia" w:ascii="宋体" w:hAnsi="宋体"/>
          <w:bCs/>
          <w:sz w:val="24"/>
          <w:szCs w:val="24"/>
        </w:rPr>
        <w:t>供应商联系表</w:t>
      </w:r>
    </w:p>
    <w:tbl>
      <w:tblPr>
        <w:tblStyle w:val="41"/>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125"/>
        <w:gridCol w:w="2550"/>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tcPr>
          <w:p>
            <w:pPr>
              <w:spacing w:line="580" w:lineRule="exact"/>
              <w:ind w:firstLine="480" w:firstLineChars="200"/>
              <w:rPr>
                <w:rFonts w:ascii="宋体" w:hAnsi="宋体"/>
                <w:bCs/>
                <w:sz w:val="24"/>
                <w:szCs w:val="24"/>
              </w:rPr>
            </w:pPr>
            <w:r>
              <w:rPr>
                <w:rFonts w:hint="eastAsia" w:ascii="宋体" w:hAnsi="宋体"/>
                <w:bCs/>
                <w:sz w:val="24"/>
                <w:szCs w:val="24"/>
              </w:rPr>
              <w:t>单位名称</w:t>
            </w:r>
          </w:p>
        </w:tc>
        <w:tc>
          <w:tcPr>
            <w:tcW w:w="7654" w:type="dxa"/>
            <w:gridSpan w:val="3"/>
          </w:tcPr>
          <w:p>
            <w:pPr>
              <w:spacing w:line="580" w:lineRule="exact"/>
              <w:ind w:firstLine="480" w:firstLineChars="200"/>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tcPr>
          <w:p>
            <w:pPr>
              <w:spacing w:line="580" w:lineRule="exact"/>
              <w:ind w:firstLine="480" w:firstLineChars="200"/>
              <w:rPr>
                <w:rFonts w:ascii="宋体" w:hAnsi="宋体"/>
                <w:bCs/>
                <w:sz w:val="24"/>
                <w:szCs w:val="24"/>
              </w:rPr>
            </w:pPr>
            <w:r>
              <w:rPr>
                <w:rFonts w:hint="eastAsia" w:ascii="宋体" w:hAnsi="宋体"/>
                <w:bCs/>
                <w:sz w:val="24"/>
                <w:szCs w:val="24"/>
              </w:rPr>
              <w:t>单位地址</w:t>
            </w:r>
          </w:p>
        </w:tc>
        <w:tc>
          <w:tcPr>
            <w:tcW w:w="7654" w:type="dxa"/>
            <w:gridSpan w:val="3"/>
          </w:tcPr>
          <w:p>
            <w:pPr>
              <w:spacing w:line="580" w:lineRule="exact"/>
              <w:ind w:firstLine="480" w:firstLineChars="200"/>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tcPr>
          <w:p>
            <w:pPr>
              <w:spacing w:line="580" w:lineRule="exact"/>
              <w:ind w:firstLine="480" w:firstLineChars="200"/>
              <w:rPr>
                <w:rFonts w:ascii="宋体" w:hAnsi="宋体"/>
                <w:bCs/>
                <w:sz w:val="24"/>
                <w:szCs w:val="24"/>
              </w:rPr>
            </w:pPr>
            <w:r>
              <w:rPr>
                <w:rFonts w:hint="eastAsia" w:ascii="宋体" w:hAnsi="宋体"/>
                <w:bCs/>
                <w:sz w:val="24"/>
                <w:szCs w:val="24"/>
              </w:rPr>
              <w:t>法定代表人</w:t>
            </w:r>
          </w:p>
        </w:tc>
        <w:tc>
          <w:tcPr>
            <w:tcW w:w="2125" w:type="dxa"/>
          </w:tcPr>
          <w:p>
            <w:pPr>
              <w:spacing w:line="580" w:lineRule="exact"/>
              <w:ind w:firstLine="480" w:firstLineChars="200"/>
              <w:rPr>
                <w:rFonts w:ascii="宋体" w:hAnsi="宋体"/>
                <w:bCs/>
                <w:sz w:val="24"/>
                <w:szCs w:val="24"/>
              </w:rPr>
            </w:pPr>
          </w:p>
        </w:tc>
        <w:tc>
          <w:tcPr>
            <w:tcW w:w="2550" w:type="dxa"/>
          </w:tcPr>
          <w:p>
            <w:pPr>
              <w:spacing w:line="580" w:lineRule="exact"/>
              <w:ind w:firstLine="480" w:firstLineChars="200"/>
              <w:rPr>
                <w:rFonts w:ascii="宋体" w:hAnsi="宋体"/>
                <w:bCs/>
                <w:sz w:val="24"/>
                <w:szCs w:val="24"/>
              </w:rPr>
            </w:pPr>
            <w:r>
              <w:rPr>
                <w:rFonts w:hint="eastAsia" w:ascii="宋体" w:hAnsi="宋体"/>
                <w:bCs/>
                <w:sz w:val="24"/>
                <w:szCs w:val="24"/>
              </w:rPr>
              <w:t>邮    编</w:t>
            </w:r>
          </w:p>
        </w:tc>
        <w:tc>
          <w:tcPr>
            <w:tcW w:w="2979" w:type="dxa"/>
          </w:tcPr>
          <w:p>
            <w:pPr>
              <w:spacing w:line="580" w:lineRule="exact"/>
              <w:ind w:firstLine="480" w:firstLineChars="200"/>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spacing w:line="580" w:lineRule="exact"/>
              <w:ind w:firstLine="480" w:firstLineChars="200"/>
              <w:rPr>
                <w:rFonts w:ascii="宋体" w:hAnsi="宋体"/>
                <w:bCs/>
                <w:sz w:val="24"/>
                <w:szCs w:val="24"/>
              </w:rPr>
            </w:pPr>
            <w:r>
              <w:rPr>
                <w:rFonts w:hint="eastAsia" w:ascii="宋体" w:hAnsi="宋体"/>
                <w:bCs/>
                <w:sz w:val="24"/>
                <w:szCs w:val="24"/>
              </w:rPr>
              <w:t>单位电话</w:t>
            </w:r>
          </w:p>
        </w:tc>
        <w:tc>
          <w:tcPr>
            <w:tcW w:w="2125" w:type="dxa"/>
          </w:tcPr>
          <w:p>
            <w:pPr>
              <w:spacing w:line="580" w:lineRule="exact"/>
              <w:ind w:firstLine="480" w:firstLineChars="200"/>
              <w:rPr>
                <w:rFonts w:ascii="宋体" w:hAnsi="宋体"/>
                <w:bCs/>
                <w:sz w:val="24"/>
                <w:szCs w:val="24"/>
              </w:rPr>
            </w:pPr>
          </w:p>
        </w:tc>
        <w:tc>
          <w:tcPr>
            <w:tcW w:w="2550" w:type="dxa"/>
          </w:tcPr>
          <w:p>
            <w:pPr>
              <w:spacing w:line="580" w:lineRule="exact"/>
              <w:ind w:firstLine="480" w:firstLineChars="200"/>
              <w:rPr>
                <w:rFonts w:ascii="宋体" w:hAnsi="宋体"/>
                <w:bCs/>
                <w:sz w:val="24"/>
                <w:szCs w:val="24"/>
              </w:rPr>
            </w:pPr>
            <w:r>
              <w:rPr>
                <w:rFonts w:hint="eastAsia" w:ascii="宋体" w:hAnsi="宋体"/>
                <w:bCs/>
                <w:sz w:val="24"/>
                <w:szCs w:val="24"/>
              </w:rPr>
              <w:t>传真号码</w:t>
            </w:r>
          </w:p>
        </w:tc>
        <w:tc>
          <w:tcPr>
            <w:tcW w:w="2979" w:type="dxa"/>
          </w:tcPr>
          <w:p>
            <w:pPr>
              <w:spacing w:line="580" w:lineRule="exact"/>
              <w:ind w:firstLine="480" w:firstLineChars="200"/>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tcPr>
          <w:p>
            <w:pPr>
              <w:spacing w:line="580" w:lineRule="exact"/>
              <w:ind w:firstLine="480" w:firstLineChars="200"/>
              <w:rPr>
                <w:rFonts w:ascii="宋体" w:hAnsi="宋体"/>
                <w:bCs/>
                <w:sz w:val="24"/>
                <w:szCs w:val="24"/>
              </w:rPr>
            </w:pPr>
            <w:r>
              <w:rPr>
                <w:rFonts w:hint="eastAsia" w:ascii="宋体" w:hAnsi="宋体"/>
                <w:bCs/>
                <w:sz w:val="24"/>
                <w:szCs w:val="24"/>
              </w:rPr>
              <w:t>项目联系人</w:t>
            </w:r>
          </w:p>
        </w:tc>
        <w:tc>
          <w:tcPr>
            <w:tcW w:w="7654" w:type="dxa"/>
            <w:gridSpan w:val="3"/>
          </w:tcPr>
          <w:p>
            <w:pPr>
              <w:spacing w:line="580" w:lineRule="exact"/>
              <w:ind w:firstLine="480" w:firstLineChars="200"/>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pPr>
              <w:spacing w:line="580" w:lineRule="exact"/>
              <w:ind w:firstLine="480" w:firstLineChars="200"/>
              <w:rPr>
                <w:rFonts w:ascii="宋体" w:hAnsi="宋体"/>
                <w:bCs/>
                <w:sz w:val="24"/>
                <w:szCs w:val="24"/>
              </w:rPr>
            </w:pPr>
            <w:r>
              <w:rPr>
                <w:rFonts w:hint="eastAsia" w:ascii="宋体" w:hAnsi="宋体"/>
                <w:bCs/>
                <w:sz w:val="24"/>
                <w:szCs w:val="24"/>
              </w:rPr>
              <w:t>联系人电话</w:t>
            </w:r>
          </w:p>
        </w:tc>
        <w:tc>
          <w:tcPr>
            <w:tcW w:w="2125" w:type="dxa"/>
          </w:tcPr>
          <w:p>
            <w:pPr>
              <w:spacing w:line="580" w:lineRule="exact"/>
              <w:ind w:firstLine="480" w:firstLineChars="200"/>
              <w:rPr>
                <w:rFonts w:ascii="宋体" w:hAnsi="宋体"/>
                <w:bCs/>
                <w:sz w:val="24"/>
                <w:szCs w:val="24"/>
              </w:rPr>
            </w:pPr>
          </w:p>
        </w:tc>
        <w:tc>
          <w:tcPr>
            <w:tcW w:w="2550" w:type="dxa"/>
          </w:tcPr>
          <w:p>
            <w:pPr>
              <w:spacing w:line="580" w:lineRule="exact"/>
              <w:ind w:firstLine="480" w:firstLineChars="200"/>
              <w:rPr>
                <w:rFonts w:ascii="宋体" w:hAnsi="宋体"/>
                <w:bCs/>
                <w:sz w:val="24"/>
                <w:szCs w:val="24"/>
              </w:rPr>
            </w:pPr>
            <w:r>
              <w:rPr>
                <w:rFonts w:hint="eastAsia" w:ascii="宋体" w:hAnsi="宋体"/>
                <w:bCs/>
                <w:sz w:val="24"/>
                <w:szCs w:val="24"/>
              </w:rPr>
              <w:t>联系人手机</w:t>
            </w:r>
          </w:p>
        </w:tc>
        <w:tc>
          <w:tcPr>
            <w:tcW w:w="2979" w:type="dxa"/>
          </w:tcPr>
          <w:p>
            <w:pPr>
              <w:spacing w:line="580" w:lineRule="exact"/>
              <w:ind w:firstLine="480" w:firstLineChars="200"/>
              <w:rPr>
                <w:rFonts w:ascii="宋体" w:hAns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85" w:type="dxa"/>
          </w:tcPr>
          <w:p>
            <w:pPr>
              <w:spacing w:line="580" w:lineRule="exact"/>
              <w:ind w:firstLine="480" w:firstLineChars="200"/>
              <w:rPr>
                <w:rFonts w:ascii="宋体" w:hAnsi="宋体"/>
                <w:bCs/>
                <w:sz w:val="24"/>
                <w:szCs w:val="24"/>
              </w:rPr>
            </w:pPr>
            <w:r>
              <w:rPr>
                <w:rFonts w:hint="eastAsia" w:ascii="宋体" w:hAnsi="宋体"/>
                <w:bCs/>
                <w:sz w:val="24"/>
                <w:szCs w:val="24"/>
              </w:rPr>
              <w:t>所投报标段</w:t>
            </w:r>
          </w:p>
        </w:tc>
        <w:tc>
          <w:tcPr>
            <w:tcW w:w="7654" w:type="dxa"/>
            <w:gridSpan w:val="3"/>
          </w:tcPr>
          <w:p>
            <w:pPr>
              <w:spacing w:line="580" w:lineRule="exact"/>
              <w:ind w:firstLine="480" w:firstLineChars="200"/>
              <w:rPr>
                <w:rFonts w:ascii="宋体" w:hAnsi="宋体"/>
                <w:bCs/>
                <w:sz w:val="24"/>
                <w:szCs w:val="24"/>
              </w:rPr>
            </w:pPr>
          </w:p>
        </w:tc>
      </w:tr>
    </w:tbl>
    <w:p>
      <w:pPr>
        <w:spacing w:line="580" w:lineRule="exact"/>
        <w:ind w:firstLine="480" w:firstLineChars="200"/>
        <w:rPr>
          <w:rFonts w:ascii="宋体" w:hAnsi="宋体"/>
          <w:bCs/>
          <w:sz w:val="24"/>
          <w:szCs w:val="24"/>
        </w:rPr>
      </w:pPr>
    </w:p>
    <w:p>
      <w:pPr>
        <w:spacing w:line="360" w:lineRule="auto"/>
        <w:ind w:left="-567" w:leftChars="-270" w:right="-623" w:rightChars="-297" w:firstLine="630" w:firstLineChars="300"/>
        <w:rPr>
          <w:rFonts w:ascii="宋体" w:hAnsi="宋体"/>
          <w:b/>
          <w:szCs w:val="21"/>
        </w:rPr>
      </w:pPr>
      <w:r>
        <w:rPr>
          <w:rFonts w:hint="eastAsia" w:ascii="宋体" w:hAnsi="宋体"/>
          <w:b/>
          <w:szCs w:val="21"/>
        </w:rPr>
        <w:t>备注：请拟参与本项目投标（报价）的供应商在投标（报价）前按招标（采购）文件规定如实填写以上</w:t>
      </w:r>
    </w:p>
    <w:p>
      <w:pPr>
        <w:spacing w:line="360" w:lineRule="auto"/>
        <w:ind w:right="-623" w:rightChars="-297"/>
        <w:rPr>
          <w:rFonts w:ascii="宋体" w:hAnsi="宋体"/>
          <w:b/>
          <w:szCs w:val="21"/>
        </w:rPr>
      </w:pPr>
      <w:r>
        <w:rPr>
          <w:rFonts w:hint="eastAsia" w:ascii="宋体" w:hAnsi="宋体"/>
          <w:b/>
          <w:szCs w:val="21"/>
        </w:rPr>
        <w:t>信息后</w:t>
      </w:r>
      <w:r>
        <w:fldChar w:fldCharType="begin"/>
      </w:r>
      <w:r>
        <w:instrText xml:space="preserve"> HYPERLINK "mailto:以邮件形式提交至wxlxzc@126.com" </w:instrText>
      </w:r>
      <w:r>
        <w:fldChar w:fldCharType="separate"/>
      </w:r>
      <w:r>
        <w:rPr>
          <w:rStyle w:val="49"/>
          <w:rFonts w:hint="eastAsia" w:ascii="Calibri" w:hAnsi="Calibri"/>
          <w:b/>
          <w:szCs w:val="21"/>
        </w:rPr>
        <w:t>以邮件形式提交至wxlxzc@126.com</w:t>
      </w:r>
      <w:r>
        <w:rPr>
          <w:rStyle w:val="49"/>
          <w:rFonts w:hint="eastAsia" w:ascii="Calibri" w:hAnsi="Calibri"/>
          <w:b/>
          <w:szCs w:val="21"/>
        </w:rPr>
        <w:fldChar w:fldCharType="end"/>
      </w:r>
      <w:r>
        <w:rPr>
          <w:rFonts w:hint="eastAsia" w:ascii="宋体" w:hAnsi="宋体"/>
          <w:b/>
          <w:szCs w:val="21"/>
        </w:rPr>
        <w:t>邮箱。因投标（报价）人不填写（提交）或填写有误的，所引</w:t>
      </w:r>
    </w:p>
    <w:p>
      <w:pPr>
        <w:outlineLvl w:val="0"/>
        <w:rPr>
          <w:rFonts w:ascii="宋体" w:hAnsi="宋体"/>
          <w:bCs/>
          <w:sz w:val="24"/>
          <w:szCs w:val="24"/>
        </w:rPr>
      </w:pPr>
      <w:r>
        <w:rPr>
          <w:rFonts w:hint="eastAsia" w:ascii="宋体" w:hAnsi="宋体"/>
          <w:b/>
          <w:szCs w:val="21"/>
        </w:rPr>
        <w:t>起的损失及风险由投标（报价）人自行承担。</w:t>
      </w:r>
    </w:p>
    <w:sectPr>
      <w:pgSz w:w="11906" w:h="16838"/>
      <w:pgMar w:top="567" w:right="851" w:bottom="567" w:left="1134" w:header="624" w:footer="907" w:gutter="0"/>
      <w:pgNumType w:start="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Futura Book">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HPFutura Light">
    <w:altName w:val="Arial"/>
    <w:panose1 w:val="00000000000000000000"/>
    <w:charset w:val="00"/>
    <w:family w:val="modern"/>
    <w:pitch w:val="default"/>
    <w:sig w:usb0="00000000" w:usb1="00000000" w:usb2="00000000" w:usb3="00000000" w:csb0="0000009F" w:csb1="00000000"/>
  </w:font>
  <w:font w:name="Verdana">
    <w:panose1 w:val="020B0604030504040204"/>
    <w:charset w:val="00"/>
    <w:family w:val="swiss"/>
    <w:pitch w:val="default"/>
    <w:sig w:usb0="A00006FF" w:usb1="4000205B" w:usb2="00000010" w:usb3="00000000" w:csb0="2000019F" w:csb1="00000000"/>
  </w:font>
  <w:font w:name="文鼎CS中宋">
    <w:altName w:val="宋体"/>
    <w:panose1 w:val="00000000000000000000"/>
    <w:charset w:val="86"/>
    <w:family w:val="modern"/>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font-weight : 400">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Heiti SC Medium">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Fira Sans">
    <w:altName w:val="微软雅黑"/>
    <w:panose1 w:val="00000000000000000000"/>
    <w:charset w:val="86"/>
    <w:family w:val="swiss"/>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PMingLiUfalt">
    <w:altName w:val="MingLiU-ExtB"/>
    <w:panose1 w:val="00000000000000000000"/>
    <w:charset w:val="88"/>
    <w:family w:val="roma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r>
      <w:rPr>
        <w:kern w:val="0"/>
        <w:szCs w:val="21"/>
      </w:rPr>
      <w:t xml:space="preserve"> -</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separate"/>
    </w:r>
    <w:r>
      <w:rPr>
        <w:rStyle w:val="45"/>
      </w:rPr>
      <w:t>1</w:t>
    </w:r>
    <w:r>
      <w:rPr>
        <w:rStyle w:val="45"/>
      </w:rPr>
      <w:fldChar w:fldCharType="end"/>
    </w:r>
  </w:p>
  <w:p>
    <w:pPr>
      <w:pStyle w:val="26"/>
      <w:ind w:right="360"/>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1</w:t>
    </w:r>
    <w:r>
      <w:fldChar w:fldCharType="end"/>
    </w:r>
  </w:p>
  <w:p>
    <w:pPr>
      <w:pStyle w:val="2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ascii="华文新魏" w:hAnsi="华文中宋" w:eastAsia="华文新魏" w:cs="Times New Roman"/>
        <w:sz w:val="18"/>
        <w:szCs w:val="18"/>
      </w:rPr>
    </w:pPr>
    <w:r>
      <w:rPr>
        <w:rFonts w:hint="eastAsia" w:ascii="华文新魏" w:hAnsi="华文中宋" w:eastAsia="华文新魏" w:cs="Times New Roman"/>
        <w:sz w:val="18"/>
        <w:szCs w:val="18"/>
        <w:lang w:eastAsia="zh-CN"/>
      </w:rPr>
      <w:t>LXZC2021-054</w:t>
    </w:r>
    <w:r>
      <w:rPr>
        <w:rFonts w:hint="eastAsia" w:ascii="华文新魏" w:hAnsi="华文中宋" w:eastAsia="华文新魏" w:cs="Times New Roman"/>
        <w:sz w:val="18"/>
        <w:szCs w:val="18"/>
        <w:lang w:val="en-US" w:eastAsia="zh-CN"/>
      </w:rPr>
      <w:t xml:space="preserve">     </w:t>
    </w:r>
    <w:r>
      <w:rPr>
        <w:rFonts w:hint="eastAsia" w:ascii="华文新魏" w:hAnsi="华文中宋" w:eastAsia="华文新魏" w:cs="Times New Roman"/>
        <w:sz w:val="18"/>
        <w:szCs w:val="18"/>
        <w:lang w:eastAsia="zh-CN"/>
      </w:rPr>
      <w:t>无锡市康复医院（梁溪区中医医院）信息化建设一体化项目</w:t>
    </w:r>
    <w:r>
      <w:rPr>
        <w:rFonts w:hint="eastAsia" w:ascii="华文新魏" w:hAnsi="华文中宋" w:eastAsia="华文新魏" w:cs="Times New Roman"/>
        <w:sz w:val="18"/>
        <w:szCs w:val="18"/>
      </w:rPr>
      <w:t xml:space="preserve"> </w:t>
    </w:r>
    <w:r>
      <w:rPr>
        <w:rFonts w:hint="eastAsia" w:ascii="华文新魏" w:hAnsi="华文中宋" w:eastAsia="华文新魏" w:cs="Times New Roman"/>
        <w:sz w:val="18"/>
        <w:szCs w:val="18"/>
        <w:lang w:val="en-US" w:eastAsia="zh-CN"/>
      </w:rPr>
      <w:t xml:space="preserve">      </w:t>
    </w:r>
    <w:r>
      <w:rPr>
        <w:rFonts w:hint="eastAsia" w:ascii="华文新魏" w:hAnsi="华文中宋" w:eastAsia="华文新魏" w:cs="Times New Roman"/>
        <w:sz w:val="18"/>
        <w:szCs w:val="18"/>
      </w:rPr>
      <w:t>无锡市公共资源交易中心梁溪分中心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D4574"/>
    <w:multiLevelType w:val="singleLevel"/>
    <w:tmpl w:val="8BBD4574"/>
    <w:lvl w:ilvl="0" w:tentative="0">
      <w:start w:val="1"/>
      <w:numFmt w:val="decimal"/>
      <w:suff w:val="nothing"/>
      <w:lvlText w:val="%1、"/>
      <w:lvlJc w:val="left"/>
    </w:lvl>
  </w:abstractNum>
  <w:abstractNum w:abstractNumId="1">
    <w:nsid w:val="8D0EF3ED"/>
    <w:multiLevelType w:val="singleLevel"/>
    <w:tmpl w:val="8D0EF3ED"/>
    <w:lvl w:ilvl="0" w:tentative="0">
      <w:start w:val="1"/>
      <w:numFmt w:val="decimal"/>
      <w:suff w:val="nothing"/>
      <w:lvlText w:val="%1、"/>
      <w:lvlJc w:val="left"/>
    </w:lvl>
  </w:abstractNum>
  <w:abstractNum w:abstractNumId="2">
    <w:nsid w:val="98DDCDBE"/>
    <w:multiLevelType w:val="singleLevel"/>
    <w:tmpl w:val="98DDCDBE"/>
    <w:lvl w:ilvl="0" w:tentative="0">
      <w:start w:val="47"/>
      <w:numFmt w:val="decimal"/>
      <w:suff w:val="nothing"/>
      <w:lvlText w:val="%1、"/>
      <w:lvlJc w:val="left"/>
    </w:lvl>
  </w:abstractNum>
  <w:abstractNum w:abstractNumId="3">
    <w:nsid w:val="A607F884"/>
    <w:multiLevelType w:val="singleLevel"/>
    <w:tmpl w:val="A607F884"/>
    <w:lvl w:ilvl="0" w:tentative="0">
      <w:start w:val="1"/>
      <w:numFmt w:val="decimal"/>
      <w:suff w:val="nothing"/>
      <w:lvlText w:val="%1、"/>
      <w:lvlJc w:val="left"/>
    </w:lvl>
  </w:abstractNum>
  <w:abstractNum w:abstractNumId="4">
    <w:nsid w:val="A8E172B6"/>
    <w:multiLevelType w:val="singleLevel"/>
    <w:tmpl w:val="A8E172B6"/>
    <w:lvl w:ilvl="0" w:tentative="0">
      <w:start w:val="1"/>
      <w:numFmt w:val="decimal"/>
      <w:suff w:val="nothing"/>
      <w:lvlText w:val="%1、"/>
      <w:lvlJc w:val="left"/>
    </w:lvl>
  </w:abstractNum>
  <w:abstractNum w:abstractNumId="5">
    <w:nsid w:val="AC50C3EE"/>
    <w:multiLevelType w:val="singleLevel"/>
    <w:tmpl w:val="AC50C3EE"/>
    <w:lvl w:ilvl="0" w:tentative="0">
      <w:start w:val="1"/>
      <w:numFmt w:val="decimal"/>
      <w:suff w:val="nothing"/>
      <w:lvlText w:val="%1、"/>
      <w:lvlJc w:val="left"/>
    </w:lvl>
  </w:abstractNum>
  <w:abstractNum w:abstractNumId="6">
    <w:nsid w:val="B16E3FCA"/>
    <w:multiLevelType w:val="singleLevel"/>
    <w:tmpl w:val="B16E3FCA"/>
    <w:lvl w:ilvl="0" w:tentative="0">
      <w:start w:val="1"/>
      <w:numFmt w:val="decimal"/>
      <w:suff w:val="nothing"/>
      <w:lvlText w:val="%1、"/>
      <w:lvlJc w:val="left"/>
    </w:lvl>
  </w:abstractNum>
  <w:abstractNum w:abstractNumId="7">
    <w:nsid w:val="C4B8245A"/>
    <w:multiLevelType w:val="singleLevel"/>
    <w:tmpl w:val="C4B8245A"/>
    <w:lvl w:ilvl="0" w:tentative="0">
      <w:start w:val="1"/>
      <w:numFmt w:val="decimal"/>
      <w:suff w:val="nothing"/>
      <w:lvlText w:val="%1、"/>
      <w:lvlJc w:val="left"/>
    </w:lvl>
  </w:abstractNum>
  <w:abstractNum w:abstractNumId="8">
    <w:nsid w:val="DB37DC4B"/>
    <w:multiLevelType w:val="singleLevel"/>
    <w:tmpl w:val="DB37DC4B"/>
    <w:lvl w:ilvl="0" w:tentative="0">
      <w:start w:val="1"/>
      <w:numFmt w:val="lowerLetter"/>
      <w:lvlText w:val="%1."/>
      <w:lvlJc w:val="left"/>
      <w:pPr>
        <w:tabs>
          <w:tab w:val="left" w:pos="312"/>
        </w:tabs>
      </w:pPr>
    </w:lvl>
  </w:abstractNum>
  <w:abstractNum w:abstractNumId="9">
    <w:nsid w:val="EC14B568"/>
    <w:multiLevelType w:val="singleLevel"/>
    <w:tmpl w:val="EC14B568"/>
    <w:lvl w:ilvl="0" w:tentative="0">
      <w:start w:val="1"/>
      <w:numFmt w:val="decimal"/>
      <w:suff w:val="nothing"/>
      <w:lvlText w:val="%1、"/>
      <w:lvlJc w:val="left"/>
    </w:lvl>
  </w:abstractNum>
  <w:abstractNum w:abstractNumId="10">
    <w:nsid w:val="085007CF"/>
    <w:multiLevelType w:val="multilevel"/>
    <w:tmpl w:val="085007CF"/>
    <w:lvl w:ilvl="0" w:tentative="0">
      <w:start w:val="1"/>
      <w:numFmt w:val="decimal"/>
      <w:lvlText w:val="%1."/>
      <w:lvlJc w:val="left"/>
      <w:pPr>
        <w:tabs>
          <w:tab w:val="left" w:pos="630"/>
        </w:tabs>
        <w:ind w:left="630" w:hanging="420"/>
      </w:pPr>
    </w:lvl>
    <w:lvl w:ilvl="1" w:tentative="0">
      <w:start w:val="1"/>
      <w:numFmt w:val="decimalEnclosedCircle"/>
      <w:lvlText w:val="%2"/>
      <w:lvlJc w:val="left"/>
      <w:pPr>
        <w:tabs>
          <w:tab w:val="left" w:pos="990"/>
        </w:tabs>
        <w:ind w:left="990" w:hanging="360"/>
      </w:pPr>
      <w:rPr>
        <w:rFonts w:hint="default"/>
        <w:color w:val="auto"/>
      </w:rPr>
    </w:lvl>
    <w:lvl w:ilvl="2" w:tentative="0">
      <w:start w:val="1"/>
      <w:numFmt w:val="lowerRoman"/>
      <w:lvlText w:val="%3."/>
      <w:lvlJc w:val="right"/>
      <w:pPr>
        <w:tabs>
          <w:tab w:val="left" w:pos="1470"/>
        </w:tabs>
        <w:ind w:left="1470" w:hanging="420"/>
      </w:pPr>
    </w:lvl>
    <w:lvl w:ilvl="3" w:tentative="0">
      <w:start w:val="1"/>
      <w:numFmt w:val="decimal"/>
      <w:lvlText w:val="%4."/>
      <w:lvlJc w:val="left"/>
      <w:pPr>
        <w:tabs>
          <w:tab w:val="left" w:pos="1890"/>
        </w:tabs>
        <w:ind w:left="1890" w:hanging="420"/>
      </w:pPr>
    </w:lvl>
    <w:lvl w:ilvl="4" w:tentative="0">
      <w:start w:val="1"/>
      <w:numFmt w:val="lowerLetter"/>
      <w:lvlText w:val="%5)"/>
      <w:lvlJc w:val="left"/>
      <w:pPr>
        <w:tabs>
          <w:tab w:val="left" w:pos="2310"/>
        </w:tabs>
        <w:ind w:left="2310" w:hanging="420"/>
      </w:pPr>
    </w:lvl>
    <w:lvl w:ilvl="5" w:tentative="0">
      <w:start w:val="1"/>
      <w:numFmt w:val="lowerRoman"/>
      <w:lvlText w:val="%6."/>
      <w:lvlJc w:val="right"/>
      <w:pPr>
        <w:tabs>
          <w:tab w:val="left" w:pos="2730"/>
        </w:tabs>
        <w:ind w:left="2730" w:hanging="420"/>
      </w:pPr>
    </w:lvl>
    <w:lvl w:ilvl="6" w:tentative="0">
      <w:start w:val="1"/>
      <w:numFmt w:val="decimal"/>
      <w:lvlText w:val="%7."/>
      <w:lvlJc w:val="left"/>
      <w:pPr>
        <w:tabs>
          <w:tab w:val="left" w:pos="3150"/>
        </w:tabs>
        <w:ind w:left="3150" w:hanging="420"/>
      </w:pPr>
    </w:lvl>
    <w:lvl w:ilvl="7" w:tentative="0">
      <w:start w:val="1"/>
      <w:numFmt w:val="lowerLetter"/>
      <w:lvlText w:val="%8)"/>
      <w:lvlJc w:val="left"/>
      <w:pPr>
        <w:tabs>
          <w:tab w:val="left" w:pos="3570"/>
        </w:tabs>
        <w:ind w:left="3570" w:hanging="420"/>
      </w:pPr>
    </w:lvl>
    <w:lvl w:ilvl="8" w:tentative="0">
      <w:start w:val="1"/>
      <w:numFmt w:val="lowerRoman"/>
      <w:lvlText w:val="%9."/>
      <w:lvlJc w:val="right"/>
      <w:pPr>
        <w:tabs>
          <w:tab w:val="left" w:pos="3990"/>
        </w:tabs>
        <w:ind w:left="3990" w:hanging="420"/>
      </w:pPr>
    </w:lvl>
  </w:abstractNum>
  <w:abstractNum w:abstractNumId="11">
    <w:nsid w:val="0C54410B"/>
    <w:multiLevelType w:val="singleLevel"/>
    <w:tmpl w:val="0C54410B"/>
    <w:lvl w:ilvl="0" w:tentative="0">
      <w:start w:val="1"/>
      <w:numFmt w:val="decimal"/>
      <w:suff w:val="nothing"/>
      <w:lvlText w:val="%1、"/>
      <w:lvlJc w:val="left"/>
    </w:lvl>
  </w:abstractNum>
  <w:abstractNum w:abstractNumId="12">
    <w:nsid w:val="10926BFE"/>
    <w:multiLevelType w:val="multilevel"/>
    <w:tmpl w:val="10926BFE"/>
    <w:lvl w:ilvl="0" w:tentative="0">
      <w:start w:val="1"/>
      <w:numFmt w:val="japaneseCounting"/>
      <w:lvlText w:val="（%1）"/>
      <w:lvlJc w:val="left"/>
      <w:pPr>
        <w:tabs>
          <w:tab w:val="left" w:pos="1080"/>
        </w:tabs>
        <w:ind w:left="1080" w:hanging="1080"/>
      </w:pPr>
      <w:rPr>
        <w:rFonts w:hint="eastAsia" w:cs="Times New Roman"/>
      </w:rPr>
    </w:lvl>
    <w:lvl w:ilvl="1" w:tentative="0">
      <w:start w:val="1"/>
      <w:numFmt w:val="decimal"/>
      <w:lvlText w:val="%2."/>
      <w:lvlJc w:val="left"/>
      <w:pPr>
        <w:tabs>
          <w:tab w:val="left" w:pos="780"/>
        </w:tabs>
        <w:ind w:left="780" w:hanging="360"/>
      </w:pPr>
      <w:rPr>
        <w:rFonts w:hint="eastAsia" w:cs="Times New Roman"/>
        <w:color w:val="000000"/>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12EE6D79"/>
    <w:multiLevelType w:val="multilevel"/>
    <w:tmpl w:val="12EE6D79"/>
    <w:lvl w:ilvl="0" w:tentative="0">
      <w:start w:val="1"/>
      <w:numFmt w:val="decimal"/>
      <w:lvlText w:val="%1."/>
      <w:lvlJc w:val="left"/>
      <w:pPr>
        <w:tabs>
          <w:tab w:val="left" w:pos="510"/>
        </w:tabs>
        <w:ind w:left="510" w:hanging="360"/>
      </w:pPr>
      <w:rPr>
        <w:rFonts w:hint="eastAsia"/>
      </w:rPr>
    </w:lvl>
    <w:lvl w:ilvl="1" w:tentative="0">
      <w:start w:val="1"/>
      <w:numFmt w:val="decimal"/>
      <w:lvlText w:val="%2．"/>
      <w:lvlJc w:val="left"/>
      <w:pPr>
        <w:tabs>
          <w:tab w:val="left" w:pos="1290"/>
        </w:tabs>
        <w:ind w:left="1290" w:hanging="720"/>
      </w:pPr>
      <w:rPr>
        <w:rFonts w:hint="eastAsia"/>
      </w:rPr>
    </w:lvl>
    <w:lvl w:ilvl="2" w:tentative="0">
      <w:start w:val="3"/>
      <w:numFmt w:val="decimal"/>
      <w:lvlText w:val="（%3）"/>
      <w:lvlJc w:val="left"/>
      <w:pPr>
        <w:tabs>
          <w:tab w:val="left" w:pos="1140"/>
        </w:tabs>
        <w:ind w:left="1140" w:hanging="720"/>
      </w:pPr>
      <w:rPr>
        <w:rFonts w:hint="eastAsia"/>
        <w:lang w:val="en-US"/>
      </w:rPr>
    </w:lvl>
    <w:lvl w:ilvl="3" w:tentative="0">
      <w:start w:val="1"/>
      <w:numFmt w:val="decimal"/>
      <w:lvlText w:val="（%4）"/>
      <w:lvlJc w:val="left"/>
      <w:pPr>
        <w:tabs>
          <w:tab w:val="left" w:pos="1830"/>
        </w:tabs>
        <w:ind w:left="1830" w:hanging="420"/>
      </w:pPr>
      <w:rPr>
        <w:rFonts w:ascii="宋体" w:hAnsi="宋体" w:eastAsia="宋体" w:cs="Times New Roman"/>
      </w:rPr>
    </w:lvl>
    <w:lvl w:ilvl="4" w:tentative="0">
      <w:start w:val="1"/>
      <w:numFmt w:val="decimal"/>
      <w:lvlText w:val="（%5）"/>
      <w:lvlJc w:val="left"/>
      <w:pPr>
        <w:tabs>
          <w:tab w:val="left" w:pos="945"/>
        </w:tabs>
        <w:ind w:left="945" w:hanging="420"/>
      </w:pPr>
      <w:rPr>
        <w:rFonts w:hint="eastAsia"/>
        <w:b/>
      </w:rPr>
    </w:lvl>
    <w:lvl w:ilvl="5" w:tentative="0">
      <w:start w:val="1"/>
      <w:numFmt w:val="lowerRoman"/>
      <w:lvlText w:val="%6."/>
      <w:lvlJc w:val="right"/>
      <w:pPr>
        <w:tabs>
          <w:tab w:val="left" w:pos="2670"/>
        </w:tabs>
        <w:ind w:left="2670" w:hanging="420"/>
      </w:pPr>
    </w:lvl>
    <w:lvl w:ilvl="6" w:tentative="0">
      <w:start w:val="1"/>
      <w:numFmt w:val="decimal"/>
      <w:lvlText w:val="%7."/>
      <w:lvlJc w:val="left"/>
      <w:pPr>
        <w:tabs>
          <w:tab w:val="left" w:pos="3090"/>
        </w:tabs>
        <w:ind w:left="3090" w:hanging="420"/>
      </w:pPr>
    </w:lvl>
    <w:lvl w:ilvl="7" w:tentative="0">
      <w:start w:val="1"/>
      <w:numFmt w:val="lowerLetter"/>
      <w:lvlText w:val="%8)"/>
      <w:lvlJc w:val="left"/>
      <w:pPr>
        <w:tabs>
          <w:tab w:val="left" w:pos="3510"/>
        </w:tabs>
        <w:ind w:left="3510" w:hanging="420"/>
      </w:pPr>
    </w:lvl>
    <w:lvl w:ilvl="8" w:tentative="0">
      <w:start w:val="1"/>
      <w:numFmt w:val="lowerRoman"/>
      <w:lvlText w:val="%9."/>
      <w:lvlJc w:val="right"/>
      <w:pPr>
        <w:tabs>
          <w:tab w:val="left" w:pos="3930"/>
        </w:tabs>
        <w:ind w:left="3930" w:hanging="420"/>
      </w:pPr>
    </w:lvl>
  </w:abstractNum>
  <w:abstractNum w:abstractNumId="14">
    <w:nsid w:val="151655DE"/>
    <w:multiLevelType w:val="singleLevel"/>
    <w:tmpl w:val="151655DE"/>
    <w:lvl w:ilvl="0" w:tentative="0">
      <w:start w:val="1"/>
      <w:numFmt w:val="decimal"/>
      <w:suff w:val="nothing"/>
      <w:lvlText w:val="%1、"/>
      <w:lvlJc w:val="left"/>
    </w:lvl>
  </w:abstractNum>
  <w:abstractNum w:abstractNumId="15">
    <w:nsid w:val="18D02AF5"/>
    <w:multiLevelType w:val="singleLevel"/>
    <w:tmpl w:val="18D02AF5"/>
    <w:lvl w:ilvl="0" w:tentative="0">
      <w:start w:val="1"/>
      <w:numFmt w:val="decimal"/>
      <w:lvlText w:val="（%1）"/>
      <w:lvlJc w:val="left"/>
      <w:pPr>
        <w:tabs>
          <w:tab w:val="left" w:pos="1146"/>
        </w:tabs>
        <w:ind w:left="1146" w:hanging="720"/>
      </w:pPr>
      <w:rPr>
        <w:rFonts w:hint="eastAsia"/>
      </w:rPr>
    </w:lvl>
  </w:abstractNum>
  <w:abstractNum w:abstractNumId="16">
    <w:nsid w:val="19573080"/>
    <w:multiLevelType w:val="singleLevel"/>
    <w:tmpl w:val="19573080"/>
    <w:lvl w:ilvl="0" w:tentative="0">
      <w:start w:val="63"/>
      <w:numFmt w:val="decimal"/>
      <w:suff w:val="nothing"/>
      <w:lvlText w:val="%1、"/>
      <w:lvlJc w:val="left"/>
    </w:lvl>
  </w:abstractNum>
  <w:abstractNum w:abstractNumId="17">
    <w:nsid w:val="1FD96D2B"/>
    <w:multiLevelType w:val="singleLevel"/>
    <w:tmpl w:val="1FD96D2B"/>
    <w:lvl w:ilvl="0" w:tentative="0">
      <w:start w:val="1"/>
      <w:numFmt w:val="decimal"/>
      <w:lvlText w:val="（%1）"/>
      <w:lvlJc w:val="left"/>
      <w:pPr>
        <w:tabs>
          <w:tab w:val="left" w:pos="1104"/>
        </w:tabs>
        <w:ind w:left="1104" w:hanging="696"/>
      </w:pPr>
      <w:rPr>
        <w:rFonts w:ascii="Times New Roman" w:hAnsi="Times New Roman" w:eastAsia="Times New Roman" w:cs="Times New Roman"/>
      </w:rPr>
    </w:lvl>
  </w:abstractNum>
  <w:abstractNum w:abstractNumId="18">
    <w:nsid w:val="20D77F1A"/>
    <w:multiLevelType w:val="multilevel"/>
    <w:tmpl w:val="20D77F1A"/>
    <w:lvl w:ilvl="0" w:tentative="0">
      <w:start w:val="1"/>
      <w:numFmt w:val="chineseCountingThousand"/>
      <w:lvlText w:val="%1"/>
      <w:lvlJc w:val="left"/>
      <w:pPr>
        <w:ind w:left="432" w:hanging="432"/>
      </w:pPr>
      <w:rPr>
        <w:rFonts w:hint="default" w:ascii="Cambria" w:hAnsi="Cambria" w:eastAsia="黑体" w:cs="Times New Roman"/>
        <w:b/>
        <w:i w:val="0"/>
        <w:sz w:val="32"/>
      </w:rPr>
    </w:lvl>
    <w:lvl w:ilvl="1" w:tentative="0">
      <w:start w:val="1"/>
      <w:numFmt w:val="decimal"/>
      <w:isLgl/>
      <w:lvlText w:val="%1.%2"/>
      <w:lvlJc w:val="left"/>
      <w:pPr>
        <w:ind w:left="576" w:hanging="576"/>
      </w:pPr>
      <w:rPr>
        <w:rFonts w:hint="default" w:ascii="宋体" w:hAnsi="宋体" w:eastAsia="宋体" w:cs="宋体"/>
        <w:b w:val="0"/>
        <w:i w:val="0"/>
        <w:sz w:val="24"/>
        <w:szCs w:val="24"/>
      </w:rPr>
    </w:lvl>
    <w:lvl w:ilvl="2" w:tentative="0">
      <w:start w:val="1"/>
      <w:numFmt w:val="decimal"/>
      <w:isLgl/>
      <w:lvlText w:val="%1.%2.%3"/>
      <w:lvlJc w:val="left"/>
      <w:pPr>
        <w:ind w:left="720" w:hanging="720"/>
      </w:pPr>
      <w:rPr>
        <w:rFonts w:hint="eastAsia" w:eastAsia="宋体" w:cs="Times New Roman"/>
        <w:b w:val="0"/>
        <w:i w:val="0"/>
        <w:sz w:val="28"/>
      </w:rPr>
    </w:lvl>
    <w:lvl w:ilvl="3" w:tentative="0">
      <w:start w:val="1"/>
      <w:numFmt w:val="decimal"/>
      <w:isLgl/>
      <w:lvlText w:val="%1.%2.%3.%4"/>
      <w:lvlJc w:val="left"/>
      <w:pPr>
        <w:ind w:left="864" w:hanging="864"/>
      </w:pPr>
      <w:rPr>
        <w:rFonts w:hint="default" w:ascii="Cambria" w:hAnsi="Cambria" w:eastAsia="宋体" w:cs="Times New Roman"/>
        <w:b w:val="0"/>
        <w:i w:val="0"/>
        <w:sz w:val="24"/>
      </w:rPr>
    </w:lvl>
    <w:lvl w:ilvl="4" w:tentative="0">
      <w:start w:val="1"/>
      <w:numFmt w:val="decimal"/>
      <w:isLgl/>
      <w:lvlText w:val="%1.%2.%3.%4.%5"/>
      <w:lvlJc w:val="left"/>
      <w:pPr>
        <w:ind w:left="1008" w:hanging="1008"/>
      </w:pPr>
      <w:rPr>
        <w:rFonts w:hint="default" w:ascii="Cambria" w:hAnsi="Cambria" w:eastAsia="宋体" w:cs="Times New Roman"/>
        <w:b w:val="0"/>
        <w:i w:val="0"/>
        <w:sz w:val="24"/>
      </w:rPr>
    </w:lvl>
    <w:lvl w:ilvl="5" w:tentative="0">
      <w:start w:val="1"/>
      <w:numFmt w:val="decimal"/>
      <w:isLgl/>
      <w:lvlText w:val="%1.%2.%3.%4.%5.%6"/>
      <w:lvlJc w:val="left"/>
      <w:pPr>
        <w:ind w:left="1152" w:hanging="1152"/>
      </w:pPr>
      <w:rPr>
        <w:rFonts w:hint="default" w:ascii="Cambria" w:hAnsi="Cambria" w:eastAsia="宋体" w:cs="Times New Roman"/>
        <w:b w:val="0"/>
        <w:i w:val="0"/>
        <w:sz w:val="24"/>
      </w:rPr>
    </w:lvl>
    <w:lvl w:ilvl="6" w:tentative="0">
      <w:start w:val="1"/>
      <w:numFmt w:val="decimal"/>
      <w:isLgl/>
      <w:lvlText w:val="%1.%2.%3.%4.%5.%6.%7"/>
      <w:lvlJc w:val="left"/>
      <w:pPr>
        <w:ind w:left="1296" w:hanging="1296"/>
      </w:pPr>
      <w:rPr>
        <w:rFonts w:hint="default" w:ascii="Cambria" w:hAnsi="Cambria" w:eastAsia="宋体" w:cs="Times New Roman"/>
        <w:b w:val="0"/>
        <w:i w:val="0"/>
        <w:sz w:val="24"/>
      </w:rPr>
    </w:lvl>
    <w:lvl w:ilvl="7" w:tentative="0">
      <w:start w:val="1"/>
      <w:numFmt w:val="decimal"/>
      <w:lvlText w:val="%1.%2.%3.%4.%5.%6.%7.%8"/>
      <w:lvlJc w:val="left"/>
      <w:pPr>
        <w:ind w:left="1440" w:hanging="1440"/>
      </w:pPr>
      <w:rPr>
        <w:rFonts w:hint="eastAsia" w:cs="Times New Roman"/>
      </w:rPr>
    </w:lvl>
    <w:lvl w:ilvl="8" w:tentative="0">
      <w:start w:val="1"/>
      <w:numFmt w:val="decimal"/>
      <w:lvlText w:val="%1.%2.%3.%4.%5.%6.%7.%8.%9"/>
      <w:lvlJc w:val="left"/>
      <w:pPr>
        <w:ind w:left="1584" w:hanging="1584"/>
      </w:pPr>
      <w:rPr>
        <w:rFonts w:hint="eastAsia" w:cs="Times New Roman"/>
      </w:rPr>
    </w:lvl>
  </w:abstractNum>
  <w:abstractNum w:abstractNumId="19">
    <w:nsid w:val="227A5A10"/>
    <w:multiLevelType w:val="singleLevel"/>
    <w:tmpl w:val="227A5A10"/>
    <w:lvl w:ilvl="0" w:tentative="0">
      <w:start w:val="1"/>
      <w:numFmt w:val="decimal"/>
      <w:suff w:val="nothing"/>
      <w:lvlText w:val="%1、"/>
      <w:lvlJc w:val="left"/>
    </w:lvl>
  </w:abstractNum>
  <w:abstractNum w:abstractNumId="20">
    <w:nsid w:val="23C52467"/>
    <w:multiLevelType w:val="singleLevel"/>
    <w:tmpl w:val="23C52467"/>
    <w:lvl w:ilvl="0" w:tentative="0">
      <w:start w:val="1"/>
      <w:numFmt w:val="decimal"/>
      <w:suff w:val="nothing"/>
      <w:lvlText w:val="%1、"/>
      <w:lvlJc w:val="left"/>
    </w:lvl>
  </w:abstractNum>
  <w:abstractNum w:abstractNumId="21">
    <w:nsid w:val="26D85E2D"/>
    <w:multiLevelType w:val="multilevel"/>
    <w:tmpl w:val="26D85E2D"/>
    <w:lvl w:ilvl="0" w:tentative="0">
      <w:start w:val="1"/>
      <w:numFmt w:val="decimal"/>
      <w:lvlText w:val="%1．"/>
      <w:lvlJc w:val="left"/>
      <w:pPr>
        <w:tabs>
          <w:tab w:val="left" w:pos="898"/>
        </w:tabs>
        <w:ind w:left="898"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E758BF0"/>
    <w:multiLevelType w:val="singleLevel"/>
    <w:tmpl w:val="2E758BF0"/>
    <w:lvl w:ilvl="0" w:tentative="0">
      <w:start w:val="1"/>
      <w:numFmt w:val="decimal"/>
      <w:suff w:val="nothing"/>
      <w:lvlText w:val="%1、"/>
      <w:lvlJc w:val="left"/>
      <w:pPr>
        <w:ind w:left="-480"/>
      </w:pPr>
    </w:lvl>
  </w:abstractNum>
  <w:abstractNum w:abstractNumId="23">
    <w:nsid w:val="2F65D25D"/>
    <w:multiLevelType w:val="singleLevel"/>
    <w:tmpl w:val="2F65D25D"/>
    <w:lvl w:ilvl="0" w:tentative="0">
      <w:start w:val="1"/>
      <w:numFmt w:val="decimal"/>
      <w:suff w:val="nothing"/>
      <w:lvlText w:val="%1、"/>
      <w:lvlJc w:val="left"/>
    </w:lvl>
  </w:abstractNum>
  <w:abstractNum w:abstractNumId="24">
    <w:nsid w:val="30C36D78"/>
    <w:multiLevelType w:val="singleLevel"/>
    <w:tmpl w:val="30C36D78"/>
    <w:lvl w:ilvl="0" w:tentative="0">
      <w:start w:val="1"/>
      <w:numFmt w:val="decimal"/>
      <w:lvlText w:val="%1．"/>
      <w:lvlJc w:val="left"/>
      <w:pPr>
        <w:tabs>
          <w:tab w:val="left" w:pos="552"/>
        </w:tabs>
        <w:ind w:left="552" w:hanging="420"/>
      </w:pPr>
      <w:rPr>
        <w:rFonts w:hint="eastAsia"/>
      </w:rPr>
    </w:lvl>
  </w:abstractNum>
  <w:abstractNum w:abstractNumId="25">
    <w:nsid w:val="33713120"/>
    <w:multiLevelType w:val="singleLevel"/>
    <w:tmpl w:val="33713120"/>
    <w:lvl w:ilvl="0" w:tentative="0">
      <w:start w:val="1"/>
      <w:numFmt w:val="decimal"/>
      <w:lvlText w:val="%1."/>
      <w:lvlJc w:val="left"/>
      <w:pPr>
        <w:tabs>
          <w:tab w:val="left" w:pos="210"/>
        </w:tabs>
        <w:ind w:left="210" w:hanging="210"/>
      </w:pPr>
      <w:rPr>
        <w:rFonts w:hint="default" w:ascii="Times New Roman" w:cs="Times New Roman"/>
      </w:rPr>
    </w:lvl>
  </w:abstractNum>
  <w:abstractNum w:abstractNumId="26">
    <w:nsid w:val="35A68D8B"/>
    <w:multiLevelType w:val="singleLevel"/>
    <w:tmpl w:val="35A68D8B"/>
    <w:lvl w:ilvl="0" w:tentative="0">
      <w:start w:val="52"/>
      <w:numFmt w:val="decimal"/>
      <w:suff w:val="nothing"/>
      <w:lvlText w:val="%1、"/>
      <w:lvlJc w:val="left"/>
    </w:lvl>
  </w:abstractNum>
  <w:abstractNum w:abstractNumId="27">
    <w:nsid w:val="38705783"/>
    <w:multiLevelType w:val="singleLevel"/>
    <w:tmpl w:val="38705783"/>
    <w:lvl w:ilvl="0" w:tentative="0">
      <w:start w:val="1"/>
      <w:numFmt w:val="decimal"/>
      <w:lvlText w:val="%1．"/>
      <w:lvlJc w:val="left"/>
      <w:pPr>
        <w:tabs>
          <w:tab w:val="left" w:pos="552"/>
        </w:tabs>
        <w:ind w:left="552" w:hanging="420"/>
      </w:pPr>
      <w:rPr>
        <w:rFonts w:hint="eastAsia"/>
      </w:rPr>
    </w:lvl>
  </w:abstractNum>
  <w:abstractNum w:abstractNumId="28">
    <w:nsid w:val="3EC72376"/>
    <w:multiLevelType w:val="multilevel"/>
    <w:tmpl w:val="3EC72376"/>
    <w:lvl w:ilvl="0" w:tentative="0">
      <w:start w:val="8"/>
      <w:numFmt w:val="japaneseCounting"/>
      <w:lvlText w:val="（%1）"/>
      <w:lvlJc w:val="left"/>
      <w:pPr>
        <w:ind w:left="1239" w:hanging="720"/>
      </w:pPr>
      <w:rPr>
        <w:rFonts w:hAnsi="宋体"/>
      </w:rPr>
    </w:lvl>
    <w:lvl w:ilvl="1" w:tentative="0">
      <w:start w:val="1"/>
      <w:numFmt w:val="lowerLetter"/>
      <w:lvlText w:val="%2)"/>
      <w:lvlJc w:val="left"/>
      <w:pPr>
        <w:ind w:left="1359" w:hanging="420"/>
      </w:pPr>
    </w:lvl>
    <w:lvl w:ilvl="2" w:tentative="0">
      <w:start w:val="1"/>
      <w:numFmt w:val="lowerRoman"/>
      <w:lvlText w:val="%3."/>
      <w:lvlJc w:val="right"/>
      <w:pPr>
        <w:ind w:left="1779" w:hanging="420"/>
      </w:pPr>
    </w:lvl>
    <w:lvl w:ilvl="3" w:tentative="0">
      <w:start w:val="1"/>
      <w:numFmt w:val="decimal"/>
      <w:lvlText w:val="%4."/>
      <w:lvlJc w:val="left"/>
      <w:pPr>
        <w:ind w:left="2199" w:hanging="420"/>
      </w:pPr>
    </w:lvl>
    <w:lvl w:ilvl="4" w:tentative="0">
      <w:start w:val="1"/>
      <w:numFmt w:val="lowerLetter"/>
      <w:lvlText w:val="%5)"/>
      <w:lvlJc w:val="left"/>
      <w:pPr>
        <w:ind w:left="2619" w:hanging="420"/>
      </w:pPr>
    </w:lvl>
    <w:lvl w:ilvl="5" w:tentative="0">
      <w:start w:val="1"/>
      <w:numFmt w:val="lowerRoman"/>
      <w:lvlText w:val="%6."/>
      <w:lvlJc w:val="right"/>
      <w:pPr>
        <w:ind w:left="3039" w:hanging="420"/>
      </w:pPr>
    </w:lvl>
    <w:lvl w:ilvl="6" w:tentative="0">
      <w:start w:val="1"/>
      <w:numFmt w:val="decimal"/>
      <w:lvlText w:val="%7."/>
      <w:lvlJc w:val="left"/>
      <w:pPr>
        <w:ind w:left="3459" w:hanging="420"/>
      </w:pPr>
    </w:lvl>
    <w:lvl w:ilvl="7" w:tentative="0">
      <w:start w:val="1"/>
      <w:numFmt w:val="lowerLetter"/>
      <w:lvlText w:val="%8)"/>
      <w:lvlJc w:val="left"/>
      <w:pPr>
        <w:ind w:left="3879" w:hanging="420"/>
      </w:pPr>
    </w:lvl>
    <w:lvl w:ilvl="8" w:tentative="0">
      <w:start w:val="1"/>
      <w:numFmt w:val="lowerRoman"/>
      <w:lvlText w:val="%9."/>
      <w:lvlJc w:val="right"/>
      <w:pPr>
        <w:ind w:left="4299" w:hanging="420"/>
      </w:pPr>
    </w:lvl>
  </w:abstractNum>
  <w:abstractNum w:abstractNumId="29">
    <w:nsid w:val="41DC48F5"/>
    <w:multiLevelType w:val="multilevel"/>
    <w:tmpl w:val="41DC48F5"/>
    <w:lvl w:ilvl="0" w:tentative="0">
      <w:start w:val="1"/>
      <w:numFmt w:val="decimal"/>
      <w:lvlText w:val="%1．"/>
      <w:lvlJc w:val="left"/>
      <w:pPr>
        <w:tabs>
          <w:tab w:val="left" w:pos="898"/>
        </w:tabs>
        <w:ind w:left="898" w:hanging="720"/>
      </w:pPr>
      <w:rPr>
        <w:rFonts w:hint="eastAsia"/>
      </w:rPr>
    </w:lvl>
    <w:lvl w:ilvl="1" w:tentative="0">
      <w:start w:val="3"/>
      <w:numFmt w:val="decimal"/>
      <w:lvlText w:val="%2."/>
      <w:lvlJc w:val="left"/>
      <w:pPr>
        <w:tabs>
          <w:tab w:val="left" w:pos="958"/>
        </w:tabs>
        <w:ind w:left="958" w:hanging="360"/>
      </w:pPr>
      <w:rPr>
        <w:rFonts w:hint="default"/>
      </w:rPr>
    </w:lvl>
    <w:lvl w:ilvl="2" w:tentative="0">
      <w:start w:val="1"/>
      <w:numFmt w:val="decimalEnclosedCircle"/>
      <w:lvlText w:val="%3"/>
      <w:lvlJc w:val="left"/>
      <w:pPr>
        <w:tabs>
          <w:tab w:val="left" w:pos="1378"/>
        </w:tabs>
        <w:ind w:left="1378" w:hanging="360"/>
      </w:pPr>
      <w:rPr>
        <w:rFonts w:hint="default"/>
        <w:color w:val="auto"/>
      </w:rPr>
    </w:lvl>
    <w:lvl w:ilvl="3" w:tentative="0">
      <w:start w:val="1"/>
      <w:numFmt w:val="decimal"/>
      <w:lvlText w:val="%4."/>
      <w:lvlJc w:val="left"/>
      <w:pPr>
        <w:tabs>
          <w:tab w:val="left" w:pos="1858"/>
        </w:tabs>
        <w:ind w:left="1858" w:hanging="420"/>
      </w:pPr>
    </w:lvl>
    <w:lvl w:ilvl="4" w:tentative="0">
      <w:start w:val="1"/>
      <w:numFmt w:val="lowerLetter"/>
      <w:lvlText w:val="%5)"/>
      <w:lvlJc w:val="left"/>
      <w:pPr>
        <w:tabs>
          <w:tab w:val="left" w:pos="2278"/>
        </w:tabs>
        <w:ind w:left="2278" w:hanging="420"/>
      </w:pPr>
    </w:lvl>
    <w:lvl w:ilvl="5" w:tentative="0">
      <w:start w:val="1"/>
      <w:numFmt w:val="lowerRoman"/>
      <w:lvlText w:val="%6."/>
      <w:lvlJc w:val="right"/>
      <w:pPr>
        <w:tabs>
          <w:tab w:val="left" w:pos="2698"/>
        </w:tabs>
        <w:ind w:left="2698" w:hanging="420"/>
      </w:pPr>
    </w:lvl>
    <w:lvl w:ilvl="6" w:tentative="0">
      <w:start w:val="1"/>
      <w:numFmt w:val="decimal"/>
      <w:lvlText w:val="%7."/>
      <w:lvlJc w:val="left"/>
      <w:pPr>
        <w:tabs>
          <w:tab w:val="left" w:pos="3118"/>
        </w:tabs>
        <w:ind w:left="3118" w:hanging="420"/>
      </w:pPr>
    </w:lvl>
    <w:lvl w:ilvl="7" w:tentative="0">
      <w:start w:val="1"/>
      <w:numFmt w:val="lowerLetter"/>
      <w:lvlText w:val="%8)"/>
      <w:lvlJc w:val="left"/>
      <w:pPr>
        <w:tabs>
          <w:tab w:val="left" w:pos="3538"/>
        </w:tabs>
        <w:ind w:left="3538" w:hanging="420"/>
      </w:pPr>
    </w:lvl>
    <w:lvl w:ilvl="8" w:tentative="0">
      <w:start w:val="1"/>
      <w:numFmt w:val="lowerRoman"/>
      <w:lvlText w:val="%9."/>
      <w:lvlJc w:val="right"/>
      <w:pPr>
        <w:tabs>
          <w:tab w:val="left" w:pos="3958"/>
        </w:tabs>
        <w:ind w:left="3958" w:hanging="420"/>
      </w:pPr>
    </w:lvl>
  </w:abstractNum>
  <w:abstractNum w:abstractNumId="30">
    <w:nsid w:val="4D28330F"/>
    <w:multiLevelType w:val="multilevel"/>
    <w:tmpl w:val="4D28330F"/>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FE82BE3"/>
    <w:multiLevelType w:val="multilevel"/>
    <w:tmpl w:val="4FE82BE3"/>
    <w:lvl w:ilvl="0" w:tentative="0">
      <w:start w:val="1"/>
      <w:numFmt w:val="decimalEnclosedCircle"/>
      <w:lvlText w:val="%1"/>
      <w:lvlJc w:val="left"/>
      <w:pPr>
        <w:tabs>
          <w:tab w:val="left" w:pos="881"/>
        </w:tabs>
        <w:ind w:left="881" w:hanging="360"/>
      </w:pPr>
      <w:rPr>
        <w:rFonts w:ascii="宋体" w:hAnsi="宋体" w:eastAsia="宋体" w:cs="Times New Roman"/>
      </w:rPr>
    </w:lvl>
    <w:lvl w:ilvl="1" w:tentative="0">
      <w:start w:val="1"/>
      <w:numFmt w:val="lowerLetter"/>
      <w:lvlText w:val="%2)"/>
      <w:lvlJc w:val="left"/>
      <w:pPr>
        <w:tabs>
          <w:tab w:val="left" w:pos="1361"/>
        </w:tabs>
        <w:ind w:left="1361" w:hanging="420"/>
      </w:pPr>
    </w:lvl>
    <w:lvl w:ilvl="2" w:tentative="0">
      <w:start w:val="1"/>
      <w:numFmt w:val="lowerRoman"/>
      <w:lvlText w:val="%3."/>
      <w:lvlJc w:val="right"/>
      <w:pPr>
        <w:tabs>
          <w:tab w:val="left" w:pos="1781"/>
        </w:tabs>
        <w:ind w:left="1781" w:hanging="420"/>
      </w:pPr>
    </w:lvl>
    <w:lvl w:ilvl="3" w:tentative="0">
      <w:start w:val="1"/>
      <w:numFmt w:val="decimal"/>
      <w:lvlText w:val="%4."/>
      <w:lvlJc w:val="left"/>
      <w:pPr>
        <w:tabs>
          <w:tab w:val="left" w:pos="2201"/>
        </w:tabs>
        <w:ind w:left="2201" w:hanging="420"/>
      </w:pPr>
    </w:lvl>
    <w:lvl w:ilvl="4" w:tentative="0">
      <w:start w:val="1"/>
      <w:numFmt w:val="lowerLetter"/>
      <w:lvlText w:val="%5)"/>
      <w:lvlJc w:val="left"/>
      <w:pPr>
        <w:tabs>
          <w:tab w:val="left" w:pos="2621"/>
        </w:tabs>
        <w:ind w:left="2621" w:hanging="420"/>
      </w:pPr>
    </w:lvl>
    <w:lvl w:ilvl="5" w:tentative="0">
      <w:start w:val="1"/>
      <w:numFmt w:val="lowerRoman"/>
      <w:lvlText w:val="%6."/>
      <w:lvlJc w:val="right"/>
      <w:pPr>
        <w:tabs>
          <w:tab w:val="left" w:pos="3041"/>
        </w:tabs>
        <w:ind w:left="3041" w:hanging="420"/>
      </w:pPr>
    </w:lvl>
    <w:lvl w:ilvl="6" w:tentative="0">
      <w:start w:val="1"/>
      <w:numFmt w:val="decimal"/>
      <w:lvlText w:val="%7."/>
      <w:lvlJc w:val="left"/>
      <w:pPr>
        <w:tabs>
          <w:tab w:val="left" w:pos="3461"/>
        </w:tabs>
        <w:ind w:left="3461" w:hanging="420"/>
      </w:pPr>
    </w:lvl>
    <w:lvl w:ilvl="7" w:tentative="0">
      <w:start w:val="1"/>
      <w:numFmt w:val="lowerLetter"/>
      <w:lvlText w:val="%8)"/>
      <w:lvlJc w:val="left"/>
      <w:pPr>
        <w:tabs>
          <w:tab w:val="left" w:pos="3881"/>
        </w:tabs>
        <w:ind w:left="3881" w:hanging="420"/>
      </w:pPr>
    </w:lvl>
    <w:lvl w:ilvl="8" w:tentative="0">
      <w:start w:val="1"/>
      <w:numFmt w:val="lowerRoman"/>
      <w:lvlText w:val="%9."/>
      <w:lvlJc w:val="right"/>
      <w:pPr>
        <w:tabs>
          <w:tab w:val="left" w:pos="4301"/>
        </w:tabs>
        <w:ind w:left="4301" w:hanging="420"/>
      </w:pPr>
    </w:lvl>
  </w:abstractNum>
  <w:abstractNum w:abstractNumId="32">
    <w:nsid w:val="50CF49AE"/>
    <w:multiLevelType w:val="multilevel"/>
    <w:tmpl w:val="50CF49AE"/>
    <w:lvl w:ilvl="0" w:tentative="0">
      <w:start w:val="1"/>
      <w:numFmt w:val="decimal"/>
      <w:lvlText w:val="%1."/>
      <w:lvlJc w:val="left"/>
      <w:pPr>
        <w:ind w:left="840" w:hanging="360"/>
      </w:pPr>
      <w:rPr>
        <w:rFonts w:hint="default"/>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510B6456"/>
    <w:multiLevelType w:val="singleLevel"/>
    <w:tmpl w:val="510B6456"/>
    <w:lvl w:ilvl="0" w:tentative="0">
      <w:start w:val="1"/>
      <w:numFmt w:val="decimal"/>
      <w:lvlText w:val="%1．"/>
      <w:lvlJc w:val="left"/>
      <w:pPr>
        <w:tabs>
          <w:tab w:val="left" w:pos="552"/>
        </w:tabs>
        <w:ind w:left="552" w:hanging="420"/>
      </w:pPr>
      <w:rPr>
        <w:rFonts w:hint="eastAsia"/>
      </w:rPr>
    </w:lvl>
  </w:abstractNum>
  <w:abstractNum w:abstractNumId="34">
    <w:nsid w:val="5131DEC7"/>
    <w:multiLevelType w:val="singleLevel"/>
    <w:tmpl w:val="5131DEC7"/>
    <w:lvl w:ilvl="0" w:tentative="0">
      <w:start w:val="1"/>
      <w:numFmt w:val="decimal"/>
      <w:suff w:val="nothing"/>
      <w:lvlText w:val="%1、"/>
      <w:lvlJc w:val="left"/>
    </w:lvl>
  </w:abstractNum>
  <w:abstractNum w:abstractNumId="35">
    <w:nsid w:val="61D32A0B"/>
    <w:multiLevelType w:val="multilevel"/>
    <w:tmpl w:val="61D32A0B"/>
    <w:lvl w:ilvl="0" w:tentative="0">
      <w:start w:val="1"/>
      <w:numFmt w:val="bullet"/>
      <w:pStyle w:val="38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6">
    <w:nsid w:val="630C1BC3"/>
    <w:multiLevelType w:val="multilevel"/>
    <w:tmpl w:val="630C1BC3"/>
    <w:lvl w:ilvl="0" w:tentative="0">
      <w:start w:val="1"/>
      <w:numFmt w:val="decimal"/>
      <w:lvlText w:val="%1."/>
      <w:lvlJc w:val="left"/>
      <w:pPr>
        <w:tabs>
          <w:tab w:val="left" w:pos="510"/>
        </w:tabs>
        <w:ind w:left="510" w:hanging="360"/>
      </w:pPr>
      <w:rPr>
        <w:rFonts w:hint="eastAsia"/>
      </w:rPr>
    </w:lvl>
    <w:lvl w:ilvl="1" w:tentative="0">
      <w:start w:val="1"/>
      <w:numFmt w:val="decimal"/>
      <w:lvlText w:val="%2．"/>
      <w:lvlJc w:val="left"/>
      <w:pPr>
        <w:tabs>
          <w:tab w:val="left" w:pos="1290"/>
        </w:tabs>
        <w:ind w:left="1290" w:hanging="720"/>
      </w:pPr>
      <w:rPr>
        <w:rFonts w:hint="eastAsia"/>
      </w:rPr>
    </w:lvl>
    <w:lvl w:ilvl="2" w:tentative="0">
      <w:start w:val="3"/>
      <w:numFmt w:val="decimal"/>
      <w:lvlText w:val="（%3）"/>
      <w:lvlJc w:val="left"/>
      <w:pPr>
        <w:tabs>
          <w:tab w:val="left" w:pos="1140"/>
        </w:tabs>
        <w:ind w:left="1140" w:hanging="720"/>
      </w:pPr>
      <w:rPr>
        <w:rFonts w:hint="eastAsia"/>
        <w:lang w:val="en-US"/>
      </w:rPr>
    </w:lvl>
    <w:lvl w:ilvl="3" w:tentative="0">
      <w:start w:val="1"/>
      <w:numFmt w:val="decimal"/>
      <w:lvlText w:val="（%4）"/>
      <w:lvlJc w:val="left"/>
      <w:pPr>
        <w:tabs>
          <w:tab w:val="left" w:pos="1830"/>
        </w:tabs>
        <w:ind w:left="1830" w:hanging="420"/>
      </w:pPr>
      <w:rPr>
        <w:rFonts w:ascii="宋体" w:hAnsi="宋体" w:eastAsia="宋体" w:cs="Times New Roman"/>
      </w:rPr>
    </w:lvl>
    <w:lvl w:ilvl="4" w:tentative="0">
      <w:start w:val="1"/>
      <w:numFmt w:val="decimal"/>
      <w:lvlText w:val="（%5）"/>
      <w:lvlJc w:val="left"/>
      <w:pPr>
        <w:tabs>
          <w:tab w:val="left" w:pos="1271"/>
        </w:tabs>
        <w:ind w:left="1271" w:hanging="420"/>
      </w:pPr>
      <w:rPr>
        <w:rFonts w:hint="eastAsia"/>
        <w:b/>
        <w:lang w:val="en-US"/>
      </w:rPr>
    </w:lvl>
    <w:lvl w:ilvl="5" w:tentative="0">
      <w:start w:val="1"/>
      <w:numFmt w:val="lowerRoman"/>
      <w:lvlText w:val="%6."/>
      <w:lvlJc w:val="right"/>
      <w:pPr>
        <w:tabs>
          <w:tab w:val="left" w:pos="2670"/>
        </w:tabs>
        <w:ind w:left="2670" w:hanging="420"/>
      </w:pPr>
    </w:lvl>
    <w:lvl w:ilvl="6" w:tentative="0">
      <w:start w:val="1"/>
      <w:numFmt w:val="decimal"/>
      <w:lvlText w:val="%7."/>
      <w:lvlJc w:val="left"/>
      <w:pPr>
        <w:tabs>
          <w:tab w:val="left" w:pos="3090"/>
        </w:tabs>
        <w:ind w:left="3090" w:hanging="420"/>
      </w:pPr>
    </w:lvl>
    <w:lvl w:ilvl="7" w:tentative="0">
      <w:start w:val="1"/>
      <w:numFmt w:val="lowerLetter"/>
      <w:lvlText w:val="%8)"/>
      <w:lvlJc w:val="left"/>
      <w:pPr>
        <w:tabs>
          <w:tab w:val="left" w:pos="3510"/>
        </w:tabs>
        <w:ind w:left="3510" w:hanging="420"/>
      </w:pPr>
    </w:lvl>
    <w:lvl w:ilvl="8" w:tentative="0">
      <w:start w:val="1"/>
      <w:numFmt w:val="lowerRoman"/>
      <w:lvlText w:val="%9."/>
      <w:lvlJc w:val="right"/>
      <w:pPr>
        <w:tabs>
          <w:tab w:val="left" w:pos="3930"/>
        </w:tabs>
        <w:ind w:left="3930" w:hanging="420"/>
      </w:pPr>
    </w:lvl>
  </w:abstractNum>
  <w:abstractNum w:abstractNumId="37">
    <w:nsid w:val="64607A38"/>
    <w:multiLevelType w:val="multilevel"/>
    <w:tmpl w:val="64607A38"/>
    <w:lvl w:ilvl="0" w:tentative="0">
      <w:start w:val="1"/>
      <w:numFmt w:val="japaneseCounting"/>
      <w:lvlText w:val="%1、"/>
      <w:lvlJc w:val="left"/>
      <w:pPr>
        <w:tabs>
          <w:tab w:val="left" w:pos="552"/>
        </w:tabs>
        <w:ind w:left="552" w:hanging="420"/>
      </w:pPr>
      <w:rPr>
        <w:rFonts w:ascii="Times New Roman" w:hAnsi="Times New Roman" w:eastAsia="Times New Roman" w:cs="Times New Roman"/>
        <w:color w:val="auto"/>
      </w:rPr>
    </w:lvl>
    <w:lvl w:ilvl="1" w:tentative="0">
      <w:start w:val="1"/>
      <w:numFmt w:val="lowerLetter"/>
      <w:lvlText w:val="%2)"/>
      <w:lvlJc w:val="left"/>
      <w:pPr>
        <w:tabs>
          <w:tab w:val="left" w:pos="840"/>
        </w:tabs>
        <w:ind w:left="840" w:hanging="420"/>
      </w:pPr>
    </w:lvl>
    <w:lvl w:ilvl="2" w:tentative="0">
      <w:start w:val="10"/>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666030AB"/>
    <w:multiLevelType w:val="multilevel"/>
    <w:tmpl w:val="666030AB"/>
    <w:lvl w:ilvl="0" w:tentative="0">
      <w:start w:val="1"/>
      <w:numFmt w:val="decimal"/>
      <w:lvlText w:val="（%1）"/>
      <w:lvlJc w:val="left"/>
      <w:pPr>
        <w:tabs>
          <w:tab w:val="left" w:pos="1710"/>
        </w:tabs>
        <w:ind w:left="1710" w:hanging="720"/>
      </w:pPr>
      <w:rPr>
        <w:rFonts w:hint="eastAsia"/>
      </w:rPr>
    </w:lvl>
    <w:lvl w:ilvl="1" w:tentative="0">
      <w:start w:val="2"/>
      <w:numFmt w:val="decimal"/>
      <w:lvlText w:val="%2."/>
      <w:lvlJc w:val="left"/>
      <w:pPr>
        <w:tabs>
          <w:tab w:val="left" w:pos="1770"/>
        </w:tabs>
        <w:ind w:left="1770" w:hanging="360"/>
      </w:pPr>
      <w:rPr>
        <w:rFonts w:hint="default"/>
      </w:rPr>
    </w:lvl>
    <w:lvl w:ilvl="2" w:tentative="0">
      <w:start w:val="1"/>
      <w:numFmt w:val="lowerRoman"/>
      <w:lvlText w:val="%3."/>
      <w:lvlJc w:val="right"/>
      <w:pPr>
        <w:tabs>
          <w:tab w:val="left" w:pos="2250"/>
        </w:tabs>
        <w:ind w:left="2250" w:hanging="420"/>
      </w:pPr>
    </w:lvl>
    <w:lvl w:ilvl="3" w:tentative="0">
      <w:start w:val="1"/>
      <w:numFmt w:val="decimal"/>
      <w:lvlText w:val="%4."/>
      <w:lvlJc w:val="left"/>
      <w:pPr>
        <w:tabs>
          <w:tab w:val="left" w:pos="2670"/>
        </w:tabs>
        <w:ind w:left="2670" w:hanging="420"/>
      </w:pPr>
    </w:lvl>
    <w:lvl w:ilvl="4" w:tentative="0">
      <w:start w:val="1"/>
      <w:numFmt w:val="lowerLetter"/>
      <w:lvlText w:val="%5)"/>
      <w:lvlJc w:val="left"/>
      <w:pPr>
        <w:tabs>
          <w:tab w:val="left" w:pos="3090"/>
        </w:tabs>
        <w:ind w:left="3090" w:hanging="420"/>
      </w:pPr>
    </w:lvl>
    <w:lvl w:ilvl="5" w:tentative="0">
      <w:start w:val="1"/>
      <w:numFmt w:val="lowerRoman"/>
      <w:lvlText w:val="%6."/>
      <w:lvlJc w:val="right"/>
      <w:pPr>
        <w:tabs>
          <w:tab w:val="left" w:pos="3510"/>
        </w:tabs>
        <w:ind w:left="3510" w:hanging="420"/>
      </w:pPr>
    </w:lvl>
    <w:lvl w:ilvl="6" w:tentative="0">
      <w:start w:val="1"/>
      <w:numFmt w:val="decimal"/>
      <w:lvlText w:val="%7."/>
      <w:lvlJc w:val="left"/>
      <w:pPr>
        <w:tabs>
          <w:tab w:val="left" w:pos="3930"/>
        </w:tabs>
        <w:ind w:left="3930" w:hanging="420"/>
      </w:pPr>
    </w:lvl>
    <w:lvl w:ilvl="7" w:tentative="0">
      <w:start w:val="1"/>
      <w:numFmt w:val="lowerLetter"/>
      <w:lvlText w:val="%8)"/>
      <w:lvlJc w:val="left"/>
      <w:pPr>
        <w:tabs>
          <w:tab w:val="left" w:pos="4350"/>
        </w:tabs>
        <w:ind w:left="4350" w:hanging="420"/>
      </w:pPr>
    </w:lvl>
    <w:lvl w:ilvl="8" w:tentative="0">
      <w:start w:val="1"/>
      <w:numFmt w:val="lowerRoman"/>
      <w:lvlText w:val="%9."/>
      <w:lvlJc w:val="right"/>
      <w:pPr>
        <w:tabs>
          <w:tab w:val="left" w:pos="4770"/>
        </w:tabs>
        <w:ind w:left="4770" w:hanging="420"/>
      </w:pPr>
    </w:lvl>
  </w:abstractNum>
  <w:abstractNum w:abstractNumId="39">
    <w:nsid w:val="691E62C6"/>
    <w:multiLevelType w:val="multilevel"/>
    <w:tmpl w:val="691E62C6"/>
    <w:lvl w:ilvl="0" w:tentative="0">
      <w:start w:val="2"/>
      <w:numFmt w:val="japaneseCounting"/>
      <w:lvlText w:val="（%1）"/>
      <w:lvlJc w:val="left"/>
      <w:pPr>
        <w:tabs>
          <w:tab w:val="left" w:pos="1200"/>
        </w:tabs>
        <w:ind w:left="1200"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0">
    <w:nsid w:val="6EE101FC"/>
    <w:multiLevelType w:val="singleLevel"/>
    <w:tmpl w:val="6EE101FC"/>
    <w:lvl w:ilvl="0" w:tentative="0">
      <w:start w:val="1"/>
      <w:numFmt w:val="decimal"/>
      <w:lvlText w:val="%1．"/>
      <w:lvlJc w:val="left"/>
      <w:pPr>
        <w:tabs>
          <w:tab w:val="left" w:pos="570"/>
        </w:tabs>
        <w:ind w:left="570" w:hanging="420"/>
      </w:pPr>
      <w:rPr>
        <w:rFonts w:hint="eastAsia"/>
      </w:rPr>
    </w:lvl>
  </w:abstractNum>
  <w:abstractNum w:abstractNumId="41">
    <w:nsid w:val="79EBC419"/>
    <w:multiLevelType w:val="singleLevel"/>
    <w:tmpl w:val="79EBC419"/>
    <w:lvl w:ilvl="0" w:tentative="0">
      <w:start w:val="1"/>
      <w:numFmt w:val="decimal"/>
      <w:suff w:val="nothing"/>
      <w:lvlText w:val="%1、"/>
      <w:lvlJc w:val="left"/>
    </w:lvl>
  </w:abstractNum>
  <w:abstractNum w:abstractNumId="42">
    <w:nsid w:val="7A672089"/>
    <w:multiLevelType w:val="singleLevel"/>
    <w:tmpl w:val="7A672089"/>
    <w:lvl w:ilvl="0" w:tentative="0">
      <w:start w:val="1"/>
      <w:numFmt w:val="decimal"/>
      <w:lvlText w:val="%1."/>
      <w:lvlJc w:val="left"/>
      <w:pPr>
        <w:tabs>
          <w:tab w:val="left" w:pos="762"/>
        </w:tabs>
        <w:ind w:left="762" w:hanging="210"/>
      </w:pPr>
      <w:rPr>
        <w:rFonts w:hint="eastAsia"/>
      </w:rPr>
    </w:lvl>
  </w:abstractNum>
  <w:abstractNum w:abstractNumId="43">
    <w:nsid w:val="7FD11119"/>
    <w:multiLevelType w:val="singleLevel"/>
    <w:tmpl w:val="7FD11119"/>
    <w:lvl w:ilvl="0" w:tentative="0">
      <w:start w:val="1"/>
      <w:numFmt w:val="decimal"/>
      <w:suff w:val="nothing"/>
      <w:lvlText w:val="%1、"/>
      <w:lvlJc w:val="left"/>
    </w:lvl>
  </w:abstractNum>
  <w:num w:numId="1">
    <w:abstractNumId w:val="35"/>
  </w:num>
  <w:num w:numId="2">
    <w:abstractNumId w:val="39"/>
  </w:num>
  <w:num w:numId="3">
    <w:abstractNumId w:val="33"/>
  </w:num>
  <w:num w:numId="4">
    <w:abstractNumId w:val="29"/>
  </w:num>
  <w:num w:numId="5">
    <w:abstractNumId w:val="10"/>
  </w:num>
  <w:num w:numId="6">
    <w:abstractNumId w:val="15"/>
  </w:num>
  <w:num w:numId="7">
    <w:abstractNumId w:val="32"/>
  </w:num>
  <w:num w:numId="8">
    <w:abstractNumId w:val="21"/>
  </w:num>
  <w:num w:numId="9">
    <w:abstractNumId w:val="30"/>
  </w:num>
  <w:num w:numId="10">
    <w:abstractNumId w:val="42"/>
  </w:num>
  <w:num w:numId="11">
    <w:abstractNumId w:val="36"/>
  </w:num>
  <w:num w:numId="12">
    <w:abstractNumId w:val="17"/>
  </w:num>
  <w:num w:numId="13">
    <w:abstractNumId w:val="31"/>
  </w:num>
  <w:num w:numId="14">
    <w:abstractNumId w:val="24"/>
  </w:num>
  <w:num w:numId="15">
    <w:abstractNumId w:val="40"/>
  </w:num>
  <w:num w:numId="16">
    <w:abstractNumId w:val="38"/>
  </w:num>
  <w:num w:numId="17">
    <w:abstractNumId w:val="27"/>
  </w:num>
  <w:num w:numId="18">
    <w:abstractNumId w:val="13"/>
  </w:num>
  <w:num w:numId="19">
    <w:abstractNumId w:val="18"/>
  </w:num>
  <w:num w:numId="20">
    <w:abstractNumId w:val="22"/>
  </w:num>
  <w:num w:numId="21">
    <w:abstractNumId w:val="2"/>
  </w:num>
  <w:num w:numId="22">
    <w:abstractNumId w:val="26"/>
  </w:num>
  <w:num w:numId="23">
    <w:abstractNumId w:val="16"/>
  </w:num>
  <w:num w:numId="24">
    <w:abstractNumId w:val="20"/>
  </w:num>
  <w:num w:numId="25">
    <w:abstractNumId w:val="4"/>
  </w:num>
  <w:num w:numId="26">
    <w:abstractNumId w:val="9"/>
  </w:num>
  <w:num w:numId="27">
    <w:abstractNumId w:val="0"/>
  </w:num>
  <w:num w:numId="28">
    <w:abstractNumId w:val="1"/>
  </w:num>
  <w:num w:numId="29">
    <w:abstractNumId w:val="7"/>
  </w:num>
  <w:num w:numId="30">
    <w:abstractNumId w:val="34"/>
  </w:num>
  <w:num w:numId="31">
    <w:abstractNumId w:val="19"/>
  </w:num>
  <w:num w:numId="32">
    <w:abstractNumId w:val="41"/>
  </w:num>
  <w:num w:numId="33">
    <w:abstractNumId w:val="14"/>
  </w:num>
  <w:num w:numId="34">
    <w:abstractNumId w:val="3"/>
  </w:num>
  <w:num w:numId="35">
    <w:abstractNumId w:val="43"/>
  </w:num>
  <w:num w:numId="36">
    <w:abstractNumId w:val="5"/>
  </w:num>
  <w:num w:numId="37">
    <w:abstractNumId w:val="6"/>
  </w:num>
  <w:num w:numId="38">
    <w:abstractNumId w:val="11"/>
  </w:num>
  <w:num w:numId="39">
    <w:abstractNumId w:val="23"/>
  </w:num>
  <w:num w:numId="40">
    <w:abstractNumId w:val="12"/>
  </w:num>
  <w:num w:numId="41">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37"/>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349"/>
    <w:rsid w:val="00000105"/>
    <w:rsid w:val="000256E5"/>
    <w:rsid w:val="00027D7D"/>
    <w:rsid w:val="00036F52"/>
    <w:rsid w:val="00041B28"/>
    <w:rsid w:val="000542D1"/>
    <w:rsid w:val="00062357"/>
    <w:rsid w:val="00072039"/>
    <w:rsid w:val="00074819"/>
    <w:rsid w:val="00080426"/>
    <w:rsid w:val="00085014"/>
    <w:rsid w:val="00087F96"/>
    <w:rsid w:val="000A3F7C"/>
    <w:rsid w:val="000C523B"/>
    <w:rsid w:val="000D1827"/>
    <w:rsid w:val="000D5B6B"/>
    <w:rsid w:val="000D739F"/>
    <w:rsid w:val="000F1B6B"/>
    <w:rsid w:val="000F5366"/>
    <w:rsid w:val="00101660"/>
    <w:rsid w:val="001042AD"/>
    <w:rsid w:val="00110F16"/>
    <w:rsid w:val="00113E87"/>
    <w:rsid w:val="0012679A"/>
    <w:rsid w:val="0013123F"/>
    <w:rsid w:val="001334C9"/>
    <w:rsid w:val="0014562A"/>
    <w:rsid w:val="00146017"/>
    <w:rsid w:val="00146568"/>
    <w:rsid w:val="00154B9B"/>
    <w:rsid w:val="0016030A"/>
    <w:rsid w:val="00166CC1"/>
    <w:rsid w:val="00166E6E"/>
    <w:rsid w:val="001801CA"/>
    <w:rsid w:val="00180C2B"/>
    <w:rsid w:val="00184454"/>
    <w:rsid w:val="00185B3E"/>
    <w:rsid w:val="001A0263"/>
    <w:rsid w:val="001A12A0"/>
    <w:rsid w:val="001A263F"/>
    <w:rsid w:val="001A2E31"/>
    <w:rsid w:val="001B1F0B"/>
    <w:rsid w:val="001B4AA2"/>
    <w:rsid w:val="001D5899"/>
    <w:rsid w:val="001D7004"/>
    <w:rsid w:val="001D7EF2"/>
    <w:rsid w:val="001F7578"/>
    <w:rsid w:val="00203C61"/>
    <w:rsid w:val="00214326"/>
    <w:rsid w:val="00215A7C"/>
    <w:rsid w:val="0022003A"/>
    <w:rsid w:val="00223AFF"/>
    <w:rsid w:val="0022403D"/>
    <w:rsid w:val="00237BCD"/>
    <w:rsid w:val="0025172E"/>
    <w:rsid w:val="00261678"/>
    <w:rsid w:val="00262B5C"/>
    <w:rsid w:val="00284006"/>
    <w:rsid w:val="002A2669"/>
    <w:rsid w:val="002A4BD1"/>
    <w:rsid w:val="002A59F5"/>
    <w:rsid w:val="002A6CFC"/>
    <w:rsid w:val="002B04DC"/>
    <w:rsid w:val="002C7239"/>
    <w:rsid w:val="002D7A9F"/>
    <w:rsid w:val="002E35D3"/>
    <w:rsid w:val="002E6782"/>
    <w:rsid w:val="002F2ADA"/>
    <w:rsid w:val="002F34D9"/>
    <w:rsid w:val="0030372B"/>
    <w:rsid w:val="00304BF0"/>
    <w:rsid w:val="00310E12"/>
    <w:rsid w:val="0031385F"/>
    <w:rsid w:val="0031601E"/>
    <w:rsid w:val="00320CBD"/>
    <w:rsid w:val="0032535C"/>
    <w:rsid w:val="003263AB"/>
    <w:rsid w:val="00330F7D"/>
    <w:rsid w:val="00331100"/>
    <w:rsid w:val="00334731"/>
    <w:rsid w:val="00345900"/>
    <w:rsid w:val="00347494"/>
    <w:rsid w:val="00350DF3"/>
    <w:rsid w:val="003549F5"/>
    <w:rsid w:val="00356FD6"/>
    <w:rsid w:val="00357ABE"/>
    <w:rsid w:val="0036408C"/>
    <w:rsid w:val="0036485A"/>
    <w:rsid w:val="003733B0"/>
    <w:rsid w:val="00381F8E"/>
    <w:rsid w:val="00387749"/>
    <w:rsid w:val="0038774C"/>
    <w:rsid w:val="0039758B"/>
    <w:rsid w:val="003A5070"/>
    <w:rsid w:val="003B66F6"/>
    <w:rsid w:val="003B6D54"/>
    <w:rsid w:val="003C2312"/>
    <w:rsid w:val="003C5B4C"/>
    <w:rsid w:val="003D68AD"/>
    <w:rsid w:val="003D7E75"/>
    <w:rsid w:val="003E3814"/>
    <w:rsid w:val="003E68BF"/>
    <w:rsid w:val="003F12AE"/>
    <w:rsid w:val="003F240B"/>
    <w:rsid w:val="003F6174"/>
    <w:rsid w:val="003F62B3"/>
    <w:rsid w:val="004019DD"/>
    <w:rsid w:val="00404582"/>
    <w:rsid w:val="00407DBA"/>
    <w:rsid w:val="00412837"/>
    <w:rsid w:val="00413A02"/>
    <w:rsid w:val="00414A22"/>
    <w:rsid w:val="00422D71"/>
    <w:rsid w:val="004247E7"/>
    <w:rsid w:val="00424D14"/>
    <w:rsid w:val="0042534B"/>
    <w:rsid w:val="00431256"/>
    <w:rsid w:val="00436731"/>
    <w:rsid w:val="0044196A"/>
    <w:rsid w:val="00441DA8"/>
    <w:rsid w:val="00442093"/>
    <w:rsid w:val="00442A13"/>
    <w:rsid w:val="00443C9B"/>
    <w:rsid w:val="00445675"/>
    <w:rsid w:val="00446160"/>
    <w:rsid w:val="00454867"/>
    <w:rsid w:val="004562B0"/>
    <w:rsid w:val="00461566"/>
    <w:rsid w:val="004617EC"/>
    <w:rsid w:val="00463BA0"/>
    <w:rsid w:val="00480E67"/>
    <w:rsid w:val="00484D28"/>
    <w:rsid w:val="00490399"/>
    <w:rsid w:val="00491454"/>
    <w:rsid w:val="004A071D"/>
    <w:rsid w:val="004A1DB9"/>
    <w:rsid w:val="004A2A3F"/>
    <w:rsid w:val="004A566A"/>
    <w:rsid w:val="004A7A18"/>
    <w:rsid w:val="004B4DE6"/>
    <w:rsid w:val="004C5C41"/>
    <w:rsid w:val="004C7E6D"/>
    <w:rsid w:val="004D1FD0"/>
    <w:rsid w:val="004D1FFC"/>
    <w:rsid w:val="004D60ED"/>
    <w:rsid w:val="004F1153"/>
    <w:rsid w:val="004F2171"/>
    <w:rsid w:val="004F60FD"/>
    <w:rsid w:val="00500A83"/>
    <w:rsid w:val="00501172"/>
    <w:rsid w:val="005065D9"/>
    <w:rsid w:val="00507308"/>
    <w:rsid w:val="00513BE5"/>
    <w:rsid w:val="00523FAA"/>
    <w:rsid w:val="00535509"/>
    <w:rsid w:val="005357EA"/>
    <w:rsid w:val="00537389"/>
    <w:rsid w:val="00542B6D"/>
    <w:rsid w:val="005609C7"/>
    <w:rsid w:val="005714C5"/>
    <w:rsid w:val="00575FBF"/>
    <w:rsid w:val="005815CD"/>
    <w:rsid w:val="0058317F"/>
    <w:rsid w:val="00586522"/>
    <w:rsid w:val="00586C8A"/>
    <w:rsid w:val="00596217"/>
    <w:rsid w:val="00596267"/>
    <w:rsid w:val="005A058E"/>
    <w:rsid w:val="005A161A"/>
    <w:rsid w:val="005A3C26"/>
    <w:rsid w:val="005A4E74"/>
    <w:rsid w:val="005A632B"/>
    <w:rsid w:val="005B0DEE"/>
    <w:rsid w:val="005B3B25"/>
    <w:rsid w:val="005B58F7"/>
    <w:rsid w:val="005C55A9"/>
    <w:rsid w:val="005E1F20"/>
    <w:rsid w:val="005E4B59"/>
    <w:rsid w:val="005F10FD"/>
    <w:rsid w:val="005F1AAA"/>
    <w:rsid w:val="0060362A"/>
    <w:rsid w:val="00604349"/>
    <w:rsid w:val="00612729"/>
    <w:rsid w:val="00624960"/>
    <w:rsid w:val="006250EC"/>
    <w:rsid w:val="00625F7C"/>
    <w:rsid w:val="00633478"/>
    <w:rsid w:val="0063792C"/>
    <w:rsid w:val="006474FD"/>
    <w:rsid w:val="0065300C"/>
    <w:rsid w:val="00654654"/>
    <w:rsid w:val="00657A33"/>
    <w:rsid w:val="00657FF9"/>
    <w:rsid w:val="00666F7D"/>
    <w:rsid w:val="00671FEE"/>
    <w:rsid w:val="006726D5"/>
    <w:rsid w:val="00673CA0"/>
    <w:rsid w:val="006B52E2"/>
    <w:rsid w:val="006B6159"/>
    <w:rsid w:val="006B72F2"/>
    <w:rsid w:val="006C3E3F"/>
    <w:rsid w:val="006D2C3E"/>
    <w:rsid w:val="006D3961"/>
    <w:rsid w:val="006D6C12"/>
    <w:rsid w:val="006E00D6"/>
    <w:rsid w:val="006E4F31"/>
    <w:rsid w:val="006F192D"/>
    <w:rsid w:val="00702FF4"/>
    <w:rsid w:val="00704096"/>
    <w:rsid w:val="00704819"/>
    <w:rsid w:val="007140C6"/>
    <w:rsid w:val="00716837"/>
    <w:rsid w:val="00721B9F"/>
    <w:rsid w:val="00722694"/>
    <w:rsid w:val="00722C1E"/>
    <w:rsid w:val="00741FB1"/>
    <w:rsid w:val="00744891"/>
    <w:rsid w:val="007448F4"/>
    <w:rsid w:val="0075422F"/>
    <w:rsid w:val="007550AD"/>
    <w:rsid w:val="0075537D"/>
    <w:rsid w:val="0075648C"/>
    <w:rsid w:val="0076253E"/>
    <w:rsid w:val="007631B9"/>
    <w:rsid w:val="0076671A"/>
    <w:rsid w:val="0077365F"/>
    <w:rsid w:val="00777596"/>
    <w:rsid w:val="0078200B"/>
    <w:rsid w:val="00786973"/>
    <w:rsid w:val="00791DF5"/>
    <w:rsid w:val="00793787"/>
    <w:rsid w:val="007A11CA"/>
    <w:rsid w:val="007A181A"/>
    <w:rsid w:val="007B1D8E"/>
    <w:rsid w:val="007B484A"/>
    <w:rsid w:val="007D1935"/>
    <w:rsid w:val="007D2088"/>
    <w:rsid w:val="007E342D"/>
    <w:rsid w:val="007F30EF"/>
    <w:rsid w:val="007F323D"/>
    <w:rsid w:val="0080178B"/>
    <w:rsid w:val="00801E2C"/>
    <w:rsid w:val="00804B9F"/>
    <w:rsid w:val="008075AD"/>
    <w:rsid w:val="00807AAD"/>
    <w:rsid w:val="00816BEA"/>
    <w:rsid w:val="00820FAF"/>
    <w:rsid w:val="00825611"/>
    <w:rsid w:val="008501D6"/>
    <w:rsid w:val="00861AF5"/>
    <w:rsid w:val="008749E9"/>
    <w:rsid w:val="0087578C"/>
    <w:rsid w:val="00876050"/>
    <w:rsid w:val="008805D8"/>
    <w:rsid w:val="00886E5A"/>
    <w:rsid w:val="00887F2E"/>
    <w:rsid w:val="00895349"/>
    <w:rsid w:val="0089797D"/>
    <w:rsid w:val="008A44CD"/>
    <w:rsid w:val="008B7927"/>
    <w:rsid w:val="008B7FC7"/>
    <w:rsid w:val="008C520C"/>
    <w:rsid w:val="008D0863"/>
    <w:rsid w:val="008D4415"/>
    <w:rsid w:val="008E0E9D"/>
    <w:rsid w:val="008F7750"/>
    <w:rsid w:val="00901BD1"/>
    <w:rsid w:val="00902F6E"/>
    <w:rsid w:val="00904284"/>
    <w:rsid w:val="009105D0"/>
    <w:rsid w:val="009129B0"/>
    <w:rsid w:val="00913131"/>
    <w:rsid w:val="009151F2"/>
    <w:rsid w:val="00917CCC"/>
    <w:rsid w:val="009267DB"/>
    <w:rsid w:val="00931E82"/>
    <w:rsid w:val="00933641"/>
    <w:rsid w:val="0093535A"/>
    <w:rsid w:val="00940D57"/>
    <w:rsid w:val="00947E33"/>
    <w:rsid w:val="009536E3"/>
    <w:rsid w:val="00960146"/>
    <w:rsid w:val="0096204B"/>
    <w:rsid w:val="00973316"/>
    <w:rsid w:val="009823D4"/>
    <w:rsid w:val="00982839"/>
    <w:rsid w:val="00985A49"/>
    <w:rsid w:val="00986910"/>
    <w:rsid w:val="009923E6"/>
    <w:rsid w:val="009B0330"/>
    <w:rsid w:val="009B082E"/>
    <w:rsid w:val="009C2078"/>
    <w:rsid w:val="009C52CC"/>
    <w:rsid w:val="009C5E98"/>
    <w:rsid w:val="009D0F93"/>
    <w:rsid w:val="009D4A25"/>
    <w:rsid w:val="009D5F94"/>
    <w:rsid w:val="009D7531"/>
    <w:rsid w:val="009F219F"/>
    <w:rsid w:val="009F38AF"/>
    <w:rsid w:val="00A00D80"/>
    <w:rsid w:val="00A0118A"/>
    <w:rsid w:val="00A05A1B"/>
    <w:rsid w:val="00A0710A"/>
    <w:rsid w:val="00A0767C"/>
    <w:rsid w:val="00A13FAF"/>
    <w:rsid w:val="00A33F7A"/>
    <w:rsid w:val="00A357E1"/>
    <w:rsid w:val="00A53C85"/>
    <w:rsid w:val="00A54377"/>
    <w:rsid w:val="00A7501B"/>
    <w:rsid w:val="00A76C04"/>
    <w:rsid w:val="00A8696B"/>
    <w:rsid w:val="00A9404F"/>
    <w:rsid w:val="00A950F7"/>
    <w:rsid w:val="00A97DE4"/>
    <w:rsid w:val="00AA4634"/>
    <w:rsid w:val="00AA704C"/>
    <w:rsid w:val="00AA7F9E"/>
    <w:rsid w:val="00AB1F35"/>
    <w:rsid w:val="00AB2391"/>
    <w:rsid w:val="00AC44D8"/>
    <w:rsid w:val="00AE3269"/>
    <w:rsid w:val="00AE4CA0"/>
    <w:rsid w:val="00AE5354"/>
    <w:rsid w:val="00B05EFC"/>
    <w:rsid w:val="00B06630"/>
    <w:rsid w:val="00B21E88"/>
    <w:rsid w:val="00B23DA8"/>
    <w:rsid w:val="00B24DCA"/>
    <w:rsid w:val="00B337C7"/>
    <w:rsid w:val="00B36465"/>
    <w:rsid w:val="00B552A6"/>
    <w:rsid w:val="00B618D9"/>
    <w:rsid w:val="00B73783"/>
    <w:rsid w:val="00B746B2"/>
    <w:rsid w:val="00B773A1"/>
    <w:rsid w:val="00B84E0F"/>
    <w:rsid w:val="00B9121F"/>
    <w:rsid w:val="00B964DB"/>
    <w:rsid w:val="00BA63E9"/>
    <w:rsid w:val="00BC6D82"/>
    <w:rsid w:val="00BD27A3"/>
    <w:rsid w:val="00BD4D38"/>
    <w:rsid w:val="00BD5B60"/>
    <w:rsid w:val="00BE66A1"/>
    <w:rsid w:val="00BE76F7"/>
    <w:rsid w:val="00BE7DA2"/>
    <w:rsid w:val="00BF2C46"/>
    <w:rsid w:val="00BF451D"/>
    <w:rsid w:val="00BF749E"/>
    <w:rsid w:val="00C05ECC"/>
    <w:rsid w:val="00C103EE"/>
    <w:rsid w:val="00C11209"/>
    <w:rsid w:val="00C12C1E"/>
    <w:rsid w:val="00C164FD"/>
    <w:rsid w:val="00C16F4E"/>
    <w:rsid w:val="00C1726C"/>
    <w:rsid w:val="00C179D4"/>
    <w:rsid w:val="00C307AB"/>
    <w:rsid w:val="00C3119B"/>
    <w:rsid w:val="00C3180C"/>
    <w:rsid w:val="00C31FFD"/>
    <w:rsid w:val="00C33156"/>
    <w:rsid w:val="00C34D5C"/>
    <w:rsid w:val="00C34F0A"/>
    <w:rsid w:val="00C36C81"/>
    <w:rsid w:val="00C46F09"/>
    <w:rsid w:val="00C50E24"/>
    <w:rsid w:val="00C5173D"/>
    <w:rsid w:val="00C61FD3"/>
    <w:rsid w:val="00C639E2"/>
    <w:rsid w:val="00C63DFF"/>
    <w:rsid w:val="00C66EA6"/>
    <w:rsid w:val="00C72FA8"/>
    <w:rsid w:val="00C77C60"/>
    <w:rsid w:val="00C87D73"/>
    <w:rsid w:val="00C90AAB"/>
    <w:rsid w:val="00C913E6"/>
    <w:rsid w:val="00C918DE"/>
    <w:rsid w:val="00C926DD"/>
    <w:rsid w:val="00C975A6"/>
    <w:rsid w:val="00CA030D"/>
    <w:rsid w:val="00CA36E1"/>
    <w:rsid w:val="00CA51DE"/>
    <w:rsid w:val="00CA6B99"/>
    <w:rsid w:val="00CB183A"/>
    <w:rsid w:val="00CB2AED"/>
    <w:rsid w:val="00CC10F0"/>
    <w:rsid w:val="00CC1AC0"/>
    <w:rsid w:val="00CC4063"/>
    <w:rsid w:val="00CD2950"/>
    <w:rsid w:val="00CD67BD"/>
    <w:rsid w:val="00CE0759"/>
    <w:rsid w:val="00CE6419"/>
    <w:rsid w:val="00CF4EB7"/>
    <w:rsid w:val="00D019A1"/>
    <w:rsid w:val="00D036C1"/>
    <w:rsid w:val="00D103FD"/>
    <w:rsid w:val="00D12B68"/>
    <w:rsid w:val="00D25D7F"/>
    <w:rsid w:val="00D267E4"/>
    <w:rsid w:val="00D4036D"/>
    <w:rsid w:val="00D41476"/>
    <w:rsid w:val="00D4663E"/>
    <w:rsid w:val="00D47391"/>
    <w:rsid w:val="00D500C8"/>
    <w:rsid w:val="00D50E4C"/>
    <w:rsid w:val="00D626B7"/>
    <w:rsid w:val="00D65B73"/>
    <w:rsid w:val="00D820F9"/>
    <w:rsid w:val="00D833CB"/>
    <w:rsid w:val="00D849AD"/>
    <w:rsid w:val="00D9310A"/>
    <w:rsid w:val="00D93F33"/>
    <w:rsid w:val="00D94B35"/>
    <w:rsid w:val="00DA0287"/>
    <w:rsid w:val="00DA54C1"/>
    <w:rsid w:val="00DB1076"/>
    <w:rsid w:val="00DB1571"/>
    <w:rsid w:val="00DB4ECD"/>
    <w:rsid w:val="00DC13B0"/>
    <w:rsid w:val="00DC750E"/>
    <w:rsid w:val="00DD078C"/>
    <w:rsid w:val="00DD0937"/>
    <w:rsid w:val="00DD366D"/>
    <w:rsid w:val="00DD5D6D"/>
    <w:rsid w:val="00DE0EC7"/>
    <w:rsid w:val="00DE266B"/>
    <w:rsid w:val="00DE45F1"/>
    <w:rsid w:val="00DF65D4"/>
    <w:rsid w:val="00DF66DB"/>
    <w:rsid w:val="00DF6D95"/>
    <w:rsid w:val="00E0403D"/>
    <w:rsid w:val="00E07F12"/>
    <w:rsid w:val="00E101D9"/>
    <w:rsid w:val="00E1315A"/>
    <w:rsid w:val="00E20E13"/>
    <w:rsid w:val="00E22F7B"/>
    <w:rsid w:val="00E32578"/>
    <w:rsid w:val="00E43288"/>
    <w:rsid w:val="00E52BAB"/>
    <w:rsid w:val="00E5650D"/>
    <w:rsid w:val="00E612B0"/>
    <w:rsid w:val="00E679D4"/>
    <w:rsid w:val="00E71D79"/>
    <w:rsid w:val="00E73ECB"/>
    <w:rsid w:val="00E75C7E"/>
    <w:rsid w:val="00E83A37"/>
    <w:rsid w:val="00E83D78"/>
    <w:rsid w:val="00E84FA1"/>
    <w:rsid w:val="00E950BD"/>
    <w:rsid w:val="00EA6BF5"/>
    <w:rsid w:val="00EB0091"/>
    <w:rsid w:val="00EB3379"/>
    <w:rsid w:val="00EC764B"/>
    <w:rsid w:val="00EE152C"/>
    <w:rsid w:val="00EE1E1A"/>
    <w:rsid w:val="00EE2DE9"/>
    <w:rsid w:val="00EE74BE"/>
    <w:rsid w:val="00F01EB2"/>
    <w:rsid w:val="00F07241"/>
    <w:rsid w:val="00F11481"/>
    <w:rsid w:val="00F169CD"/>
    <w:rsid w:val="00F174DC"/>
    <w:rsid w:val="00F20A79"/>
    <w:rsid w:val="00F240C7"/>
    <w:rsid w:val="00F26F64"/>
    <w:rsid w:val="00F3038F"/>
    <w:rsid w:val="00F34989"/>
    <w:rsid w:val="00F37059"/>
    <w:rsid w:val="00F447B4"/>
    <w:rsid w:val="00F532EF"/>
    <w:rsid w:val="00F53312"/>
    <w:rsid w:val="00F54492"/>
    <w:rsid w:val="00F554B7"/>
    <w:rsid w:val="00F55807"/>
    <w:rsid w:val="00F55B0F"/>
    <w:rsid w:val="00F56D4B"/>
    <w:rsid w:val="00F6026A"/>
    <w:rsid w:val="00F653B9"/>
    <w:rsid w:val="00F82F5B"/>
    <w:rsid w:val="00F8475A"/>
    <w:rsid w:val="00F913FB"/>
    <w:rsid w:val="00FA38D6"/>
    <w:rsid w:val="00FA4098"/>
    <w:rsid w:val="00FB2311"/>
    <w:rsid w:val="00FC04E4"/>
    <w:rsid w:val="00FC31EB"/>
    <w:rsid w:val="00FD7360"/>
    <w:rsid w:val="00FD7A75"/>
    <w:rsid w:val="00FE64C7"/>
    <w:rsid w:val="00FE6BCB"/>
    <w:rsid w:val="00FF028B"/>
    <w:rsid w:val="00FF0AE1"/>
    <w:rsid w:val="00FF1BFF"/>
    <w:rsid w:val="00FF335E"/>
    <w:rsid w:val="00FF51E3"/>
    <w:rsid w:val="033E645D"/>
    <w:rsid w:val="09BE3732"/>
    <w:rsid w:val="0ABD5D50"/>
    <w:rsid w:val="117E2543"/>
    <w:rsid w:val="11D005A2"/>
    <w:rsid w:val="11F04BC6"/>
    <w:rsid w:val="19787E8C"/>
    <w:rsid w:val="1ECB66BE"/>
    <w:rsid w:val="24B126B0"/>
    <w:rsid w:val="255D7481"/>
    <w:rsid w:val="2EE737F8"/>
    <w:rsid w:val="2F6A3E44"/>
    <w:rsid w:val="30D4201E"/>
    <w:rsid w:val="31AE74F5"/>
    <w:rsid w:val="3761123D"/>
    <w:rsid w:val="37B207B5"/>
    <w:rsid w:val="38586A66"/>
    <w:rsid w:val="3B476C4D"/>
    <w:rsid w:val="3B744494"/>
    <w:rsid w:val="437E5E65"/>
    <w:rsid w:val="440C25C2"/>
    <w:rsid w:val="44784A23"/>
    <w:rsid w:val="45BD2E69"/>
    <w:rsid w:val="47274ACF"/>
    <w:rsid w:val="49A05EFF"/>
    <w:rsid w:val="506E2057"/>
    <w:rsid w:val="51446A00"/>
    <w:rsid w:val="52577960"/>
    <w:rsid w:val="551E65CE"/>
    <w:rsid w:val="59D11662"/>
    <w:rsid w:val="5AFF6322"/>
    <w:rsid w:val="5B7F2F78"/>
    <w:rsid w:val="5CB016B3"/>
    <w:rsid w:val="5D177188"/>
    <w:rsid w:val="5DE62509"/>
    <w:rsid w:val="60107137"/>
    <w:rsid w:val="6501340F"/>
    <w:rsid w:val="73AB6CDE"/>
    <w:rsid w:val="75102E5E"/>
    <w:rsid w:val="79901D99"/>
    <w:rsid w:val="7BBB6ED6"/>
    <w:rsid w:val="7C2147AC"/>
    <w:rsid w:val="7D4F6073"/>
    <w:rsid w:val="7D6A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52"/>
    <w:qFormat/>
    <w:uiPriority w:val="9"/>
    <w:pPr>
      <w:keepNext/>
      <w:jc w:val="center"/>
      <w:outlineLvl w:val="0"/>
    </w:pPr>
    <w:rPr>
      <w:rFonts w:ascii="楷体_GB2312" w:eastAsia="楷体_GB2312"/>
      <w:b/>
      <w:sz w:val="28"/>
    </w:rPr>
  </w:style>
  <w:style w:type="paragraph" w:styleId="4">
    <w:name w:val="heading 2"/>
    <w:basedOn w:val="1"/>
    <w:next w:val="1"/>
    <w:link w:val="53"/>
    <w:qFormat/>
    <w:uiPriority w:val="9"/>
    <w:pPr>
      <w:keepNext/>
      <w:jc w:val="center"/>
      <w:outlineLvl w:val="1"/>
    </w:pPr>
    <w:rPr>
      <w:rFonts w:ascii="楷体_GB2312" w:eastAsia="楷体_GB2312"/>
      <w:b/>
      <w:bCs/>
      <w:sz w:val="18"/>
    </w:rPr>
  </w:style>
  <w:style w:type="paragraph" w:styleId="5">
    <w:name w:val="heading 3"/>
    <w:basedOn w:val="1"/>
    <w:next w:val="1"/>
    <w:link w:val="54"/>
    <w:qFormat/>
    <w:uiPriority w:val="9"/>
    <w:pPr>
      <w:keepNext/>
      <w:jc w:val="center"/>
      <w:outlineLvl w:val="2"/>
    </w:pPr>
    <w:rPr>
      <w:rFonts w:eastAsia="楷体_GB2312"/>
      <w:b/>
      <w:bCs/>
      <w:sz w:val="15"/>
    </w:rPr>
  </w:style>
  <w:style w:type="paragraph" w:styleId="6">
    <w:name w:val="heading 4"/>
    <w:basedOn w:val="1"/>
    <w:next w:val="1"/>
    <w:link w:val="55"/>
    <w:qFormat/>
    <w:uiPriority w:val="9"/>
    <w:pPr>
      <w:keepNext/>
      <w:jc w:val="center"/>
      <w:outlineLvl w:val="3"/>
    </w:pPr>
    <w:rPr>
      <w:rFonts w:eastAsia="楷体_GB2312"/>
      <w:b/>
      <w:bCs/>
      <w:sz w:val="13"/>
    </w:rPr>
  </w:style>
  <w:style w:type="paragraph" w:styleId="7">
    <w:name w:val="heading 5"/>
    <w:basedOn w:val="1"/>
    <w:next w:val="1"/>
    <w:link w:val="56"/>
    <w:qFormat/>
    <w:uiPriority w:val="9"/>
    <w:pPr>
      <w:keepNext/>
      <w:tabs>
        <w:tab w:val="left" w:pos="360"/>
      </w:tabs>
      <w:ind w:left="360" w:hanging="360"/>
      <w:outlineLvl w:val="4"/>
    </w:pPr>
    <w:rPr>
      <w:rFonts w:ascii="楷体_GB2312" w:eastAsia="楷体_GB2312"/>
      <w:bCs/>
      <w:sz w:val="28"/>
    </w:rPr>
  </w:style>
  <w:style w:type="paragraph" w:styleId="8">
    <w:name w:val="heading 6"/>
    <w:basedOn w:val="1"/>
    <w:next w:val="1"/>
    <w:link w:val="57"/>
    <w:qFormat/>
    <w:uiPriority w:val="0"/>
    <w:pPr>
      <w:keepNext/>
      <w:outlineLvl w:val="5"/>
    </w:pPr>
    <w:rPr>
      <w:rFonts w:ascii="黑体"/>
      <w:b/>
      <w:bCs/>
    </w:rPr>
  </w:style>
  <w:style w:type="paragraph" w:styleId="9">
    <w:name w:val="heading 7"/>
    <w:basedOn w:val="1"/>
    <w:next w:val="1"/>
    <w:link w:val="58"/>
    <w:qFormat/>
    <w:uiPriority w:val="0"/>
    <w:pPr>
      <w:keepNext/>
      <w:tabs>
        <w:tab w:val="left" w:pos="360"/>
      </w:tabs>
      <w:ind w:left="360" w:hanging="360"/>
      <w:outlineLvl w:val="6"/>
    </w:pPr>
    <w:rPr>
      <w:rFonts w:ascii="楷体_GB2312" w:eastAsia="楷体_GB2312"/>
      <w:bCs/>
      <w:color w:val="FF0000"/>
      <w:sz w:val="28"/>
    </w:rPr>
  </w:style>
  <w:style w:type="paragraph" w:styleId="10">
    <w:name w:val="heading 8"/>
    <w:basedOn w:val="1"/>
    <w:next w:val="1"/>
    <w:link w:val="59"/>
    <w:qFormat/>
    <w:uiPriority w:val="0"/>
    <w:pPr>
      <w:keepNext/>
      <w:keepLines/>
      <w:tabs>
        <w:tab w:val="left" w:pos="0"/>
      </w:tabs>
      <w:adjustRightInd w:val="0"/>
      <w:spacing w:before="240" w:after="64" w:line="320" w:lineRule="auto"/>
      <w:jc w:val="left"/>
      <w:textAlignment w:val="baseline"/>
      <w:outlineLvl w:val="7"/>
    </w:pPr>
    <w:rPr>
      <w:rFonts w:ascii="Arial" w:hAnsi="Arial" w:eastAsia="黑体"/>
      <w:kern w:val="0"/>
      <w:sz w:val="24"/>
      <w:szCs w:val="28"/>
    </w:rPr>
  </w:style>
  <w:style w:type="paragraph" w:styleId="11">
    <w:name w:val="heading 9"/>
    <w:basedOn w:val="1"/>
    <w:next w:val="1"/>
    <w:link w:val="60"/>
    <w:qFormat/>
    <w:uiPriority w:val="0"/>
    <w:pPr>
      <w:keepNext/>
      <w:keepLines/>
      <w:tabs>
        <w:tab w:val="left" w:pos="0"/>
      </w:tabs>
      <w:adjustRightInd w:val="0"/>
      <w:spacing w:before="240" w:after="64" w:line="320" w:lineRule="auto"/>
      <w:jc w:val="left"/>
      <w:textAlignment w:val="baseline"/>
      <w:outlineLvl w:val="8"/>
    </w:pPr>
    <w:rPr>
      <w:rFonts w:ascii="Arial" w:hAnsi="Arial" w:eastAsia="黑体"/>
      <w:kern w:val="0"/>
      <w:sz w:val="24"/>
      <w:szCs w:val="28"/>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6"/>
    <w:unhideWhenUsed/>
    <w:qFormat/>
    <w:uiPriority w:val="0"/>
    <w:pPr>
      <w:spacing w:after="120"/>
    </w:pPr>
  </w:style>
  <w:style w:type="paragraph" w:styleId="12">
    <w:name w:val="toc 7"/>
    <w:basedOn w:val="1"/>
    <w:next w:val="1"/>
    <w:qFormat/>
    <w:uiPriority w:val="0"/>
    <w:pPr>
      <w:ind w:left="1260"/>
      <w:jc w:val="left"/>
    </w:pPr>
    <w:rPr>
      <w:sz w:val="18"/>
    </w:rPr>
  </w:style>
  <w:style w:type="paragraph" w:styleId="13">
    <w:name w:val="Normal Indent"/>
    <w:basedOn w:val="1"/>
    <w:link w:val="89"/>
    <w:qFormat/>
    <w:uiPriority w:val="0"/>
    <w:pPr>
      <w:ind w:firstLine="420"/>
    </w:pPr>
    <w:rPr>
      <w:rFonts w:ascii="Calibri" w:hAnsi="Calibri"/>
      <w:szCs w:val="22"/>
    </w:rPr>
  </w:style>
  <w:style w:type="paragraph" w:styleId="14">
    <w:name w:val="caption"/>
    <w:basedOn w:val="1"/>
    <w:next w:val="1"/>
    <w:qFormat/>
    <w:uiPriority w:val="0"/>
    <w:pPr>
      <w:ind w:left="210" w:leftChars="100" w:firstLine="420"/>
    </w:pPr>
    <w:rPr>
      <w:rFonts w:ascii="Calibri Light" w:hAnsi="Calibri Light" w:eastAsia="黑体"/>
      <w:sz w:val="20"/>
    </w:rPr>
  </w:style>
  <w:style w:type="paragraph" w:styleId="15">
    <w:name w:val="Document Map"/>
    <w:basedOn w:val="1"/>
    <w:link w:val="63"/>
    <w:semiHidden/>
    <w:qFormat/>
    <w:uiPriority w:val="0"/>
    <w:pPr>
      <w:shd w:val="clear" w:color="auto" w:fill="000080"/>
    </w:pPr>
    <w:rPr>
      <w:rFonts w:asciiTheme="minorHAnsi" w:hAnsiTheme="minorHAnsi" w:eastAsiaTheme="minorEastAsia" w:cstheme="minorBidi"/>
      <w:szCs w:val="22"/>
    </w:rPr>
  </w:style>
  <w:style w:type="paragraph" w:styleId="16">
    <w:name w:val="annotation text"/>
    <w:basedOn w:val="1"/>
    <w:link w:val="87"/>
    <w:qFormat/>
    <w:uiPriority w:val="99"/>
    <w:pPr>
      <w:jc w:val="left"/>
    </w:pPr>
    <w:rPr>
      <w:rFonts w:ascii="Calibri" w:hAnsi="Calibri"/>
      <w:szCs w:val="22"/>
    </w:rPr>
  </w:style>
  <w:style w:type="paragraph" w:styleId="17">
    <w:name w:val="Body Text Indent"/>
    <w:basedOn w:val="1"/>
    <w:link w:val="68"/>
    <w:qFormat/>
    <w:uiPriority w:val="99"/>
    <w:pPr>
      <w:ind w:firstLine="576"/>
    </w:pPr>
    <w:rPr>
      <w:rFonts w:asciiTheme="minorHAnsi" w:hAnsiTheme="minorHAnsi" w:eastAsiaTheme="minorEastAsia" w:cstheme="minorBidi"/>
      <w:b/>
      <w:sz w:val="30"/>
      <w:szCs w:val="22"/>
    </w:rPr>
  </w:style>
  <w:style w:type="paragraph" w:styleId="18">
    <w:name w:val="Block Text"/>
    <w:basedOn w:val="1"/>
    <w:qFormat/>
    <w:uiPriority w:val="0"/>
    <w:pPr>
      <w:adjustRightInd w:val="0"/>
      <w:ind w:left="420" w:right="33"/>
      <w:jc w:val="left"/>
      <w:textAlignment w:val="baseline"/>
    </w:pPr>
    <w:rPr>
      <w:kern w:val="0"/>
      <w:sz w:val="24"/>
    </w:rPr>
  </w:style>
  <w:style w:type="paragraph" w:styleId="19">
    <w:name w:val="toc 5"/>
    <w:basedOn w:val="1"/>
    <w:next w:val="1"/>
    <w:qFormat/>
    <w:uiPriority w:val="0"/>
    <w:pPr>
      <w:ind w:left="840"/>
      <w:jc w:val="left"/>
    </w:pPr>
    <w:rPr>
      <w:sz w:val="18"/>
    </w:rPr>
  </w:style>
  <w:style w:type="paragraph" w:styleId="20">
    <w:name w:val="toc 3"/>
    <w:basedOn w:val="1"/>
    <w:next w:val="1"/>
    <w:qFormat/>
    <w:uiPriority w:val="39"/>
    <w:pPr>
      <w:ind w:left="420"/>
      <w:jc w:val="left"/>
    </w:pPr>
    <w:rPr>
      <w:i/>
      <w:sz w:val="20"/>
    </w:rPr>
  </w:style>
  <w:style w:type="paragraph" w:styleId="21">
    <w:name w:val="Plain Text"/>
    <w:basedOn w:val="1"/>
    <w:link w:val="67"/>
    <w:qFormat/>
    <w:uiPriority w:val="0"/>
    <w:rPr>
      <w:rFonts w:ascii="宋体" w:hAnsi="Courier New" w:eastAsiaTheme="minorEastAsia" w:cstheme="minorBidi"/>
      <w:szCs w:val="22"/>
    </w:rPr>
  </w:style>
  <w:style w:type="paragraph" w:styleId="22">
    <w:name w:val="toc 8"/>
    <w:basedOn w:val="1"/>
    <w:next w:val="1"/>
    <w:qFormat/>
    <w:uiPriority w:val="0"/>
    <w:pPr>
      <w:ind w:left="1470"/>
      <w:jc w:val="left"/>
    </w:pPr>
    <w:rPr>
      <w:sz w:val="18"/>
    </w:rPr>
  </w:style>
  <w:style w:type="paragraph" w:styleId="23">
    <w:name w:val="Date"/>
    <w:basedOn w:val="1"/>
    <w:next w:val="1"/>
    <w:link w:val="84"/>
    <w:qFormat/>
    <w:uiPriority w:val="0"/>
    <w:rPr>
      <w:rFonts w:eastAsia="黑体" w:asciiTheme="minorHAnsi" w:hAnsiTheme="minorHAnsi" w:cstheme="minorBidi"/>
      <w:b/>
      <w:sz w:val="36"/>
      <w:szCs w:val="22"/>
    </w:rPr>
  </w:style>
  <w:style w:type="paragraph" w:styleId="24">
    <w:name w:val="Body Text Indent 2"/>
    <w:basedOn w:val="1"/>
    <w:link w:val="86"/>
    <w:qFormat/>
    <w:uiPriority w:val="0"/>
    <w:pPr>
      <w:ind w:left="900"/>
    </w:pPr>
    <w:rPr>
      <w:rFonts w:ascii="楷体_GB2312" w:eastAsia="楷体_GB2312" w:hAnsiTheme="minorHAnsi" w:cstheme="minorBidi"/>
      <w:b/>
      <w:sz w:val="28"/>
      <w:szCs w:val="22"/>
    </w:rPr>
  </w:style>
  <w:style w:type="paragraph" w:styleId="25">
    <w:name w:val="Balloon Text"/>
    <w:basedOn w:val="1"/>
    <w:link w:val="85"/>
    <w:unhideWhenUsed/>
    <w:qFormat/>
    <w:uiPriority w:val="99"/>
    <w:rPr>
      <w:rFonts w:ascii="Calibri" w:hAnsi="Calibri" w:eastAsiaTheme="minorEastAsia" w:cstheme="minorBidi"/>
      <w:sz w:val="18"/>
      <w:szCs w:val="18"/>
    </w:rPr>
  </w:style>
  <w:style w:type="paragraph" w:styleId="26">
    <w:name w:val="footer"/>
    <w:basedOn w:val="1"/>
    <w:link w:val="81"/>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27">
    <w:name w:val="header"/>
    <w:basedOn w:val="1"/>
    <w:link w:val="69"/>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22"/>
    </w:rPr>
  </w:style>
  <w:style w:type="paragraph" w:styleId="28">
    <w:name w:val="toc 1"/>
    <w:basedOn w:val="1"/>
    <w:next w:val="1"/>
    <w:qFormat/>
    <w:uiPriority w:val="39"/>
    <w:pPr>
      <w:spacing w:before="120" w:after="120"/>
      <w:jc w:val="left"/>
    </w:pPr>
    <w:rPr>
      <w:b/>
      <w:caps/>
      <w:sz w:val="20"/>
    </w:rPr>
  </w:style>
  <w:style w:type="paragraph" w:styleId="29">
    <w:name w:val="toc 4"/>
    <w:basedOn w:val="1"/>
    <w:next w:val="1"/>
    <w:qFormat/>
    <w:uiPriority w:val="0"/>
    <w:pPr>
      <w:ind w:left="630"/>
      <w:jc w:val="left"/>
    </w:pPr>
    <w:rPr>
      <w:sz w:val="18"/>
    </w:rPr>
  </w:style>
  <w:style w:type="paragraph" w:styleId="30">
    <w:name w:val="List"/>
    <w:basedOn w:val="1"/>
    <w:qFormat/>
    <w:uiPriority w:val="0"/>
    <w:pPr>
      <w:ind w:left="200" w:hanging="200" w:hangingChars="200"/>
      <w:contextualSpacing/>
    </w:pPr>
  </w:style>
  <w:style w:type="paragraph" w:styleId="31">
    <w:name w:val="toc 6"/>
    <w:basedOn w:val="1"/>
    <w:next w:val="1"/>
    <w:qFormat/>
    <w:uiPriority w:val="0"/>
    <w:pPr>
      <w:ind w:left="1050"/>
      <w:jc w:val="left"/>
    </w:pPr>
    <w:rPr>
      <w:sz w:val="18"/>
    </w:rPr>
  </w:style>
  <w:style w:type="paragraph" w:styleId="32">
    <w:name w:val="Body Text Indent 3"/>
    <w:basedOn w:val="1"/>
    <w:link w:val="88"/>
    <w:qFormat/>
    <w:uiPriority w:val="0"/>
    <w:pPr>
      <w:ind w:left="359" w:leftChars="171" w:firstLine="359" w:firstLineChars="171"/>
    </w:pPr>
    <w:rPr>
      <w:rFonts w:ascii="Calibri" w:hAnsi="Calibri"/>
      <w:szCs w:val="22"/>
    </w:rPr>
  </w:style>
  <w:style w:type="paragraph" w:styleId="33">
    <w:name w:val="toc 2"/>
    <w:basedOn w:val="1"/>
    <w:next w:val="1"/>
    <w:qFormat/>
    <w:uiPriority w:val="39"/>
    <w:pPr>
      <w:ind w:left="210"/>
      <w:jc w:val="left"/>
    </w:pPr>
    <w:rPr>
      <w:smallCaps/>
      <w:sz w:val="20"/>
    </w:rPr>
  </w:style>
  <w:style w:type="paragraph" w:styleId="34">
    <w:name w:val="toc 9"/>
    <w:basedOn w:val="1"/>
    <w:next w:val="1"/>
    <w:qFormat/>
    <w:uiPriority w:val="0"/>
    <w:pPr>
      <w:ind w:left="1680"/>
      <w:jc w:val="left"/>
    </w:pPr>
    <w:rPr>
      <w:sz w:val="18"/>
    </w:rPr>
  </w:style>
  <w:style w:type="paragraph" w:styleId="35">
    <w:name w:val="Body Text 2"/>
    <w:basedOn w:val="1"/>
    <w:link w:val="71"/>
    <w:qFormat/>
    <w:uiPriority w:val="0"/>
    <w:pPr>
      <w:spacing w:after="120" w:line="480" w:lineRule="auto"/>
    </w:pPr>
    <w:rPr>
      <w:rFonts w:ascii="Calibri" w:hAnsi="Calibri"/>
      <w:szCs w:val="22"/>
    </w:rPr>
  </w:style>
  <w:style w:type="paragraph" w:styleId="36">
    <w:name w:val="HTML Preformatted"/>
    <w:basedOn w:val="1"/>
    <w:link w:val="287"/>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7">
    <w:name w:val="Normal (Web)"/>
    <w:basedOn w:val="1"/>
    <w:link w:val="184"/>
    <w:unhideWhenUsed/>
    <w:qFormat/>
    <w:uiPriority w:val="99"/>
    <w:pPr>
      <w:widowControl/>
      <w:spacing w:before="100" w:beforeAutospacing="1" w:after="100" w:afterAutospacing="1"/>
      <w:jc w:val="left"/>
    </w:pPr>
    <w:rPr>
      <w:rFonts w:ascii="宋体" w:hAnsi="宋体" w:cs="宋体"/>
      <w:kern w:val="0"/>
      <w:sz w:val="24"/>
      <w:szCs w:val="24"/>
    </w:rPr>
  </w:style>
  <w:style w:type="paragraph" w:styleId="38">
    <w:name w:val="Title"/>
    <w:basedOn w:val="1"/>
    <w:link w:val="64"/>
    <w:qFormat/>
    <w:uiPriority w:val="0"/>
    <w:pPr>
      <w:jc w:val="center"/>
    </w:pPr>
    <w:rPr>
      <w:rFonts w:ascii="宋体" w:hAnsi="宋体" w:eastAsiaTheme="minorEastAsia" w:cstheme="minorBidi"/>
      <w:sz w:val="30"/>
      <w:szCs w:val="30"/>
    </w:rPr>
  </w:style>
  <w:style w:type="paragraph" w:styleId="39">
    <w:name w:val="annotation subject"/>
    <w:basedOn w:val="16"/>
    <w:next w:val="16"/>
    <w:link w:val="79"/>
    <w:unhideWhenUsed/>
    <w:qFormat/>
    <w:uiPriority w:val="99"/>
    <w:rPr>
      <w:rFonts w:asciiTheme="minorHAnsi" w:hAnsiTheme="minorHAnsi" w:eastAsiaTheme="minorEastAsia" w:cstheme="minorBidi"/>
      <w:b/>
      <w:bCs/>
    </w:rPr>
  </w:style>
  <w:style w:type="paragraph" w:styleId="40">
    <w:name w:val="Body Text First Indent"/>
    <w:basedOn w:val="2"/>
    <w:link w:val="66"/>
    <w:unhideWhenUsed/>
    <w:qFormat/>
    <w:uiPriority w:val="0"/>
    <w:pPr>
      <w:ind w:firstLine="420" w:firstLineChars="100"/>
    </w:pPr>
    <w:rPr>
      <w:rFonts w:ascii="华文中宋" w:hAnsi="Calibri" w:eastAsia="华文中宋" w:cstheme="minorBidi"/>
      <w:bCs/>
      <w:szCs w:val="22"/>
    </w:rPr>
  </w:style>
  <w:style w:type="table" w:styleId="42">
    <w:name w:val="Table Grid"/>
    <w:basedOn w:val="41"/>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4">
    <w:name w:val="Strong"/>
    <w:qFormat/>
    <w:uiPriority w:val="22"/>
    <w:rPr>
      <w:b/>
      <w:bCs/>
    </w:rPr>
  </w:style>
  <w:style w:type="character" w:styleId="45">
    <w:name w:val="page number"/>
    <w:qFormat/>
    <w:uiPriority w:val="0"/>
  </w:style>
  <w:style w:type="character" w:styleId="46">
    <w:name w:val="FollowedHyperlink"/>
    <w:semiHidden/>
    <w:unhideWhenUsed/>
    <w:qFormat/>
    <w:uiPriority w:val="99"/>
    <w:rPr>
      <w:color w:val="800080"/>
      <w:u w:val="single"/>
    </w:rPr>
  </w:style>
  <w:style w:type="character" w:styleId="47">
    <w:name w:val="Emphasis"/>
    <w:qFormat/>
    <w:uiPriority w:val="20"/>
    <w:rPr>
      <w:i/>
      <w:iCs/>
    </w:rPr>
  </w:style>
  <w:style w:type="character" w:styleId="48">
    <w:name w:val="HTML Typewriter"/>
    <w:qFormat/>
    <w:uiPriority w:val="0"/>
    <w:rPr>
      <w:rFonts w:ascii="宋体" w:hAnsi="宋体" w:eastAsia="宋体" w:cs="宋体"/>
      <w:sz w:val="24"/>
      <w:szCs w:val="24"/>
    </w:rPr>
  </w:style>
  <w:style w:type="character" w:styleId="49">
    <w:name w:val="Hyperlink"/>
    <w:qFormat/>
    <w:uiPriority w:val="99"/>
    <w:rPr>
      <w:color w:val="auto"/>
      <w:u w:val="none"/>
    </w:rPr>
  </w:style>
  <w:style w:type="character" w:styleId="50">
    <w:name w:val="HTML Code"/>
    <w:unhideWhenUsed/>
    <w:qFormat/>
    <w:uiPriority w:val="99"/>
    <w:rPr>
      <w:rFonts w:ascii="Courier New" w:hAnsi="Courier New"/>
      <w:sz w:val="20"/>
    </w:rPr>
  </w:style>
  <w:style w:type="character" w:styleId="51">
    <w:name w:val="annotation reference"/>
    <w:qFormat/>
    <w:uiPriority w:val="99"/>
    <w:rPr>
      <w:sz w:val="21"/>
      <w:szCs w:val="21"/>
    </w:rPr>
  </w:style>
  <w:style w:type="character" w:customStyle="1" w:styleId="52">
    <w:name w:val="标题 1 Char"/>
    <w:basedOn w:val="43"/>
    <w:link w:val="3"/>
    <w:qFormat/>
    <w:uiPriority w:val="9"/>
    <w:rPr>
      <w:rFonts w:ascii="楷体_GB2312" w:hAnsi="Times New Roman" w:eastAsia="楷体_GB2312" w:cs="Times New Roman"/>
      <w:b/>
      <w:sz w:val="28"/>
      <w:szCs w:val="20"/>
    </w:rPr>
  </w:style>
  <w:style w:type="character" w:customStyle="1" w:styleId="53">
    <w:name w:val="标题 2 Char"/>
    <w:basedOn w:val="43"/>
    <w:link w:val="4"/>
    <w:qFormat/>
    <w:uiPriority w:val="9"/>
    <w:rPr>
      <w:rFonts w:ascii="楷体_GB2312" w:hAnsi="Times New Roman" w:eastAsia="楷体_GB2312" w:cs="Times New Roman"/>
      <w:b/>
      <w:bCs/>
      <w:sz w:val="18"/>
      <w:szCs w:val="20"/>
    </w:rPr>
  </w:style>
  <w:style w:type="character" w:customStyle="1" w:styleId="54">
    <w:name w:val="标题 3 Char"/>
    <w:basedOn w:val="43"/>
    <w:link w:val="5"/>
    <w:qFormat/>
    <w:uiPriority w:val="9"/>
    <w:rPr>
      <w:rFonts w:ascii="Times New Roman" w:hAnsi="Times New Roman" w:eastAsia="楷体_GB2312" w:cs="Times New Roman"/>
      <w:b/>
      <w:bCs/>
      <w:sz w:val="15"/>
      <w:szCs w:val="20"/>
    </w:rPr>
  </w:style>
  <w:style w:type="character" w:customStyle="1" w:styleId="55">
    <w:name w:val="标题 4 Char"/>
    <w:basedOn w:val="43"/>
    <w:link w:val="6"/>
    <w:qFormat/>
    <w:uiPriority w:val="9"/>
    <w:rPr>
      <w:rFonts w:ascii="Times New Roman" w:hAnsi="Times New Roman" w:eastAsia="楷体_GB2312" w:cs="Times New Roman"/>
      <w:b/>
      <w:bCs/>
      <w:sz w:val="13"/>
      <w:szCs w:val="20"/>
    </w:rPr>
  </w:style>
  <w:style w:type="character" w:customStyle="1" w:styleId="56">
    <w:name w:val="标题 5 Char"/>
    <w:basedOn w:val="43"/>
    <w:link w:val="7"/>
    <w:qFormat/>
    <w:uiPriority w:val="9"/>
    <w:rPr>
      <w:rFonts w:ascii="楷体_GB2312" w:hAnsi="Times New Roman" w:eastAsia="楷体_GB2312" w:cs="Times New Roman"/>
      <w:bCs/>
      <w:sz w:val="28"/>
      <w:szCs w:val="20"/>
    </w:rPr>
  </w:style>
  <w:style w:type="character" w:customStyle="1" w:styleId="57">
    <w:name w:val="标题 6 Char"/>
    <w:basedOn w:val="43"/>
    <w:link w:val="8"/>
    <w:qFormat/>
    <w:uiPriority w:val="0"/>
    <w:rPr>
      <w:rFonts w:ascii="黑体" w:hAnsi="Times New Roman" w:eastAsia="宋体" w:cs="Times New Roman"/>
      <w:b/>
      <w:bCs/>
      <w:szCs w:val="20"/>
    </w:rPr>
  </w:style>
  <w:style w:type="character" w:customStyle="1" w:styleId="58">
    <w:name w:val="标题 7 Char"/>
    <w:basedOn w:val="43"/>
    <w:link w:val="9"/>
    <w:qFormat/>
    <w:uiPriority w:val="0"/>
    <w:rPr>
      <w:rFonts w:ascii="楷体_GB2312" w:hAnsi="Times New Roman" w:eastAsia="楷体_GB2312" w:cs="Times New Roman"/>
      <w:bCs/>
      <w:color w:val="FF0000"/>
      <w:sz w:val="28"/>
      <w:szCs w:val="20"/>
    </w:rPr>
  </w:style>
  <w:style w:type="character" w:customStyle="1" w:styleId="59">
    <w:name w:val="标题 8 Char"/>
    <w:basedOn w:val="43"/>
    <w:link w:val="10"/>
    <w:qFormat/>
    <w:uiPriority w:val="0"/>
    <w:rPr>
      <w:rFonts w:ascii="Arial" w:hAnsi="Arial" w:eastAsia="黑体" w:cs="Times New Roman"/>
      <w:kern w:val="0"/>
      <w:sz w:val="24"/>
      <w:szCs w:val="28"/>
    </w:rPr>
  </w:style>
  <w:style w:type="character" w:customStyle="1" w:styleId="60">
    <w:name w:val="标题 9 Char"/>
    <w:basedOn w:val="43"/>
    <w:link w:val="11"/>
    <w:qFormat/>
    <w:uiPriority w:val="0"/>
    <w:rPr>
      <w:rFonts w:ascii="Arial" w:hAnsi="Arial" w:eastAsia="黑体" w:cs="Times New Roman"/>
      <w:kern w:val="0"/>
      <w:sz w:val="24"/>
      <w:szCs w:val="28"/>
    </w:rPr>
  </w:style>
  <w:style w:type="character" w:customStyle="1" w:styleId="61">
    <w:name w:val="文档-正文 Char"/>
    <w:link w:val="62"/>
    <w:qFormat/>
    <w:uiPriority w:val="0"/>
    <w:rPr>
      <w:rFonts w:ascii="Arial" w:hAnsi="Arial" w:cs="Arial"/>
      <w:sz w:val="24"/>
    </w:rPr>
  </w:style>
  <w:style w:type="paragraph" w:customStyle="1" w:styleId="62">
    <w:name w:val="文档-正文"/>
    <w:basedOn w:val="1"/>
    <w:link w:val="61"/>
    <w:qFormat/>
    <w:uiPriority w:val="0"/>
    <w:pPr>
      <w:widowControl/>
      <w:spacing w:line="360" w:lineRule="auto"/>
      <w:ind w:firstLine="200" w:firstLineChars="200"/>
      <w:jc w:val="left"/>
    </w:pPr>
    <w:rPr>
      <w:rFonts w:ascii="Arial" w:hAnsi="Arial" w:cs="Arial" w:eastAsiaTheme="minorEastAsia"/>
      <w:sz w:val="24"/>
      <w:szCs w:val="22"/>
    </w:rPr>
  </w:style>
  <w:style w:type="character" w:customStyle="1" w:styleId="63">
    <w:name w:val="文档结构图 Char"/>
    <w:link w:val="15"/>
    <w:semiHidden/>
    <w:qFormat/>
    <w:uiPriority w:val="0"/>
    <w:rPr>
      <w:shd w:val="clear" w:color="auto" w:fill="000080"/>
    </w:rPr>
  </w:style>
  <w:style w:type="character" w:customStyle="1" w:styleId="64">
    <w:name w:val="标题 Char"/>
    <w:link w:val="38"/>
    <w:qFormat/>
    <w:locked/>
    <w:uiPriority w:val="0"/>
    <w:rPr>
      <w:rFonts w:ascii="宋体" w:hAnsi="宋体"/>
      <w:sz w:val="30"/>
      <w:szCs w:val="30"/>
    </w:rPr>
  </w:style>
  <w:style w:type="character" w:customStyle="1" w:styleId="65">
    <w:name w:val="正文文本 Char"/>
    <w:qFormat/>
    <w:uiPriority w:val="0"/>
    <w:rPr>
      <w:rFonts w:ascii="华文中宋" w:hAnsi="Calibri" w:eastAsia="华文中宋" w:cs="Times New Roman"/>
      <w:bCs/>
      <w:sz w:val="28"/>
    </w:rPr>
  </w:style>
  <w:style w:type="character" w:customStyle="1" w:styleId="66">
    <w:name w:val="正文首行缩进 Char"/>
    <w:link w:val="40"/>
    <w:qFormat/>
    <w:uiPriority w:val="0"/>
    <w:rPr>
      <w:rFonts w:ascii="华文中宋" w:hAnsi="Calibri" w:eastAsia="华文中宋"/>
      <w:bCs/>
    </w:rPr>
  </w:style>
  <w:style w:type="character" w:customStyle="1" w:styleId="67">
    <w:name w:val="纯文本 Char"/>
    <w:link w:val="21"/>
    <w:qFormat/>
    <w:uiPriority w:val="99"/>
    <w:rPr>
      <w:rFonts w:ascii="宋体" w:hAnsi="Courier New"/>
    </w:rPr>
  </w:style>
  <w:style w:type="character" w:customStyle="1" w:styleId="68">
    <w:name w:val="正文文本缩进 Char"/>
    <w:link w:val="17"/>
    <w:qFormat/>
    <w:uiPriority w:val="99"/>
    <w:rPr>
      <w:b/>
      <w:sz w:val="30"/>
    </w:rPr>
  </w:style>
  <w:style w:type="character" w:customStyle="1" w:styleId="69">
    <w:name w:val="页眉 Char"/>
    <w:link w:val="27"/>
    <w:qFormat/>
    <w:uiPriority w:val="0"/>
    <w:rPr>
      <w:sz w:val="18"/>
    </w:rPr>
  </w:style>
  <w:style w:type="character" w:customStyle="1" w:styleId="70">
    <w:name w:val="标题 Char1"/>
    <w:qFormat/>
    <w:uiPriority w:val="0"/>
    <w:rPr>
      <w:rFonts w:ascii="Cambria" w:hAnsi="Cambria" w:cs="Times New Roman"/>
      <w:b/>
      <w:bCs/>
      <w:kern w:val="2"/>
      <w:sz w:val="32"/>
      <w:szCs w:val="32"/>
    </w:rPr>
  </w:style>
  <w:style w:type="character" w:customStyle="1" w:styleId="71">
    <w:name w:val="正文文本 2 Char"/>
    <w:link w:val="35"/>
    <w:qFormat/>
    <w:uiPriority w:val="0"/>
    <w:rPr>
      <w:rFonts w:ascii="Calibri" w:hAnsi="Calibri" w:eastAsia="宋体" w:cs="Times New Roman"/>
    </w:rPr>
  </w:style>
  <w:style w:type="character" w:customStyle="1" w:styleId="72">
    <w:name w:val="正文文本 Char1"/>
    <w:qFormat/>
    <w:uiPriority w:val="0"/>
    <w:rPr>
      <w:rFonts w:ascii="华文中宋" w:eastAsia="华文中宋"/>
      <w:bCs/>
      <w:kern w:val="2"/>
      <w:sz w:val="28"/>
    </w:rPr>
  </w:style>
  <w:style w:type="character" w:customStyle="1" w:styleId="73">
    <w:name w:val="列出段落 Char"/>
    <w:link w:val="74"/>
    <w:qFormat/>
    <w:uiPriority w:val="99"/>
    <w:rPr>
      <w:rFonts w:ascii="Calibri" w:hAnsi="Calibri"/>
    </w:rPr>
  </w:style>
  <w:style w:type="paragraph" w:styleId="74">
    <w:name w:val="List Paragraph"/>
    <w:basedOn w:val="1"/>
    <w:link w:val="73"/>
    <w:qFormat/>
    <w:uiPriority w:val="99"/>
    <w:pPr>
      <w:ind w:firstLine="420" w:firstLineChars="200"/>
    </w:pPr>
    <w:rPr>
      <w:rFonts w:ascii="Calibri" w:hAnsi="Calibri" w:eastAsiaTheme="minorEastAsia" w:cstheme="minorBidi"/>
      <w:szCs w:val="22"/>
    </w:rPr>
  </w:style>
  <w:style w:type="character" w:customStyle="1" w:styleId="75">
    <w:name w:val="case31"/>
    <w:qFormat/>
    <w:uiPriority w:val="0"/>
    <w:rPr>
      <w:rFonts w:hint="default"/>
      <w:sz w:val="21"/>
      <w:szCs w:val="21"/>
    </w:rPr>
  </w:style>
  <w:style w:type="character" w:customStyle="1" w:styleId="76">
    <w:name w:val="正文首行缩进两字 Char"/>
    <w:link w:val="77"/>
    <w:qFormat/>
    <w:uiPriority w:val="0"/>
    <w:rPr>
      <w:sz w:val="24"/>
      <w:szCs w:val="24"/>
    </w:rPr>
  </w:style>
  <w:style w:type="paragraph" w:customStyle="1" w:styleId="77">
    <w:name w:val="正文首行缩进两字"/>
    <w:link w:val="76"/>
    <w:qFormat/>
    <w:uiPriority w:val="0"/>
    <w:pPr>
      <w:spacing w:afterLines="50" w:line="300" w:lineRule="auto"/>
      <w:ind w:left="240" w:leftChars="100" w:right="240" w:rightChars="100" w:firstLine="480" w:firstLineChars="200"/>
    </w:pPr>
    <w:rPr>
      <w:rFonts w:asciiTheme="minorHAnsi" w:hAnsiTheme="minorHAnsi" w:eastAsiaTheme="minorEastAsia" w:cstheme="minorBidi"/>
      <w:kern w:val="2"/>
      <w:sz w:val="24"/>
      <w:szCs w:val="24"/>
      <w:lang w:val="en-US" w:eastAsia="zh-CN" w:bidi="ar-SA"/>
    </w:rPr>
  </w:style>
  <w:style w:type="character" w:customStyle="1" w:styleId="78">
    <w:name w:val="A2"/>
    <w:qFormat/>
    <w:uiPriority w:val="99"/>
    <w:rPr>
      <w:rFonts w:cs="Futura Book"/>
      <w:color w:val="000000"/>
      <w:sz w:val="18"/>
      <w:szCs w:val="18"/>
    </w:rPr>
  </w:style>
  <w:style w:type="character" w:customStyle="1" w:styleId="79">
    <w:name w:val="批注主题 Char"/>
    <w:link w:val="39"/>
    <w:qFormat/>
    <w:uiPriority w:val="99"/>
    <w:rPr>
      <w:b/>
      <w:bCs/>
    </w:rPr>
  </w:style>
  <w:style w:type="character" w:customStyle="1" w:styleId="80">
    <w:name w:val="批注文字 Char1"/>
    <w:qFormat/>
    <w:uiPriority w:val="99"/>
    <w:rPr>
      <w:kern w:val="2"/>
      <w:sz w:val="21"/>
    </w:rPr>
  </w:style>
  <w:style w:type="character" w:customStyle="1" w:styleId="81">
    <w:name w:val="页脚 Char"/>
    <w:link w:val="26"/>
    <w:qFormat/>
    <w:uiPriority w:val="99"/>
    <w:rPr>
      <w:sz w:val="18"/>
    </w:rPr>
  </w:style>
  <w:style w:type="character" w:customStyle="1" w:styleId="82">
    <w:name w:val="表格 Char Char"/>
    <w:link w:val="83"/>
    <w:qFormat/>
    <w:uiPriority w:val="0"/>
    <w:rPr>
      <w:rFonts w:ascii="宋体" w:hAnsi="宋体"/>
    </w:rPr>
  </w:style>
  <w:style w:type="paragraph" w:customStyle="1" w:styleId="83">
    <w:name w:val="表格"/>
    <w:basedOn w:val="1"/>
    <w:link w:val="82"/>
    <w:qFormat/>
    <w:uiPriority w:val="0"/>
    <w:pPr>
      <w:snapToGrid w:val="0"/>
      <w:ind w:firstLine="42" w:firstLineChars="21"/>
    </w:pPr>
    <w:rPr>
      <w:rFonts w:ascii="宋体" w:hAnsi="宋体" w:eastAsiaTheme="minorEastAsia" w:cstheme="minorBidi"/>
      <w:szCs w:val="22"/>
    </w:rPr>
  </w:style>
  <w:style w:type="character" w:customStyle="1" w:styleId="84">
    <w:name w:val="日期 Char"/>
    <w:link w:val="23"/>
    <w:qFormat/>
    <w:uiPriority w:val="0"/>
    <w:rPr>
      <w:rFonts w:eastAsia="黑体"/>
      <w:b/>
      <w:sz w:val="36"/>
    </w:rPr>
  </w:style>
  <w:style w:type="character" w:customStyle="1" w:styleId="85">
    <w:name w:val="批注框文本 Char"/>
    <w:link w:val="25"/>
    <w:qFormat/>
    <w:uiPriority w:val="99"/>
    <w:rPr>
      <w:rFonts w:ascii="Calibri" w:hAnsi="Calibri"/>
      <w:sz w:val="18"/>
      <w:szCs w:val="18"/>
    </w:rPr>
  </w:style>
  <w:style w:type="character" w:customStyle="1" w:styleId="86">
    <w:name w:val="正文文本缩进 2 Char"/>
    <w:link w:val="24"/>
    <w:qFormat/>
    <w:uiPriority w:val="0"/>
    <w:rPr>
      <w:rFonts w:ascii="楷体_GB2312" w:eastAsia="楷体_GB2312"/>
      <w:b/>
      <w:sz w:val="28"/>
    </w:rPr>
  </w:style>
  <w:style w:type="character" w:customStyle="1" w:styleId="87">
    <w:name w:val="批注文字 Char"/>
    <w:link w:val="16"/>
    <w:qFormat/>
    <w:uiPriority w:val="99"/>
    <w:rPr>
      <w:rFonts w:ascii="Calibri" w:hAnsi="Calibri" w:eastAsia="宋体" w:cs="Times New Roman"/>
    </w:rPr>
  </w:style>
  <w:style w:type="character" w:customStyle="1" w:styleId="88">
    <w:name w:val="正文文本缩进 3 Char"/>
    <w:link w:val="32"/>
    <w:qFormat/>
    <w:uiPriority w:val="0"/>
    <w:rPr>
      <w:rFonts w:ascii="Calibri" w:hAnsi="Calibri" w:eastAsia="宋体" w:cs="Times New Roman"/>
    </w:rPr>
  </w:style>
  <w:style w:type="character" w:customStyle="1" w:styleId="89">
    <w:name w:val="正文缩进 Char"/>
    <w:link w:val="13"/>
    <w:qFormat/>
    <w:uiPriority w:val="0"/>
    <w:rPr>
      <w:rFonts w:ascii="Calibri" w:hAnsi="Calibri" w:eastAsia="宋体" w:cs="Times New Roman"/>
    </w:rPr>
  </w:style>
  <w:style w:type="character" w:customStyle="1" w:styleId="90">
    <w:name w:val="标题3 Char"/>
    <w:link w:val="91"/>
    <w:qFormat/>
    <w:uiPriority w:val="0"/>
    <w:rPr>
      <w:rFonts w:ascii="黑体" w:hAnsi="宋体" w:eastAsia="黑体"/>
      <w:b/>
      <w:sz w:val="24"/>
      <w:lang w:val="zh-CN"/>
    </w:rPr>
  </w:style>
  <w:style w:type="paragraph" w:customStyle="1" w:styleId="91">
    <w:name w:val="标题3"/>
    <w:basedOn w:val="74"/>
    <w:link w:val="90"/>
    <w:qFormat/>
    <w:uiPriority w:val="0"/>
    <w:pPr>
      <w:adjustRightInd w:val="0"/>
      <w:snapToGrid w:val="0"/>
      <w:spacing w:line="380" w:lineRule="exact"/>
      <w:ind w:left="425" w:firstLine="0" w:firstLineChars="0"/>
    </w:pPr>
    <w:rPr>
      <w:rFonts w:ascii="黑体" w:hAnsi="宋体" w:eastAsia="黑体"/>
      <w:b/>
      <w:sz w:val="24"/>
      <w:lang w:val="zh-CN"/>
    </w:rPr>
  </w:style>
  <w:style w:type="character" w:customStyle="1" w:styleId="92">
    <w:name w:val="apple-style-span"/>
    <w:qFormat/>
    <w:uiPriority w:val="0"/>
  </w:style>
  <w:style w:type="character" w:customStyle="1" w:styleId="93">
    <w:name w:val="纯文本 Char1"/>
    <w:qFormat/>
    <w:uiPriority w:val="0"/>
    <w:rPr>
      <w:rFonts w:ascii="宋体" w:hAnsi="Courier New" w:cs="Courier New"/>
      <w:kern w:val="2"/>
      <w:sz w:val="21"/>
      <w:szCs w:val="21"/>
    </w:rPr>
  </w:style>
  <w:style w:type="character" w:customStyle="1" w:styleId="94">
    <w:name w:val="正文非缩进 Char1"/>
    <w:qFormat/>
    <w:uiPriority w:val="0"/>
  </w:style>
  <w:style w:type="character" w:customStyle="1" w:styleId="95">
    <w:name w:val="批注文字 Char2"/>
    <w:basedOn w:val="43"/>
    <w:semiHidden/>
    <w:qFormat/>
    <w:uiPriority w:val="99"/>
    <w:rPr>
      <w:rFonts w:ascii="Times New Roman" w:hAnsi="Times New Roman" w:eastAsia="宋体" w:cs="Times New Roman"/>
      <w:szCs w:val="20"/>
    </w:rPr>
  </w:style>
  <w:style w:type="character" w:customStyle="1" w:styleId="96">
    <w:name w:val="正文文本 Char2"/>
    <w:basedOn w:val="43"/>
    <w:link w:val="2"/>
    <w:qFormat/>
    <w:uiPriority w:val="0"/>
    <w:rPr>
      <w:rFonts w:ascii="Times New Roman" w:hAnsi="Times New Roman" w:eastAsia="宋体" w:cs="Times New Roman"/>
      <w:szCs w:val="20"/>
    </w:rPr>
  </w:style>
  <w:style w:type="character" w:customStyle="1" w:styleId="97">
    <w:name w:val="正文首行缩进 Char1"/>
    <w:basedOn w:val="96"/>
    <w:semiHidden/>
    <w:qFormat/>
    <w:uiPriority w:val="99"/>
    <w:rPr>
      <w:rFonts w:ascii="Times New Roman" w:hAnsi="Times New Roman" w:eastAsia="宋体" w:cs="Times New Roman"/>
      <w:szCs w:val="20"/>
    </w:rPr>
  </w:style>
  <w:style w:type="character" w:customStyle="1" w:styleId="98">
    <w:name w:val="批注主题 Char1"/>
    <w:basedOn w:val="95"/>
    <w:semiHidden/>
    <w:qFormat/>
    <w:uiPriority w:val="99"/>
    <w:rPr>
      <w:rFonts w:ascii="Times New Roman" w:hAnsi="Times New Roman" w:eastAsia="宋体" w:cs="Times New Roman"/>
      <w:b/>
      <w:bCs/>
      <w:szCs w:val="20"/>
    </w:rPr>
  </w:style>
  <w:style w:type="character" w:customStyle="1" w:styleId="99">
    <w:name w:val="日期 Char1"/>
    <w:basedOn w:val="43"/>
    <w:semiHidden/>
    <w:qFormat/>
    <w:uiPriority w:val="99"/>
    <w:rPr>
      <w:rFonts w:ascii="Times New Roman" w:hAnsi="Times New Roman" w:eastAsia="宋体" w:cs="Times New Roman"/>
      <w:szCs w:val="20"/>
    </w:rPr>
  </w:style>
  <w:style w:type="paragraph" w:customStyle="1" w:styleId="100">
    <w:name w:val="文档-标题2"/>
    <w:basedOn w:val="1"/>
    <w:next w:val="1"/>
    <w:qFormat/>
    <w:uiPriority w:val="0"/>
    <w:pPr>
      <w:keepNext/>
      <w:keepLines/>
      <w:spacing w:before="260" w:after="260" w:line="416" w:lineRule="auto"/>
      <w:jc w:val="left"/>
      <w:outlineLvl w:val="1"/>
    </w:pPr>
    <w:rPr>
      <w:rFonts w:ascii="Cambria" w:hAnsi="Cambria"/>
      <w:b/>
      <w:bCs/>
      <w:color w:val="7030A0"/>
      <w:sz w:val="32"/>
      <w:szCs w:val="32"/>
    </w:rPr>
  </w:style>
  <w:style w:type="character" w:customStyle="1" w:styleId="101">
    <w:name w:val="页脚 Char1"/>
    <w:basedOn w:val="43"/>
    <w:qFormat/>
    <w:uiPriority w:val="0"/>
    <w:rPr>
      <w:rFonts w:ascii="Times New Roman" w:hAnsi="Times New Roman" w:eastAsia="宋体" w:cs="Times New Roman"/>
      <w:sz w:val="18"/>
      <w:szCs w:val="18"/>
    </w:rPr>
  </w:style>
  <w:style w:type="paragraph" w:customStyle="1" w:styleId="10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10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rPr>
  </w:style>
  <w:style w:type="paragraph" w:customStyle="1" w:styleId="1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i/>
      <w:iCs/>
      <w:kern w:val="0"/>
      <w:sz w:val="20"/>
    </w:rPr>
  </w:style>
  <w:style w:type="paragraph" w:customStyle="1" w:styleId="105">
    <w:name w:val="xl61"/>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106">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10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i/>
      <w:iCs/>
      <w:kern w:val="0"/>
      <w:sz w:val="20"/>
    </w:rPr>
  </w:style>
  <w:style w:type="character" w:customStyle="1" w:styleId="109">
    <w:name w:val="正文文本 2 Char1"/>
    <w:basedOn w:val="43"/>
    <w:semiHidden/>
    <w:qFormat/>
    <w:uiPriority w:val="99"/>
    <w:rPr>
      <w:rFonts w:ascii="Times New Roman" w:hAnsi="Times New Roman" w:eastAsia="宋体" w:cs="Times New Roman"/>
      <w:szCs w:val="20"/>
    </w:rPr>
  </w:style>
  <w:style w:type="paragraph" w:customStyle="1" w:styleId="11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111">
    <w:name w:val="xl51"/>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character" w:customStyle="1" w:styleId="112">
    <w:name w:val="文档结构图 Char1"/>
    <w:basedOn w:val="43"/>
    <w:semiHidden/>
    <w:qFormat/>
    <w:uiPriority w:val="99"/>
    <w:rPr>
      <w:rFonts w:ascii="宋体" w:hAnsi="Times New Roman" w:eastAsia="宋体" w:cs="Times New Roman"/>
      <w:sz w:val="18"/>
      <w:szCs w:val="18"/>
    </w:rPr>
  </w:style>
  <w:style w:type="character" w:customStyle="1" w:styleId="113">
    <w:name w:val="纯文本 Char2"/>
    <w:basedOn w:val="43"/>
    <w:semiHidden/>
    <w:qFormat/>
    <w:uiPriority w:val="99"/>
    <w:rPr>
      <w:rFonts w:ascii="宋体" w:hAnsi="Courier New" w:eastAsia="宋体" w:cs="Courier New"/>
      <w:szCs w:val="21"/>
    </w:rPr>
  </w:style>
  <w:style w:type="character" w:customStyle="1" w:styleId="114">
    <w:name w:val="正文文本缩进 Char1"/>
    <w:basedOn w:val="43"/>
    <w:semiHidden/>
    <w:qFormat/>
    <w:uiPriority w:val="0"/>
    <w:rPr>
      <w:rFonts w:ascii="Times New Roman" w:hAnsi="Times New Roman" w:eastAsia="宋体" w:cs="Times New Roman"/>
      <w:szCs w:val="20"/>
    </w:rPr>
  </w:style>
  <w:style w:type="character" w:customStyle="1" w:styleId="115">
    <w:name w:val="正文文本缩进 2 Char1"/>
    <w:basedOn w:val="43"/>
    <w:semiHidden/>
    <w:qFormat/>
    <w:uiPriority w:val="99"/>
    <w:rPr>
      <w:rFonts w:ascii="Times New Roman" w:hAnsi="Times New Roman" w:eastAsia="宋体" w:cs="Times New Roman"/>
      <w:szCs w:val="20"/>
    </w:rPr>
  </w:style>
  <w:style w:type="character" w:customStyle="1" w:styleId="116">
    <w:name w:val="批注框文本 Char1"/>
    <w:basedOn w:val="43"/>
    <w:semiHidden/>
    <w:qFormat/>
    <w:uiPriority w:val="99"/>
    <w:rPr>
      <w:rFonts w:ascii="Times New Roman" w:hAnsi="Times New Roman" w:eastAsia="宋体" w:cs="Times New Roman"/>
      <w:sz w:val="18"/>
      <w:szCs w:val="18"/>
    </w:rPr>
  </w:style>
  <w:style w:type="paragraph" w:customStyle="1" w:styleId="11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1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楷体_GB2312" w:hAnsi="宋体" w:eastAsia="楷体_GB2312"/>
      <w:b/>
      <w:bCs/>
      <w:kern w:val="0"/>
      <w:sz w:val="24"/>
      <w:szCs w:val="24"/>
    </w:rPr>
  </w:style>
  <w:style w:type="paragraph" w:customStyle="1" w:styleId="11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character" w:customStyle="1" w:styleId="120">
    <w:name w:val="页眉 Char1"/>
    <w:basedOn w:val="43"/>
    <w:qFormat/>
    <w:uiPriority w:val="0"/>
    <w:rPr>
      <w:rFonts w:ascii="Times New Roman" w:hAnsi="Times New Roman" w:eastAsia="宋体" w:cs="Times New Roman"/>
      <w:sz w:val="18"/>
      <w:szCs w:val="18"/>
    </w:rPr>
  </w:style>
  <w:style w:type="paragraph" w:customStyle="1" w:styleId="121">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character" w:customStyle="1" w:styleId="122">
    <w:name w:val="正文文本缩进 3 Char1"/>
    <w:basedOn w:val="43"/>
    <w:semiHidden/>
    <w:qFormat/>
    <w:uiPriority w:val="99"/>
    <w:rPr>
      <w:rFonts w:ascii="Times New Roman" w:hAnsi="Times New Roman" w:eastAsia="宋体" w:cs="Times New Roman"/>
      <w:sz w:val="16"/>
      <w:szCs w:val="16"/>
    </w:rPr>
  </w:style>
  <w:style w:type="paragraph" w:customStyle="1" w:styleId="12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character" w:customStyle="1" w:styleId="124">
    <w:name w:val="标题 Char2"/>
    <w:basedOn w:val="43"/>
    <w:qFormat/>
    <w:uiPriority w:val="10"/>
    <w:rPr>
      <w:rFonts w:eastAsia="宋体" w:asciiTheme="majorHAnsi" w:hAnsiTheme="majorHAnsi" w:cstheme="majorBidi"/>
      <w:b/>
      <w:bCs/>
      <w:sz w:val="32"/>
      <w:szCs w:val="32"/>
    </w:rPr>
  </w:style>
  <w:style w:type="paragraph" w:customStyle="1" w:styleId="125">
    <w:name w:val="xl55"/>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126">
    <w:name w:val="font7"/>
    <w:basedOn w:val="1"/>
    <w:qFormat/>
    <w:uiPriority w:val="0"/>
    <w:pPr>
      <w:widowControl/>
      <w:spacing w:before="100" w:beforeAutospacing="1" w:after="100" w:afterAutospacing="1"/>
      <w:jc w:val="left"/>
    </w:pPr>
    <w:rPr>
      <w:b/>
      <w:bCs/>
      <w:i/>
      <w:iCs/>
      <w:kern w:val="0"/>
      <w:sz w:val="20"/>
    </w:rPr>
  </w:style>
  <w:style w:type="paragraph" w:customStyle="1" w:styleId="12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12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129">
    <w:name w:val="xl58"/>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13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131">
    <w:name w:val="font8"/>
    <w:basedOn w:val="1"/>
    <w:qFormat/>
    <w:uiPriority w:val="0"/>
    <w:pPr>
      <w:widowControl/>
      <w:spacing w:before="100" w:beforeAutospacing="1" w:after="100" w:afterAutospacing="1"/>
      <w:jc w:val="left"/>
    </w:pPr>
    <w:rPr>
      <w:rFonts w:hint="eastAsia" w:ascii="宋体" w:hAnsi="宋体"/>
      <w:b/>
      <w:bCs/>
      <w:i/>
      <w:iCs/>
      <w:kern w:val="0"/>
      <w:sz w:val="20"/>
    </w:rPr>
  </w:style>
  <w:style w:type="paragraph" w:customStyle="1" w:styleId="132">
    <w:name w:val="xl53"/>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133">
    <w:name w:val="xl56"/>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134">
    <w:name w:val="样式 小四 段前: 5 磅 段后: 5 磅 首行缩进:  2 字符"/>
    <w:basedOn w:val="1"/>
    <w:qFormat/>
    <w:uiPriority w:val="0"/>
    <w:pPr>
      <w:spacing w:line="360" w:lineRule="auto"/>
      <w:jc w:val="center"/>
    </w:pPr>
    <w:rPr>
      <w:rFonts w:ascii="宋体" w:hAnsi="宋体"/>
      <w:bCs/>
      <w:color w:val="FF0000"/>
      <w:sz w:val="24"/>
      <w:szCs w:val="24"/>
    </w:rPr>
  </w:style>
  <w:style w:type="paragraph" w:customStyle="1" w:styleId="135">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13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13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138">
    <w:name w:val="xl54"/>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b/>
      <w:bCs/>
      <w:kern w:val="0"/>
      <w:sz w:val="20"/>
    </w:rPr>
  </w:style>
  <w:style w:type="paragraph" w:customStyle="1" w:styleId="139">
    <w:name w:val="font6"/>
    <w:basedOn w:val="1"/>
    <w:qFormat/>
    <w:uiPriority w:val="0"/>
    <w:pPr>
      <w:widowControl/>
      <w:spacing w:before="100" w:beforeAutospacing="1" w:after="100" w:afterAutospacing="1"/>
      <w:jc w:val="left"/>
    </w:pPr>
    <w:rPr>
      <w:rFonts w:hint="eastAsia" w:ascii="宋体" w:hAnsi="宋体"/>
      <w:b/>
      <w:bCs/>
      <w:kern w:val="0"/>
      <w:sz w:val="20"/>
    </w:rPr>
  </w:style>
  <w:style w:type="paragraph" w:customStyle="1" w:styleId="14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141">
    <w:name w:val="Char Char1 Char Char Char Char"/>
    <w:basedOn w:val="15"/>
    <w:qFormat/>
    <w:uiPriority w:val="0"/>
    <w:pPr>
      <w:adjustRightInd w:val="0"/>
      <w:spacing w:line="436" w:lineRule="exact"/>
      <w:ind w:left="357"/>
      <w:jc w:val="left"/>
      <w:outlineLvl w:val="3"/>
    </w:pPr>
    <w:rPr>
      <w:rFonts w:ascii="Tahoma" w:hAnsi="Tahoma"/>
      <w:b/>
      <w:sz w:val="24"/>
      <w:szCs w:val="24"/>
    </w:rPr>
  </w:style>
  <w:style w:type="paragraph" w:customStyle="1" w:styleId="142">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14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i/>
      <w:iCs/>
      <w:kern w:val="0"/>
      <w:sz w:val="20"/>
    </w:rPr>
  </w:style>
  <w:style w:type="paragraph" w:customStyle="1" w:styleId="144">
    <w:name w:val="Pa0"/>
    <w:basedOn w:val="1"/>
    <w:next w:val="1"/>
    <w:qFormat/>
    <w:uiPriority w:val="99"/>
    <w:pPr>
      <w:autoSpaceDE w:val="0"/>
      <w:autoSpaceDN w:val="0"/>
      <w:adjustRightInd w:val="0"/>
      <w:spacing w:line="241" w:lineRule="atLeast"/>
      <w:jc w:val="left"/>
    </w:pPr>
    <w:rPr>
      <w:rFonts w:ascii="HPFutura Light" w:hAnsi="Calibri" w:eastAsia="HPFutura Light"/>
      <w:kern w:val="0"/>
      <w:sz w:val="24"/>
      <w:szCs w:val="24"/>
    </w:rPr>
  </w:style>
  <w:style w:type="paragraph" w:customStyle="1" w:styleId="14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146">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7">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rPr>
  </w:style>
  <w:style w:type="paragraph" w:customStyle="1" w:styleId="148">
    <w:name w:val="xl4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49">
    <w:name w:val="font9"/>
    <w:basedOn w:val="1"/>
    <w:qFormat/>
    <w:uiPriority w:val="0"/>
    <w:pPr>
      <w:widowControl/>
      <w:spacing w:before="100" w:beforeAutospacing="1" w:after="100" w:afterAutospacing="1"/>
      <w:jc w:val="left"/>
    </w:pPr>
    <w:rPr>
      <w:b/>
      <w:bCs/>
      <w:kern w:val="0"/>
      <w:sz w:val="20"/>
    </w:rPr>
  </w:style>
  <w:style w:type="paragraph" w:customStyle="1" w:styleId="150">
    <w:name w:val="xl6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151">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152">
    <w:name w:val="xl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15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154">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155">
    <w:name w:val="xl4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b/>
      <w:bCs/>
      <w:kern w:val="0"/>
      <w:sz w:val="20"/>
    </w:rPr>
  </w:style>
  <w:style w:type="paragraph" w:customStyle="1" w:styleId="156">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57">
    <w:name w:val="xl52"/>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158">
    <w:name w:val="xl60"/>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159">
    <w:name w:val="xl62"/>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160">
    <w:name w:val="font10"/>
    <w:basedOn w:val="1"/>
    <w:qFormat/>
    <w:uiPriority w:val="0"/>
    <w:pPr>
      <w:widowControl/>
      <w:spacing w:before="100" w:beforeAutospacing="1" w:after="100" w:afterAutospacing="1"/>
      <w:jc w:val="left"/>
    </w:pPr>
    <w:rPr>
      <w:rFonts w:hint="eastAsia" w:ascii="楷体_GB2312" w:hAnsi="宋体" w:eastAsia="楷体_GB2312"/>
      <w:b/>
      <w:bCs/>
      <w:kern w:val="0"/>
      <w:sz w:val="18"/>
      <w:szCs w:val="18"/>
    </w:rPr>
  </w:style>
  <w:style w:type="paragraph" w:customStyle="1" w:styleId="161">
    <w:name w:val="font11"/>
    <w:basedOn w:val="1"/>
    <w:qFormat/>
    <w:uiPriority w:val="0"/>
    <w:pPr>
      <w:widowControl/>
      <w:spacing w:before="100" w:beforeAutospacing="1" w:after="100" w:afterAutospacing="1"/>
      <w:jc w:val="left"/>
    </w:pPr>
    <w:rPr>
      <w:b/>
      <w:bCs/>
      <w:kern w:val="0"/>
      <w:sz w:val="18"/>
      <w:szCs w:val="18"/>
    </w:rPr>
  </w:style>
  <w:style w:type="paragraph" w:customStyle="1" w:styleId="162">
    <w:name w:val="font12"/>
    <w:basedOn w:val="1"/>
    <w:qFormat/>
    <w:uiPriority w:val="0"/>
    <w:pPr>
      <w:widowControl/>
      <w:spacing w:before="100" w:beforeAutospacing="1" w:after="100" w:afterAutospacing="1"/>
      <w:jc w:val="left"/>
    </w:pPr>
    <w:rPr>
      <w:rFonts w:hint="eastAsia" w:ascii="宋体" w:hAnsi="宋体"/>
      <w:kern w:val="0"/>
      <w:sz w:val="36"/>
      <w:szCs w:val="36"/>
    </w:rPr>
  </w:style>
  <w:style w:type="paragraph" w:customStyle="1" w:styleId="163">
    <w:name w:val="font13"/>
    <w:basedOn w:val="1"/>
    <w:qFormat/>
    <w:uiPriority w:val="0"/>
    <w:pPr>
      <w:widowControl/>
      <w:spacing w:before="100" w:beforeAutospacing="1" w:after="100" w:afterAutospacing="1"/>
      <w:jc w:val="left"/>
    </w:pPr>
    <w:rPr>
      <w:i/>
      <w:iCs/>
      <w:kern w:val="0"/>
      <w:sz w:val="36"/>
      <w:szCs w:val="36"/>
    </w:rPr>
  </w:style>
  <w:style w:type="paragraph" w:customStyle="1" w:styleId="164">
    <w:name w:val="font14"/>
    <w:basedOn w:val="1"/>
    <w:qFormat/>
    <w:uiPriority w:val="0"/>
    <w:pPr>
      <w:widowControl/>
      <w:spacing w:before="100" w:beforeAutospacing="1" w:after="100" w:afterAutospacing="1"/>
      <w:jc w:val="left"/>
    </w:pPr>
    <w:rPr>
      <w:kern w:val="0"/>
      <w:sz w:val="36"/>
      <w:szCs w:val="36"/>
    </w:rPr>
  </w:style>
  <w:style w:type="paragraph" w:customStyle="1" w:styleId="165">
    <w:name w:val="普通文字"/>
    <w:basedOn w:val="1"/>
    <w:next w:val="1"/>
    <w:qFormat/>
    <w:uiPriority w:val="0"/>
    <w:rPr>
      <w:rFonts w:ascii="宋体"/>
      <w:kern w:val="0"/>
      <w:sz w:val="24"/>
      <w:u w:color="000000"/>
    </w:rPr>
  </w:style>
  <w:style w:type="paragraph" w:customStyle="1" w:styleId="166">
    <w:name w:val="默认段落字体 Para Char"/>
    <w:basedOn w:val="1"/>
    <w:qFormat/>
    <w:uiPriority w:val="0"/>
    <w:pPr>
      <w:tabs>
        <w:tab w:val="left" w:pos="552"/>
      </w:tabs>
      <w:ind w:left="552" w:hanging="420"/>
    </w:pPr>
    <w:rPr>
      <w:sz w:val="24"/>
      <w:szCs w:val="24"/>
    </w:rPr>
  </w:style>
  <w:style w:type="paragraph" w:customStyle="1" w:styleId="167">
    <w:name w:val="Char Char Char Char"/>
    <w:basedOn w:val="15"/>
    <w:qFormat/>
    <w:uiPriority w:val="0"/>
    <w:pPr>
      <w:adjustRightInd w:val="0"/>
      <w:snapToGrid w:val="0"/>
      <w:spacing w:line="360" w:lineRule="auto"/>
    </w:pPr>
    <w:rPr>
      <w:rFonts w:ascii="Tahoma" w:hAnsi="Tahoma"/>
      <w:sz w:val="24"/>
      <w:szCs w:val="24"/>
    </w:rPr>
  </w:style>
  <w:style w:type="paragraph" w:customStyle="1" w:styleId="168">
    <w:name w:val="Char Char1 Char Char Char Char1"/>
    <w:basedOn w:val="15"/>
    <w:qFormat/>
    <w:uiPriority w:val="0"/>
    <w:pPr>
      <w:adjustRightInd w:val="0"/>
      <w:spacing w:line="436" w:lineRule="exact"/>
      <w:ind w:left="357"/>
      <w:jc w:val="left"/>
      <w:outlineLvl w:val="3"/>
    </w:pPr>
    <w:rPr>
      <w:rFonts w:ascii="Tahoma" w:hAnsi="Tahoma"/>
      <w:b/>
      <w:sz w:val="24"/>
      <w:szCs w:val="24"/>
    </w:rPr>
  </w:style>
  <w:style w:type="paragraph" w:customStyle="1" w:styleId="169">
    <w:name w:val="Revision"/>
    <w:semiHidden/>
    <w:qFormat/>
    <w:uiPriority w:val="99"/>
    <w:rPr>
      <w:rFonts w:ascii="Times New Roman" w:hAnsi="Times New Roman" w:eastAsia="宋体" w:cs="Times New Roman"/>
      <w:kern w:val="2"/>
      <w:sz w:val="21"/>
      <w:szCs w:val="20"/>
      <w:lang w:val="en-US" w:eastAsia="zh-CN" w:bidi="ar-SA"/>
    </w:rPr>
  </w:style>
  <w:style w:type="paragraph" w:customStyle="1" w:styleId="170">
    <w:name w:val="样式 段前: 0.5 行 段后: 0.5 行"/>
    <w:basedOn w:val="1"/>
    <w:qFormat/>
    <w:uiPriority w:val="0"/>
    <w:pPr>
      <w:spacing w:before="100" w:beforeAutospacing="1" w:after="100" w:afterAutospacing="1"/>
      <w:ind w:firstLine="200" w:firstLineChars="200"/>
    </w:pPr>
    <w:rPr>
      <w:rFonts w:cs="宋体"/>
    </w:rPr>
  </w:style>
  <w:style w:type="paragraph" w:customStyle="1" w:styleId="171">
    <w:name w:val="文档-标题1"/>
    <w:basedOn w:val="1"/>
    <w:next w:val="1"/>
    <w:qFormat/>
    <w:uiPriority w:val="0"/>
    <w:pPr>
      <w:keepNext/>
      <w:keepLines/>
      <w:pageBreakBefore/>
      <w:spacing w:line="360" w:lineRule="auto"/>
      <w:jc w:val="left"/>
      <w:outlineLvl w:val="0"/>
    </w:pPr>
    <w:rPr>
      <w:rFonts w:ascii="Calibri" w:hAnsi="Calibri"/>
      <w:b/>
      <w:bCs/>
      <w:color w:val="7030A0"/>
      <w:kern w:val="44"/>
      <w:sz w:val="44"/>
      <w:szCs w:val="44"/>
    </w:rPr>
  </w:style>
  <w:style w:type="paragraph" w:customStyle="1" w:styleId="172">
    <w:name w:val="文档-标题3"/>
    <w:basedOn w:val="1"/>
    <w:next w:val="1"/>
    <w:qFormat/>
    <w:uiPriority w:val="0"/>
    <w:pPr>
      <w:keepNext/>
      <w:keepLines/>
      <w:spacing w:before="260" w:after="260" w:line="416" w:lineRule="auto"/>
      <w:jc w:val="left"/>
      <w:outlineLvl w:val="2"/>
    </w:pPr>
    <w:rPr>
      <w:rFonts w:ascii="Calibri" w:hAnsi="Calibri"/>
      <w:b/>
      <w:bCs/>
      <w:color w:val="7030A0"/>
      <w:sz w:val="32"/>
      <w:szCs w:val="32"/>
    </w:rPr>
  </w:style>
  <w:style w:type="paragraph" w:customStyle="1" w:styleId="173">
    <w:name w:val="列表内容"/>
    <w:basedOn w:val="1"/>
    <w:next w:val="1"/>
    <w:qFormat/>
    <w:uiPriority w:val="0"/>
    <w:pPr>
      <w:widowControl/>
      <w:tabs>
        <w:tab w:val="left" w:pos="840"/>
        <w:tab w:val="left" w:pos="1104"/>
      </w:tabs>
      <w:ind w:left="1104" w:hanging="696"/>
      <w:jc w:val="left"/>
    </w:pPr>
    <w:rPr>
      <w:rFonts w:ascii="Calibri" w:hAnsi="Calibri"/>
      <w:kern w:val="0"/>
      <w:sz w:val="18"/>
      <w:szCs w:val="22"/>
    </w:rPr>
  </w:style>
  <w:style w:type="paragraph" w:customStyle="1" w:styleId="174">
    <w:name w:val="Char1 Char Char Char"/>
    <w:basedOn w:val="1"/>
    <w:qFormat/>
    <w:uiPriority w:val="0"/>
    <w:rPr>
      <w:rFonts w:ascii="Calibri" w:hAnsi="Calibri"/>
      <w:szCs w:val="24"/>
    </w:rPr>
  </w:style>
  <w:style w:type="paragraph" w:customStyle="1" w:styleId="175">
    <w:name w:val="默认段落字体 Para Char Char Char Char"/>
    <w:basedOn w:val="1"/>
    <w:qFormat/>
    <w:uiPriority w:val="0"/>
    <w:rPr>
      <w:rFonts w:ascii="Calibri" w:hAnsi="Calibri"/>
      <w:szCs w:val="24"/>
    </w:rPr>
  </w:style>
  <w:style w:type="paragraph" w:customStyle="1" w:styleId="176">
    <w:name w:val="列出段落1"/>
    <w:basedOn w:val="1"/>
    <w:qFormat/>
    <w:uiPriority w:val="0"/>
    <w:pPr>
      <w:ind w:firstLine="420" w:firstLineChars="200"/>
    </w:pPr>
    <w:rPr>
      <w:rFonts w:ascii="Calibri" w:hAnsi="Calibri"/>
    </w:rPr>
  </w:style>
  <w:style w:type="paragraph" w:customStyle="1" w:styleId="177">
    <w:name w:val="Char Char Char Char Char Char Char"/>
    <w:basedOn w:val="1"/>
    <w:qFormat/>
    <w:uiPriority w:val="0"/>
    <w:pPr>
      <w:widowControl/>
      <w:spacing w:after="160" w:line="240" w:lineRule="exact"/>
      <w:jc w:val="left"/>
    </w:pPr>
    <w:rPr>
      <w:rFonts w:ascii="Arial" w:hAnsi="Arial" w:cs="Arial"/>
      <w:b/>
      <w:bCs/>
      <w:kern w:val="0"/>
      <w:sz w:val="24"/>
      <w:szCs w:val="24"/>
      <w:lang w:eastAsia="en-US"/>
    </w:rPr>
  </w:style>
  <w:style w:type="paragraph" w:customStyle="1" w:styleId="178">
    <w:name w:val="Char Char Char"/>
    <w:basedOn w:val="1"/>
    <w:qFormat/>
    <w:uiPriority w:val="0"/>
    <w:rPr>
      <w:sz w:val="28"/>
    </w:rPr>
  </w:style>
  <w:style w:type="character" w:customStyle="1" w:styleId="179">
    <w:name w:val="2nd level Char"/>
    <w:qFormat/>
    <w:uiPriority w:val="0"/>
    <w:rPr>
      <w:rFonts w:ascii="楷体_GB2312" w:eastAsia="楷体_GB2312"/>
      <w:b/>
      <w:bCs/>
      <w:kern w:val="2"/>
      <w:sz w:val="18"/>
    </w:rPr>
  </w:style>
  <w:style w:type="character" w:customStyle="1" w:styleId="180">
    <w:name w:val="5 Char"/>
    <w:qFormat/>
    <w:uiPriority w:val="0"/>
    <w:rPr>
      <w:rFonts w:ascii="楷体_GB2312" w:eastAsia="楷体_GB2312"/>
      <w:bCs/>
      <w:kern w:val="2"/>
      <w:sz w:val="28"/>
    </w:rPr>
  </w:style>
  <w:style w:type="character" w:customStyle="1" w:styleId="181">
    <w:name w:val="正文非缩进 Char"/>
    <w:qFormat/>
    <w:uiPriority w:val="0"/>
    <w:rPr>
      <w:kern w:val="2"/>
      <w:sz w:val="21"/>
    </w:rPr>
  </w:style>
  <w:style w:type="character" w:customStyle="1" w:styleId="182">
    <w:name w:val="正文 + 宋体 Char"/>
    <w:link w:val="183"/>
    <w:qFormat/>
    <w:uiPriority w:val="0"/>
    <w:rPr>
      <w:rFonts w:ascii="宋体" w:hAnsi="宋体"/>
      <w:sz w:val="24"/>
      <w:szCs w:val="24"/>
    </w:rPr>
  </w:style>
  <w:style w:type="paragraph" w:customStyle="1" w:styleId="183">
    <w:name w:val="正文 + 宋体"/>
    <w:basedOn w:val="35"/>
    <w:link w:val="182"/>
    <w:qFormat/>
    <w:uiPriority w:val="0"/>
    <w:rPr>
      <w:rFonts w:ascii="宋体" w:hAnsi="宋体" w:eastAsiaTheme="minorEastAsia" w:cstheme="minorBidi"/>
      <w:sz w:val="24"/>
      <w:szCs w:val="24"/>
    </w:rPr>
  </w:style>
  <w:style w:type="character" w:customStyle="1" w:styleId="184">
    <w:name w:val="普通(网站) Char"/>
    <w:link w:val="37"/>
    <w:qFormat/>
    <w:uiPriority w:val="0"/>
    <w:rPr>
      <w:rFonts w:ascii="宋体" w:hAnsi="宋体" w:eastAsia="宋体" w:cs="宋体"/>
      <w:kern w:val="0"/>
      <w:sz w:val="24"/>
      <w:szCs w:val="24"/>
    </w:rPr>
  </w:style>
  <w:style w:type="character" w:customStyle="1" w:styleId="185">
    <w:name w:val="param_td12"/>
    <w:qFormat/>
    <w:uiPriority w:val="0"/>
  </w:style>
  <w:style w:type="character" w:customStyle="1" w:styleId="186">
    <w:name w:val="表蕊 Char1"/>
    <w:link w:val="187"/>
    <w:qFormat/>
    <w:uiPriority w:val="0"/>
    <w:rPr>
      <w:rFonts w:eastAsia="楷体_GB2312"/>
      <w:spacing w:val="-10"/>
    </w:rPr>
  </w:style>
  <w:style w:type="paragraph" w:customStyle="1" w:styleId="187">
    <w:name w:val="表蕊"/>
    <w:basedOn w:val="1"/>
    <w:link w:val="186"/>
    <w:qFormat/>
    <w:uiPriority w:val="0"/>
    <w:pPr>
      <w:adjustRightInd w:val="0"/>
      <w:spacing w:line="320" w:lineRule="atLeast"/>
      <w:jc w:val="left"/>
      <w:textAlignment w:val="baseline"/>
    </w:pPr>
    <w:rPr>
      <w:rFonts w:eastAsia="楷体_GB2312" w:asciiTheme="minorHAnsi" w:hAnsiTheme="minorHAnsi" w:cstheme="minorBidi"/>
      <w:spacing w:val="-10"/>
      <w:szCs w:val="22"/>
    </w:rPr>
  </w:style>
  <w:style w:type="character" w:customStyle="1" w:styleId="188">
    <w:name w:val="标准段落正文 Char1"/>
    <w:link w:val="189"/>
    <w:qFormat/>
    <w:uiPriority w:val="0"/>
    <w:rPr>
      <w:sz w:val="24"/>
    </w:rPr>
  </w:style>
  <w:style w:type="paragraph" w:customStyle="1" w:styleId="189">
    <w:name w:val="标准段落正文"/>
    <w:basedOn w:val="1"/>
    <w:link w:val="188"/>
    <w:qFormat/>
    <w:uiPriority w:val="0"/>
    <w:pPr>
      <w:spacing w:line="312" w:lineRule="auto"/>
      <w:ind w:firstLine="480"/>
    </w:pPr>
    <w:rPr>
      <w:rFonts w:asciiTheme="minorHAnsi" w:hAnsiTheme="minorHAnsi" w:eastAsiaTheme="minorEastAsia" w:cstheme="minorBidi"/>
      <w:sz w:val="24"/>
      <w:szCs w:val="22"/>
    </w:rPr>
  </w:style>
  <w:style w:type="character" w:customStyle="1" w:styleId="190">
    <w:name w:val="表头 Char"/>
    <w:link w:val="191"/>
    <w:qFormat/>
    <w:uiPriority w:val="0"/>
    <w:rPr>
      <w:rFonts w:eastAsia="黑体"/>
      <w:spacing w:val="-10"/>
    </w:rPr>
  </w:style>
  <w:style w:type="paragraph" w:customStyle="1" w:styleId="191">
    <w:name w:val="表头"/>
    <w:basedOn w:val="1"/>
    <w:link w:val="190"/>
    <w:qFormat/>
    <w:uiPriority w:val="0"/>
    <w:pPr>
      <w:adjustRightInd w:val="0"/>
      <w:snapToGrid w:val="0"/>
      <w:spacing w:line="320" w:lineRule="atLeast"/>
      <w:jc w:val="center"/>
      <w:textAlignment w:val="baseline"/>
    </w:pPr>
    <w:rPr>
      <w:rFonts w:eastAsia="黑体" w:asciiTheme="minorHAnsi" w:hAnsiTheme="minorHAnsi" w:cstheme="minorBidi"/>
      <w:spacing w:val="-10"/>
      <w:szCs w:val="22"/>
    </w:rPr>
  </w:style>
  <w:style w:type="character" w:customStyle="1" w:styleId="192">
    <w:name w:val="style_zi_2"/>
    <w:qFormat/>
    <w:uiPriority w:val="0"/>
  </w:style>
  <w:style w:type="character" w:customStyle="1" w:styleId="193">
    <w:name w:val="批注框文本 Char Char Char Char"/>
    <w:link w:val="194"/>
    <w:qFormat/>
    <w:uiPriority w:val="0"/>
    <w:rPr>
      <w:sz w:val="18"/>
      <w:szCs w:val="18"/>
    </w:rPr>
  </w:style>
  <w:style w:type="paragraph" w:customStyle="1" w:styleId="194">
    <w:name w:val="批注框文本 Char Char"/>
    <w:basedOn w:val="1"/>
    <w:link w:val="193"/>
    <w:qFormat/>
    <w:uiPriority w:val="0"/>
    <w:rPr>
      <w:rFonts w:asciiTheme="minorHAnsi" w:hAnsiTheme="minorHAnsi" w:eastAsiaTheme="minorEastAsia" w:cstheme="minorBidi"/>
      <w:sz w:val="18"/>
      <w:szCs w:val="18"/>
    </w:rPr>
  </w:style>
  <w:style w:type="character" w:customStyle="1" w:styleId="195">
    <w:name w:val="hui3"/>
    <w:qFormat/>
    <w:uiPriority w:val="0"/>
    <w:rPr>
      <w:color w:val="333333"/>
    </w:rPr>
  </w:style>
  <w:style w:type="character" w:customStyle="1" w:styleId="196">
    <w:name w:val="样式 正文缩进正文（首行缩进两字）表正文正文非缩进特点ALT+Z标题4段1正文（首行缩进两字） Char正文（...1 Char"/>
    <w:qFormat/>
    <w:uiPriority w:val="0"/>
    <w:rPr>
      <w:rFonts w:ascii="Arial" w:hAnsi="Arial" w:eastAsia="宋体"/>
      <w:bCs/>
      <w:kern w:val="2"/>
      <w:sz w:val="28"/>
      <w:szCs w:val="24"/>
      <w:lang w:val="en-US" w:eastAsia="zh-CN" w:bidi="ar-SA"/>
    </w:rPr>
  </w:style>
  <w:style w:type="paragraph" w:customStyle="1" w:styleId="19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szCs w:val="22"/>
    </w:rPr>
  </w:style>
  <w:style w:type="paragraph" w:customStyle="1" w:styleId="19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9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00">
    <w:name w:val="Char2 Char Char Char"/>
    <w:basedOn w:val="15"/>
    <w:qFormat/>
    <w:uiPriority w:val="0"/>
    <w:rPr>
      <w:rFonts w:ascii="Tahoma" w:hAnsi="Tahoma"/>
      <w:sz w:val="24"/>
      <w:szCs w:val="24"/>
    </w:rPr>
  </w:style>
  <w:style w:type="paragraph" w:customStyle="1" w:styleId="20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02">
    <w:name w:val="List Paragraph1"/>
    <w:basedOn w:val="1"/>
    <w:link w:val="303"/>
    <w:qFormat/>
    <w:uiPriority w:val="34"/>
    <w:pPr>
      <w:ind w:firstLine="420" w:firstLineChars="200"/>
    </w:pPr>
    <w:rPr>
      <w:rFonts w:ascii="Calibri" w:hAnsi="Calibri" w:cs="黑体"/>
      <w:szCs w:val="22"/>
    </w:rPr>
  </w:style>
  <w:style w:type="paragraph" w:customStyle="1" w:styleId="203">
    <w:name w:val="Char Char1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04">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20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0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0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0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0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10">
    <w:name w:val="Char Char Char Char Char Char Char Char"/>
    <w:basedOn w:val="1"/>
    <w:qFormat/>
    <w:uiPriority w:val="0"/>
  </w:style>
  <w:style w:type="paragraph" w:customStyle="1" w:styleId="21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12">
    <w:name w:val="文字"/>
    <w:basedOn w:val="1"/>
    <w:qFormat/>
    <w:uiPriority w:val="0"/>
    <w:pPr>
      <w:tabs>
        <w:tab w:val="left" w:pos="8520"/>
      </w:tabs>
      <w:spacing w:line="312" w:lineRule="auto"/>
      <w:ind w:right="-210" w:firstLine="556"/>
    </w:pPr>
    <w:rPr>
      <w:rFonts w:ascii="宋体"/>
      <w:sz w:val="28"/>
    </w:rPr>
  </w:style>
  <w:style w:type="paragraph" w:customStyle="1" w:styleId="213">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1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16">
    <w:name w:val="Char Char Char Char1"/>
    <w:basedOn w:val="1"/>
    <w:qFormat/>
    <w:uiPriority w:val="0"/>
    <w:rPr>
      <w:rFonts w:ascii="Tahoma" w:hAnsi="Tahoma"/>
      <w:sz w:val="24"/>
    </w:rPr>
  </w:style>
  <w:style w:type="paragraph" w:customStyle="1" w:styleId="21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1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19">
    <w:name w:val="Item Step in Table"/>
    <w:qFormat/>
    <w:uiPriority w:val="0"/>
    <w:pPr>
      <w:tabs>
        <w:tab w:val="left" w:pos="397"/>
      </w:tabs>
      <w:spacing w:before="40" w:after="40"/>
      <w:ind w:left="432" w:hanging="432"/>
      <w:jc w:val="both"/>
    </w:pPr>
    <w:rPr>
      <w:rFonts w:ascii="Arial" w:hAnsi="Arial" w:eastAsia="宋体" w:cs="Times New Roman"/>
      <w:kern w:val="0"/>
      <w:sz w:val="18"/>
      <w:szCs w:val="20"/>
      <w:lang w:val="en-US" w:eastAsia="zh-CN" w:bidi="ar-SA"/>
    </w:rPr>
  </w:style>
  <w:style w:type="paragraph" w:customStyle="1" w:styleId="220">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21">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22">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23">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szCs w:val="22"/>
    </w:rPr>
  </w:style>
  <w:style w:type="paragraph" w:customStyle="1" w:styleId="224">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2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26">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227">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28">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22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2"/>
      <w:szCs w:val="22"/>
    </w:rPr>
  </w:style>
  <w:style w:type="paragraph" w:customStyle="1" w:styleId="23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232">
    <w:name w:val="p0 paragraph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33">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34">
    <w:name w:val="插入对象"/>
    <w:basedOn w:val="1"/>
    <w:qFormat/>
    <w:uiPriority w:val="0"/>
    <w:pPr>
      <w:keepLines/>
      <w:adjustRightInd w:val="0"/>
      <w:spacing w:line="354" w:lineRule="auto"/>
      <w:ind w:firstLine="425"/>
      <w:jc w:val="center"/>
      <w:textAlignment w:val="baseline"/>
    </w:pPr>
    <w:rPr>
      <w:kern w:val="0"/>
      <w:sz w:val="24"/>
    </w:rPr>
  </w:style>
  <w:style w:type="paragraph" w:customStyle="1" w:styleId="23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b/>
      <w:bCs/>
      <w:kern w:val="0"/>
      <w:sz w:val="22"/>
      <w:szCs w:val="22"/>
    </w:rPr>
  </w:style>
  <w:style w:type="paragraph" w:customStyle="1" w:styleId="23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3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38">
    <w:name w:val="默认段落字体 Para Char Char Char Char Char Char Char Char Char Char"/>
    <w:basedOn w:val="1"/>
    <w:qFormat/>
    <w:uiPriority w:val="0"/>
    <w:rPr>
      <w:rFonts w:ascii="Tahoma" w:hAnsi="Tahoma"/>
      <w:sz w:val="24"/>
    </w:rPr>
  </w:style>
  <w:style w:type="paragraph" w:customStyle="1" w:styleId="23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2"/>
    </w:rPr>
  </w:style>
  <w:style w:type="paragraph" w:customStyle="1" w:styleId="24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241">
    <w:name w:val="样式 小四 行距: 1.5 倍行距 首行缩进:  2 字符"/>
    <w:basedOn w:val="1"/>
    <w:qFormat/>
    <w:uiPriority w:val="0"/>
    <w:pPr>
      <w:spacing w:line="360" w:lineRule="auto"/>
      <w:ind w:firstLine="480" w:firstLineChars="200"/>
    </w:pPr>
    <w:rPr>
      <w:rFonts w:cs="宋体"/>
      <w:sz w:val="24"/>
    </w:rPr>
  </w:style>
  <w:style w:type="paragraph" w:customStyle="1" w:styleId="24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243">
    <w:name w:val="xl120"/>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244">
    <w:name w:val="表格标题"/>
    <w:basedOn w:val="1"/>
    <w:qFormat/>
    <w:uiPriority w:val="0"/>
    <w:pPr>
      <w:adjustRightInd w:val="0"/>
      <w:spacing w:before="120" w:line="400" w:lineRule="exact"/>
      <w:jc w:val="center"/>
      <w:textAlignment w:val="baseline"/>
    </w:pPr>
    <w:rPr>
      <w:rFonts w:eastAsia="文鼎CS中宋"/>
      <w:spacing w:val="8"/>
      <w:kern w:val="0"/>
      <w:sz w:val="24"/>
    </w:rPr>
  </w:style>
  <w:style w:type="paragraph" w:customStyle="1" w:styleId="24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24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2"/>
      <w:szCs w:val="22"/>
    </w:rPr>
  </w:style>
  <w:style w:type="paragraph" w:customStyle="1" w:styleId="247">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248">
    <w:name w:val="Birdseed"/>
    <w:basedOn w:val="1"/>
    <w:qFormat/>
    <w:uiPriority w:val="0"/>
    <w:pPr>
      <w:widowControl/>
      <w:jc w:val="left"/>
    </w:pPr>
    <w:rPr>
      <w:rFonts w:ascii="Palatino Linotype" w:hAnsi="Palatino Linotype"/>
      <w:kern w:val="0"/>
      <w:sz w:val="18"/>
    </w:rPr>
  </w:style>
  <w:style w:type="paragraph" w:customStyle="1" w:styleId="249">
    <w:name w:val="大标题"/>
    <w:basedOn w:val="3"/>
    <w:qFormat/>
    <w:uiPriority w:val="0"/>
    <w:pPr>
      <w:keepNext w:val="0"/>
      <w:keepLines/>
      <w:pageBreakBefore/>
      <w:tabs>
        <w:tab w:val="left" w:pos="780"/>
      </w:tabs>
      <w:adjustRightInd w:val="0"/>
      <w:spacing w:line="440" w:lineRule="exact"/>
      <w:textAlignment w:val="baseline"/>
      <w:outlineLvl w:val="9"/>
    </w:pPr>
    <w:rPr>
      <w:rFonts w:ascii="宋体" w:hAnsi="Arial" w:eastAsia="宋体"/>
      <w:b w:val="0"/>
      <w:kern w:val="44"/>
      <w:sz w:val="36"/>
      <w:szCs w:val="36"/>
    </w:rPr>
  </w:style>
  <w:style w:type="paragraph" w:customStyle="1" w:styleId="250">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52">
    <w:name w:val="样式 首行缩进:  2 字符"/>
    <w:basedOn w:val="1"/>
    <w:qFormat/>
    <w:uiPriority w:val="0"/>
    <w:pPr>
      <w:spacing w:line="440" w:lineRule="exact"/>
      <w:ind w:firstLine="420" w:firstLineChars="200"/>
    </w:pPr>
    <w:rPr>
      <w:rFonts w:ascii="宋体" w:cs="宋体"/>
      <w:kern w:val="24"/>
      <w:sz w:val="24"/>
    </w:rPr>
  </w:style>
  <w:style w:type="paragraph" w:customStyle="1" w:styleId="25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55">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256">
    <w:name w:val="Char1 Char Char Char Char Char Char"/>
    <w:basedOn w:val="1"/>
    <w:next w:val="1"/>
    <w:qFormat/>
    <w:uiPriority w:val="0"/>
    <w:pPr>
      <w:keepNext/>
      <w:keepLines/>
      <w:pageBreakBefore/>
    </w:pPr>
    <w:rPr>
      <w:rFonts w:ascii="Tahoma" w:hAnsi="Tahoma"/>
      <w:sz w:val="24"/>
    </w:rPr>
  </w:style>
  <w:style w:type="paragraph" w:customStyle="1" w:styleId="257">
    <w:name w:val="Char Char Char1"/>
    <w:basedOn w:val="15"/>
    <w:qFormat/>
    <w:uiPriority w:val="0"/>
    <w:pPr>
      <w:adjustRightInd w:val="0"/>
      <w:snapToGrid w:val="0"/>
      <w:spacing w:line="360" w:lineRule="auto"/>
    </w:pPr>
    <w:rPr>
      <w:rFonts w:ascii="Tahoma" w:hAnsi="Tahoma"/>
      <w:sz w:val="24"/>
      <w:szCs w:val="24"/>
    </w:rPr>
  </w:style>
  <w:style w:type="paragraph" w:customStyle="1" w:styleId="25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4"/>
      <w:szCs w:val="24"/>
    </w:rPr>
  </w:style>
  <w:style w:type="paragraph" w:customStyle="1" w:styleId="259">
    <w:name w:val="Char"/>
    <w:basedOn w:val="15"/>
    <w:qFormat/>
    <w:uiPriority w:val="0"/>
    <w:pPr>
      <w:tabs>
        <w:tab w:val="left" w:pos="552"/>
        <w:tab w:val="left" w:pos="852"/>
      </w:tabs>
      <w:ind w:left="552" w:firstLine="183" w:firstLineChars="183"/>
    </w:pPr>
    <w:rPr>
      <w:rFonts w:ascii="Tahoma" w:hAnsi="Tahoma"/>
      <w:sz w:val="24"/>
    </w:rPr>
  </w:style>
  <w:style w:type="paragraph" w:customStyle="1" w:styleId="260">
    <w:name w:val="Char Char1 Char Char Char Char Char Char"/>
    <w:basedOn w:val="1"/>
    <w:qFormat/>
    <w:uiPriority w:val="0"/>
    <w:rPr>
      <w:rFonts w:ascii="Tahoma" w:hAnsi="Tahoma"/>
      <w:sz w:val="24"/>
      <w:szCs w:val="24"/>
    </w:rPr>
  </w:style>
  <w:style w:type="paragraph" w:customStyle="1" w:styleId="2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6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263">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6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6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66">
    <w:name w:val="正文加重首行缩进2字"/>
    <w:basedOn w:val="1"/>
    <w:qFormat/>
    <w:uiPriority w:val="0"/>
    <w:pPr>
      <w:spacing w:before="100" w:beforeAutospacing="1" w:after="100" w:afterAutospacing="1"/>
      <w:ind w:firstLine="560" w:firstLineChars="200"/>
    </w:pPr>
    <w:rPr>
      <w:rFonts w:eastAsia="仿宋_GB2312"/>
      <w:b/>
      <w:bCs/>
      <w:kern w:val="0"/>
      <w:sz w:val="24"/>
      <w:szCs w:val="24"/>
    </w:rPr>
  </w:style>
  <w:style w:type="paragraph" w:customStyle="1" w:styleId="267">
    <w:name w:val="Default"/>
    <w:qFormat/>
    <w:uiPriority w:val="99"/>
    <w:pPr>
      <w:widowControl w:val="0"/>
      <w:autoSpaceDE w:val="0"/>
      <w:autoSpaceDN w:val="0"/>
      <w:adjustRightInd w:val="0"/>
    </w:pPr>
    <w:rPr>
      <w:rFonts w:ascii="Verdana" w:hAnsi="Verdana" w:eastAsia="宋体" w:cs="Times New Roman"/>
      <w:color w:val="000000"/>
      <w:kern w:val="0"/>
      <w:sz w:val="24"/>
      <w:szCs w:val="20"/>
      <w:lang w:val="en-US" w:eastAsia="zh-CN" w:bidi="ar-SA"/>
    </w:rPr>
  </w:style>
  <w:style w:type="paragraph" w:customStyle="1" w:styleId="268">
    <w:name w:val="a14"/>
    <w:basedOn w:val="1"/>
    <w:qFormat/>
    <w:uiPriority w:val="0"/>
    <w:pPr>
      <w:widowControl/>
      <w:spacing w:before="100" w:beforeAutospacing="1" w:after="100" w:afterAutospacing="1" w:line="300" w:lineRule="atLeast"/>
      <w:ind w:firstLine="375"/>
      <w:jc w:val="left"/>
    </w:pPr>
    <w:rPr>
      <w:rFonts w:ascii="宋体" w:hAnsi="宋体"/>
      <w:kern w:val="0"/>
      <w:szCs w:val="21"/>
    </w:rPr>
  </w:style>
  <w:style w:type="paragraph" w:customStyle="1" w:styleId="269">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2"/>
      <w:szCs w:val="22"/>
    </w:rPr>
  </w:style>
  <w:style w:type="paragraph" w:customStyle="1" w:styleId="270">
    <w:name w:val="Char2"/>
    <w:basedOn w:val="1"/>
    <w:qFormat/>
    <w:uiPriority w:val="0"/>
    <w:rPr>
      <w:rFonts w:ascii="仿宋_GB2312" w:eastAsia="仿宋_GB2312"/>
      <w:b/>
      <w:sz w:val="32"/>
      <w:szCs w:val="32"/>
    </w:rPr>
  </w:style>
  <w:style w:type="paragraph" w:customStyle="1" w:styleId="27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27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27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74">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szCs w:val="22"/>
    </w:rPr>
  </w:style>
  <w:style w:type="paragraph" w:customStyle="1" w:styleId="275">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76">
    <w:name w:val="Table Text"/>
    <w:basedOn w:val="1"/>
    <w:qFormat/>
    <w:uiPriority w:val="0"/>
    <w:pPr>
      <w:widowControl/>
      <w:tabs>
        <w:tab w:val="decimal" w:pos="0"/>
      </w:tabs>
      <w:autoSpaceDE w:val="0"/>
      <w:autoSpaceDN w:val="0"/>
      <w:adjustRightInd w:val="0"/>
      <w:spacing w:before="80" w:after="80"/>
    </w:pPr>
    <w:rPr>
      <w:rFonts w:ascii="Arial" w:hAnsi="Arial"/>
      <w:color w:val="000000"/>
      <w:sz w:val="18"/>
    </w:rPr>
  </w:style>
  <w:style w:type="paragraph" w:customStyle="1" w:styleId="27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2"/>
      <w:szCs w:val="22"/>
    </w:rPr>
  </w:style>
  <w:style w:type="paragraph" w:customStyle="1" w:styleId="278">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7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80">
    <w:name w:val="样式 加粗 居中"/>
    <w:basedOn w:val="1"/>
    <w:qFormat/>
    <w:uiPriority w:val="0"/>
    <w:pPr>
      <w:jc w:val="center"/>
    </w:pPr>
    <w:rPr>
      <w:rFonts w:eastAsia="黑体"/>
      <w:b/>
      <w:sz w:val="48"/>
    </w:rPr>
  </w:style>
  <w:style w:type="paragraph" w:customStyle="1" w:styleId="281">
    <w:name w:val="Char1"/>
    <w:basedOn w:val="1"/>
    <w:qFormat/>
    <w:uiPriority w:val="0"/>
    <w:pPr>
      <w:widowControl/>
      <w:spacing w:after="160" w:line="240" w:lineRule="exact"/>
      <w:jc w:val="left"/>
    </w:pPr>
    <w:rPr>
      <w:rFonts w:ascii="Verdana" w:hAnsi="Verdana"/>
      <w:kern w:val="0"/>
      <w:sz w:val="20"/>
      <w:lang w:eastAsia="en-US"/>
    </w:rPr>
  </w:style>
  <w:style w:type="character" w:customStyle="1" w:styleId="282">
    <w:name w:val="标题 1 字符"/>
    <w:basedOn w:val="43"/>
    <w:qFormat/>
    <w:uiPriority w:val="0"/>
    <w:rPr>
      <w:rFonts w:ascii="Times New Roman" w:hAnsi="Times New Roman" w:eastAsia="宋体" w:cs="Times New Roman"/>
      <w:b/>
      <w:bCs/>
      <w:kern w:val="44"/>
      <w:sz w:val="44"/>
      <w:szCs w:val="44"/>
    </w:rPr>
  </w:style>
  <w:style w:type="character" w:customStyle="1" w:styleId="283">
    <w:name w:val="标题 2 字符"/>
    <w:basedOn w:val="43"/>
    <w:semiHidden/>
    <w:qFormat/>
    <w:uiPriority w:val="0"/>
    <w:rPr>
      <w:rFonts w:asciiTheme="majorHAnsi" w:hAnsiTheme="majorHAnsi" w:eastAsiaTheme="majorEastAsia" w:cstheme="majorBidi"/>
      <w:b/>
      <w:bCs/>
      <w:sz w:val="32"/>
      <w:szCs w:val="32"/>
    </w:rPr>
  </w:style>
  <w:style w:type="character" w:customStyle="1" w:styleId="284">
    <w:name w:val="标题 3 字符"/>
    <w:basedOn w:val="43"/>
    <w:qFormat/>
    <w:uiPriority w:val="0"/>
    <w:rPr>
      <w:rFonts w:ascii="Times New Roman" w:hAnsi="Times New Roman" w:eastAsia="宋体" w:cs="Times New Roman"/>
      <w:b/>
      <w:bCs/>
      <w:sz w:val="32"/>
      <w:szCs w:val="32"/>
    </w:rPr>
  </w:style>
  <w:style w:type="character" w:customStyle="1" w:styleId="285">
    <w:name w:val="标题 4 字符"/>
    <w:basedOn w:val="43"/>
    <w:semiHidden/>
    <w:qFormat/>
    <w:uiPriority w:val="0"/>
    <w:rPr>
      <w:rFonts w:asciiTheme="majorHAnsi" w:hAnsiTheme="majorHAnsi" w:eastAsiaTheme="majorEastAsia" w:cstheme="majorBidi"/>
      <w:b/>
      <w:bCs/>
      <w:sz w:val="28"/>
      <w:szCs w:val="28"/>
    </w:rPr>
  </w:style>
  <w:style w:type="character" w:customStyle="1" w:styleId="286">
    <w:name w:val="标题 5 字符"/>
    <w:basedOn w:val="43"/>
    <w:semiHidden/>
    <w:qFormat/>
    <w:uiPriority w:val="0"/>
    <w:rPr>
      <w:rFonts w:ascii="Times New Roman" w:hAnsi="Times New Roman" w:eastAsia="宋体" w:cs="Times New Roman"/>
      <w:b/>
      <w:bCs/>
      <w:sz w:val="28"/>
      <w:szCs w:val="28"/>
    </w:rPr>
  </w:style>
  <w:style w:type="character" w:customStyle="1" w:styleId="287">
    <w:name w:val="HTML 预设格式 Char"/>
    <w:basedOn w:val="43"/>
    <w:link w:val="36"/>
    <w:semiHidden/>
    <w:qFormat/>
    <w:uiPriority w:val="99"/>
    <w:rPr>
      <w:rFonts w:ascii="宋体" w:hAnsi="宋体" w:eastAsia="宋体" w:cs="宋体"/>
      <w:kern w:val="0"/>
      <w:sz w:val="24"/>
      <w:szCs w:val="24"/>
    </w:rPr>
  </w:style>
  <w:style w:type="character" w:customStyle="1" w:styleId="288">
    <w:name w:val="HTML 预设格式 字符"/>
    <w:basedOn w:val="43"/>
    <w:semiHidden/>
    <w:qFormat/>
    <w:uiPriority w:val="99"/>
    <w:rPr>
      <w:rFonts w:ascii="Courier New" w:hAnsi="Courier New" w:eastAsia="宋体" w:cs="Courier New"/>
      <w:sz w:val="20"/>
      <w:szCs w:val="20"/>
    </w:rPr>
  </w:style>
  <w:style w:type="character" w:customStyle="1" w:styleId="289">
    <w:name w:val="批注文字 字符"/>
    <w:basedOn w:val="43"/>
    <w:semiHidden/>
    <w:qFormat/>
    <w:uiPriority w:val="0"/>
    <w:rPr>
      <w:rFonts w:ascii="Times New Roman" w:hAnsi="Times New Roman" w:eastAsia="宋体" w:cs="Times New Roman"/>
      <w:szCs w:val="20"/>
    </w:rPr>
  </w:style>
  <w:style w:type="character" w:customStyle="1" w:styleId="290">
    <w:name w:val="正文文本 字符"/>
    <w:basedOn w:val="43"/>
    <w:semiHidden/>
    <w:qFormat/>
    <w:uiPriority w:val="0"/>
    <w:rPr>
      <w:rFonts w:ascii="Times New Roman" w:hAnsi="Times New Roman" w:eastAsia="宋体" w:cs="Times New Roman"/>
      <w:szCs w:val="20"/>
    </w:rPr>
  </w:style>
  <w:style w:type="character" w:customStyle="1" w:styleId="291">
    <w:name w:val="正文文本缩进 字符"/>
    <w:basedOn w:val="43"/>
    <w:semiHidden/>
    <w:qFormat/>
    <w:uiPriority w:val="0"/>
    <w:rPr>
      <w:rFonts w:ascii="Times New Roman" w:hAnsi="Times New Roman" w:eastAsia="宋体" w:cs="Times New Roman"/>
      <w:szCs w:val="20"/>
    </w:rPr>
  </w:style>
  <w:style w:type="character" w:customStyle="1" w:styleId="292">
    <w:name w:val="日期 字符"/>
    <w:basedOn w:val="43"/>
    <w:semiHidden/>
    <w:qFormat/>
    <w:uiPriority w:val="0"/>
    <w:rPr>
      <w:rFonts w:ascii="Times New Roman" w:hAnsi="Times New Roman" w:eastAsia="宋体" w:cs="Times New Roman"/>
      <w:szCs w:val="20"/>
    </w:rPr>
  </w:style>
  <w:style w:type="character" w:customStyle="1" w:styleId="293">
    <w:name w:val="正文文本 2 字符"/>
    <w:basedOn w:val="43"/>
    <w:semiHidden/>
    <w:qFormat/>
    <w:uiPriority w:val="0"/>
    <w:rPr>
      <w:rFonts w:ascii="Times New Roman" w:hAnsi="Times New Roman" w:eastAsia="宋体" w:cs="Times New Roman"/>
      <w:szCs w:val="20"/>
    </w:rPr>
  </w:style>
  <w:style w:type="character" w:customStyle="1" w:styleId="294">
    <w:name w:val="正文文本缩进 2 字符"/>
    <w:basedOn w:val="43"/>
    <w:semiHidden/>
    <w:qFormat/>
    <w:uiPriority w:val="99"/>
    <w:rPr>
      <w:rFonts w:ascii="Times New Roman" w:hAnsi="Times New Roman" w:eastAsia="宋体" w:cs="Times New Roman"/>
      <w:szCs w:val="20"/>
    </w:rPr>
  </w:style>
  <w:style w:type="character" w:customStyle="1" w:styleId="295">
    <w:name w:val="正文文本缩进 3 字符"/>
    <w:basedOn w:val="43"/>
    <w:semiHidden/>
    <w:qFormat/>
    <w:uiPriority w:val="0"/>
    <w:rPr>
      <w:rFonts w:ascii="Times New Roman" w:hAnsi="Times New Roman" w:eastAsia="宋体" w:cs="Times New Roman"/>
      <w:sz w:val="16"/>
      <w:szCs w:val="16"/>
    </w:rPr>
  </w:style>
  <w:style w:type="character" w:customStyle="1" w:styleId="296">
    <w:name w:val="文档结构图 字符"/>
    <w:basedOn w:val="43"/>
    <w:semiHidden/>
    <w:qFormat/>
    <w:uiPriority w:val="0"/>
    <w:rPr>
      <w:rFonts w:ascii="Microsoft YaHei UI" w:hAnsi="Times New Roman" w:eastAsia="Microsoft YaHei UI" w:cs="Times New Roman"/>
      <w:sz w:val="18"/>
      <w:szCs w:val="18"/>
    </w:rPr>
  </w:style>
  <w:style w:type="character" w:customStyle="1" w:styleId="297">
    <w:name w:val="纯文本 字符"/>
    <w:basedOn w:val="43"/>
    <w:semiHidden/>
    <w:qFormat/>
    <w:uiPriority w:val="99"/>
    <w:rPr>
      <w:rFonts w:hAnsi="Courier New" w:cs="Courier New" w:asciiTheme="minorEastAsia"/>
      <w:szCs w:val="20"/>
    </w:rPr>
  </w:style>
  <w:style w:type="character" w:customStyle="1" w:styleId="298">
    <w:name w:val="批注主题 字符"/>
    <w:basedOn w:val="289"/>
    <w:semiHidden/>
    <w:qFormat/>
    <w:uiPriority w:val="0"/>
    <w:rPr>
      <w:rFonts w:ascii="Times New Roman" w:hAnsi="Times New Roman" w:eastAsia="宋体" w:cs="Times New Roman"/>
      <w:b/>
      <w:bCs/>
      <w:szCs w:val="20"/>
    </w:rPr>
  </w:style>
  <w:style w:type="character" w:customStyle="1" w:styleId="299">
    <w:name w:val="批注框文本 字符"/>
    <w:basedOn w:val="43"/>
    <w:semiHidden/>
    <w:qFormat/>
    <w:uiPriority w:val="0"/>
    <w:rPr>
      <w:rFonts w:ascii="Times New Roman" w:hAnsi="Times New Roman" w:eastAsia="宋体" w:cs="Times New Roman"/>
      <w:sz w:val="18"/>
      <w:szCs w:val="18"/>
    </w:rPr>
  </w:style>
  <w:style w:type="character" w:customStyle="1" w:styleId="300">
    <w:name w:val="无间隔 Char"/>
    <w:link w:val="301"/>
    <w:qFormat/>
    <w:locked/>
    <w:uiPriority w:val="1"/>
    <w:rPr>
      <w:rFonts w:ascii="Calibri" w:hAnsi="Calibri" w:eastAsia="宋体" w:cs="Times New Roman"/>
      <w:kern w:val="0"/>
      <w:sz w:val="22"/>
    </w:rPr>
  </w:style>
  <w:style w:type="paragraph" w:styleId="301">
    <w:name w:val="No Spacing"/>
    <w:link w:val="300"/>
    <w:qFormat/>
    <w:uiPriority w:val="99"/>
    <w:rPr>
      <w:rFonts w:ascii="Calibri" w:hAnsi="Calibri" w:eastAsia="宋体" w:cs="Times New Roman"/>
      <w:kern w:val="0"/>
      <w:sz w:val="22"/>
      <w:szCs w:val="22"/>
      <w:lang w:val="en-US" w:eastAsia="zh-CN" w:bidi="ar-SA"/>
    </w:rPr>
  </w:style>
  <w:style w:type="paragraph" w:customStyle="1" w:styleId="302">
    <w:name w:val="lp1"/>
    <w:basedOn w:val="1"/>
    <w:next w:val="74"/>
    <w:semiHidden/>
    <w:qFormat/>
    <w:uiPriority w:val="34"/>
    <w:pPr>
      <w:ind w:firstLine="420" w:firstLineChars="200"/>
    </w:pPr>
    <w:rPr>
      <w:rFonts w:asciiTheme="minorHAnsi" w:hAnsiTheme="minorHAnsi" w:eastAsiaTheme="minorEastAsia" w:cstheme="minorBidi"/>
      <w:szCs w:val="22"/>
    </w:rPr>
  </w:style>
  <w:style w:type="character" w:customStyle="1" w:styleId="303">
    <w:name w:val="列出段落 字符"/>
    <w:link w:val="202"/>
    <w:qFormat/>
    <w:locked/>
    <w:uiPriority w:val="34"/>
    <w:rPr>
      <w:rFonts w:ascii="Calibri" w:hAnsi="Calibri" w:eastAsia="宋体" w:cs="黑体"/>
    </w:rPr>
  </w:style>
  <w:style w:type="character" w:customStyle="1" w:styleId="304">
    <w:name w:val="缺省文本 Char"/>
    <w:link w:val="305"/>
    <w:semiHidden/>
    <w:qFormat/>
    <w:locked/>
    <w:uiPriority w:val="0"/>
    <w:rPr>
      <w:rFonts w:ascii="Arial" w:hAnsi="Arial" w:eastAsia="宋体" w:cs="Times New Roman"/>
      <w:kern w:val="0"/>
      <w:sz w:val="24"/>
      <w:szCs w:val="21"/>
    </w:rPr>
  </w:style>
  <w:style w:type="paragraph" w:customStyle="1" w:styleId="305">
    <w:name w:val="缺省文本"/>
    <w:basedOn w:val="1"/>
    <w:link w:val="304"/>
    <w:semiHidden/>
    <w:qFormat/>
    <w:uiPriority w:val="0"/>
    <w:pPr>
      <w:autoSpaceDE w:val="0"/>
      <w:autoSpaceDN w:val="0"/>
      <w:adjustRightInd w:val="0"/>
      <w:spacing w:line="360" w:lineRule="auto"/>
      <w:jc w:val="left"/>
    </w:pPr>
    <w:rPr>
      <w:rFonts w:ascii="Arial" w:hAnsi="Arial"/>
      <w:kern w:val="0"/>
      <w:sz w:val="24"/>
      <w:szCs w:val="21"/>
    </w:rPr>
  </w:style>
  <w:style w:type="character" w:customStyle="1" w:styleId="306">
    <w:name w:val="font171"/>
    <w:qFormat/>
    <w:uiPriority w:val="0"/>
    <w:rPr>
      <w:rFonts w:hint="eastAsia" w:ascii="宋体" w:hAnsi="宋体" w:eastAsia="宋体" w:cs="宋体"/>
      <w:b/>
      <w:color w:val="000000"/>
      <w:sz w:val="20"/>
      <w:szCs w:val="20"/>
      <w:u w:val="none"/>
    </w:rPr>
  </w:style>
  <w:style w:type="character" w:customStyle="1" w:styleId="307">
    <w:name w:val="font201"/>
    <w:qFormat/>
    <w:uiPriority w:val="0"/>
    <w:rPr>
      <w:rFonts w:hint="eastAsia" w:ascii="宋体" w:hAnsi="宋体" w:eastAsia="宋体" w:cs="宋体"/>
      <w:color w:val="FF0000"/>
      <w:sz w:val="20"/>
      <w:szCs w:val="20"/>
      <w:u w:val="none"/>
    </w:rPr>
  </w:style>
  <w:style w:type="character" w:customStyle="1" w:styleId="308">
    <w:name w:val="font101"/>
    <w:qFormat/>
    <w:uiPriority w:val="0"/>
    <w:rPr>
      <w:rFonts w:hint="eastAsia" w:ascii="宋体" w:hAnsi="宋体" w:eastAsia="宋体" w:cs="宋体"/>
      <w:color w:val="000000"/>
      <w:sz w:val="20"/>
      <w:szCs w:val="20"/>
      <w:u w:val="none"/>
    </w:rPr>
  </w:style>
  <w:style w:type="character" w:customStyle="1" w:styleId="309">
    <w:name w:val="font91"/>
    <w:qFormat/>
    <w:uiPriority w:val="0"/>
    <w:rPr>
      <w:rFonts w:hint="eastAsia" w:ascii="宋体" w:hAnsi="宋体" w:eastAsia="宋体" w:cs="宋体"/>
      <w:b/>
      <w:color w:val="FF0000"/>
      <w:sz w:val="20"/>
      <w:szCs w:val="20"/>
      <w:u w:val="none"/>
    </w:rPr>
  </w:style>
  <w:style w:type="character" w:customStyle="1" w:styleId="310">
    <w:name w:val="font112"/>
    <w:qFormat/>
    <w:uiPriority w:val="0"/>
    <w:rPr>
      <w:rFonts w:hint="eastAsia" w:ascii="宋体" w:hAnsi="宋体" w:eastAsia="宋体" w:cs="宋体"/>
      <w:color w:val="800080"/>
      <w:sz w:val="20"/>
      <w:szCs w:val="20"/>
      <w:u w:val="none"/>
    </w:rPr>
  </w:style>
  <w:style w:type="character" w:customStyle="1" w:styleId="311">
    <w:name w:val="font191"/>
    <w:qFormat/>
    <w:uiPriority w:val="0"/>
    <w:rPr>
      <w:rFonts w:hint="eastAsia" w:ascii="宋体" w:hAnsi="宋体" w:eastAsia="宋体" w:cs="宋体"/>
      <w:b/>
      <w:color w:val="800080"/>
      <w:sz w:val="20"/>
      <w:szCs w:val="20"/>
      <w:u w:val="none"/>
    </w:rPr>
  </w:style>
  <w:style w:type="character" w:customStyle="1" w:styleId="312">
    <w:name w:val="font161"/>
    <w:qFormat/>
    <w:uiPriority w:val="0"/>
    <w:rPr>
      <w:rFonts w:hint="eastAsia" w:ascii="宋体" w:hAnsi="宋体" w:eastAsia="宋体" w:cs="宋体"/>
      <w:color w:val="000000"/>
      <w:sz w:val="20"/>
      <w:szCs w:val="20"/>
      <w:u w:val="none"/>
    </w:rPr>
  </w:style>
  <w:style w:type="character" w:customStyle="1" w:styleId="313">
    <w:name w:val="font121"/>
    <w:qFormat/>
    <w:uiPriority w:val="0"/>
    <w:rPr>
      <w:rFonts w:hint="eastAsia" w:ascii="宋体" w:hAnsi="宋体" w:eastAsia="宋体" w:cs="宋体"/>
      <w:b/>
      <w:color w:val="800080"/>
      <w:sz w:val="20"/>
      <w:szCs w:val="20"/>
      <w:u w:val="none"/>
    </w:rPr>
  </w:style>
  <w:style w:type="character" w:customStyle="1" w:styleId="314">
    <w:name w:val="font181"/>
    <w:qFormat/>
    <w:uiPriority w:val="0"/>
    <w:rPr>
      <w:rFonts w:hint="eastAsia" w:ascii="宋体" w:hAnsi="宋体" w:eastAsia="宋体" w:cs="宋体"/>
      <w:b/>
      <w:color w:val="000000"/>
      <w:sz w:val="20"/>
      <w:szCs w:val="20"/>
      <w:u w:val="none"/>
    </w:rPr>
  </w:style>
  <w:style w:type="character" w:customStyle="1" w:styleId="315">
    <w:name w:val="font151"/>
    <w:qFormat/>
    <w:uiPriority w:val="0"/>
    <w:rPr>
      <w:rFonts w:hint="eastAsia" w:ascii="宋体" w:hAnsi="宋体" w:eastAsia="宋体" w:cs="宋体"/>
      <w:color w:val="FF0000"/>
      <w:sz w:val="20"/>
      <w:szCs w:val="20"/>
      <w:u w:val="none"/>
    </w:rPr>
  </w:style>
  <w:style w:type="character" w:customStyle="1" w:styleId="316">
    <w:name w:val="font141"/>
    <w:qFormat/>
    <w:uiPriority w:val="0"/>
    <w:rPr>
      <w:rFonts w:hint="eastAsia" w:ascii="宋体" w:hAnsi="宋体" w:eastAsia="宋体" w:cs="宋体"/>
      <w:b/>
      <w:color w:val="000000"/>
      <w:sz w:val="20"/>
      <w:szCs w:val="20"/>
      <w:u w:val="none"/>
    </w:rPr>
  </w:style>
  <w:style w:type="character" w:customStyle="1" w:styleId="317">
    <w:name w:val="font81"/>
    <w:qFormat/>
    <w:uiPriority w:val="0"/>
    <w:rPr>
      <w:rFonts w:hint="eastAsia" w:ascii="宋体" w:hAnsi="宋体" w:eastAsia="宋体" w:cs="宋体"/>
      <w:color w:val="FF0000"/>
      <w:sz w:val="16"/>
      <w:szCs w:val="16"/>
      <w:u w:val="none"/>
    </w:rPr>
  </w:style>
  <w:style w:type="character" w:customStyle="1" w:styleId="318">
    <w:name w:val="font61"/>
    <w:qFormat/>
    <w:uiPriority w:val="0"/>
    <w:rPr>
      <w:rFonts w:hint="default" w:ascii="font-weight : 400" w:hAnsi="font-weight : 400" w:eastAsia="font-weight : 400" w:cs="font-weight : 400"/>
      <w:color w:val="FF0000"/>
      <w:sz w:val="16"/>
      <w:szCs w:val="16"/>
      <w:u w:val="none"/>
    </w:rPr>
  </w:style>
  <w:style w:type="character" w:customStyle="1" w:styleId="319">
    <w:name w:val="font31"/>
    <w:qFormat/>
    <w:uiPriority w:val="0"/>
    <w:rPr>
      <w:rFonts w:hint="default" w:ascii="Heiti SC Medium" w:hAnsi="Heiti SC Medium" w:eastAsia="Heiti SC Medium" w:cs="Heiti SC Medium"/>
      <w:b/>
      <w:color w:val="000000"/>
      <w:sz w:val="20"/>
      <w:szCs w:val="20"/>
      <w:u w:val="none"/>
    </w:rPr>
  </w:style>
  <w:style w:type="character" w:customStyle="1" w:styleId="320">
    <w:name w:val="font21"/>
    <w:qFormat/>
    <w:uiPriority w:val="0"/>
    <w:rPr>
      <w:rFonts w:hint="eastAsia" w:ascii="宋体" w:hAnsi="宋体" w:eastAsia="宋体" w:cs="宋体"/>
      <w:color w:val="000000"/>
      <w:sz w:val="16"/>
      <w:szCs w:val="16"/>
      <w:u w:val="none"/>
    </w:rPr>
  </w:style>
  <w:style w:type="character" w:customStyle="1" w:styleId="321">
    <w:name w:val="font41"/>
    <w:qFormat/>
    <w:uiPriority w:val="0"/>
    <w:rPr>
      <w:rFonts w:hint="eastAsia" w:ascii="宋体" w:hAnsi="宋体" w:eastAsia="宋体" w:cs="宋体"/>
      <w:color w:val="000000"/>
      <w:sz w:val="20"/>
      <w:szCs w:val="20"/>
      <w:u w:val="none"/>
    </w:rPr>
  </w:style>
  <w:style w:type="table" w:customStyle="1" w:styleId="322">
    <w:name w:val="网格型1"/>
    <w:basedOn w:val="41"/>
    <w:qFormat/>
    <w:uiPriority w:val="39"/>
    <w:rPr>
      <w:rFonts w:ascii="Calibri" w:hAnsi="Calibri" w:eastAsia="宋体" w:cs="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3">
    <w:name w:val="Table Paragraph"/>
    <w:basedOn w:val="1"/>
    <w:qFormat/>
    <w:uiPriority w:val="0"/>
    <w:pPr>
      <w:autoSpaceDE w:val="0"/>
      <w:autoSpaceDN w:val="0"/>
      <w:jc w:val="left"/>
    </w:pPr>
    <w:rPr>
      <w:rFonts w:ascii="宋体" w:hAnsi="宋体" w:cs="宋体"/>
      <w:kern w:val="0"/>
      <w:sz w:val="22"/>
      <w:szCs w:val="22"/>
      <w:lang w:val="zh-CN" w:bidi="zh-CN"/>
    </w:rPr>
  </w:style>
  <w:style w:type="character" w:customStyle="1" w:styleId="324">
    <w:name w:val="列出段落 Char1"/>
    <w:qFormat/>
    <w:uiPriority w:val="34"/>
    <w:rPr>
      <w:rFonts w:ascii="Times New Roman" w:hAnsi="Times New Roman" w:eastAsia="宋体" w:cs="Times New Roman"/>
      <w:szCs w:val="20"/>
    </w:rPr>
  </w:style>
  <w:style w:type="paragraph" w:customStyle="1" w:styleId="325">
    <w:name w:val="_Style 3"/>
    <w:basedOn w:val="1"/>
    <w:qFormat/>
    <w:uiPriority w:val="0"/>
    <w:pPr>
      <w:ind w:firstLine="420" w:firstLineChars="200"/>
    </w:pPr>
    <w:rPr>
      <w:rFonts w:ascii="Calibri" w:hAnsi="Calibri"/>
      <w:sz w:val="24"/>
      <w:szCs w:val="22"/>
    </w:rPr>
  </w:style>
  <w:style w:type="paragraph" w:customStyle="1" w:styleId="3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27">
    <w:name w:val="页眉 Char2"/>
    <w:basedOn w:val="43"/>
    <w:qFormat/>
    <w:uiPriority w:val="99"/>
    <w:rPr>
      <w:rFonts w:ascii="Times New Roman" w:hAnsi="Times New Roman" w:eastAsia="宋体" w:cs="Times New Roman"/>
      <w:sz w:val="18"/>
      <w:szCs w:val="20"/>
    </w:rPr>
  </w:style>
  <w:style w:type="paragraph" w:customStyle="1" w:styleId="328">
    <w:name w:val="标题4"/>
    <w:basedOn w:val="4"/>
    <w:qFormat/>
    <w:uiPriority w:val="0"/>
    <w:pPr>
      <w:keepNext w:val="0"/>
      <w:tabs>
        <w:tab w:val="left" w:pos="1104"/>
      </w:tabs>
      <w:spacing w:beforeLines="50" w:line="360" w:lineRule="auto"/>
      <w:ind w:firstLine="200" w:firstLineChars="200"/>
      <w:jc w:val="both"/>
      <w:outlineLvl w:val="3"/>
    </w:pPr>
    <w:rPr>
      <w:rFonts w:ascii="Calibri" w:hAnsi="Calibri" w:eastAsia="宋体"/>
      <w:bCs w:val="0"/>
      <w:kern w:val="0"/>
      <w:sz w:val="30"/>
      <w:szCs w:val="22"/>
    </w:rPr>
  </w:style>
  <w:style w:type="character" w:customStyle="1" w:styleId="329">
    <w:name w:val="列表段落 字符"/>
    <w:qFormat/>
    <w:locked/>
    <w:uiPriority w:val="99"/>
    <w:rPr>
      <w:kern w:val="2"/>
      <w:sz w:val="21"/>
      <w:szCs w:val="22"/>
    </w:rPr>
  </w:style>
  <w:style w:type="character" w:customStyle="1" w:styleId="330">
    <w:name w:val="font71"/>
    <w:qFormat/>
    <w:uiPriority w:val="0"/>
    <w:rPr>
      <w:rFonts w:hint="eastAsia" w:ascii="宋体" w:hAnsi="宋体" w:eastAsia="宋体" w:cs="宋体"/>
      <w:color w:val="FF0000"/>
      <w:sz w:val="22"/>
      <w:szCs w:val="22"/>
      <w:u w:val="none"/>
    </w:rPr>
  </w:style>
  <w:style w:type="character" w:customStyle="1" w:styleId="331">
    <w:name w:val="标准文本 Char Char"/>
    <w:qFormat/>
    <w:uiPriority w:val="0"/>
    <w:rPr>
      <w:sz w:val="24"/>
    </w:rPr>
  </w:style>
  <w:style w:type="character" w:customStyle="1" w:styleId="332">
    <w:name w:val="标题 3 Char1"/>
    <w:qFormat/>
    <w:uiPriority w:val="0"/>
    <w:rPr>
      <w:rFonts w:ascii="Arial" w:hAnsi="Arial"/>
      <w:b/>
      <w:kern w:val="2"/>
      <w:sz w:val="24"/>
    </w:rPr>
  </w:style>
  <w:style w:type="character" w:customStyle="1" w:styleId="333">
    <w:name w:val="自定义正文 Char Char"/>
    <w:link w:val="334"/>
    <w:qFormat/>
    <w:locked/>
    <w:uiPriority w:val="0"/>
    <w:rPr>
      <w:sz w:val="24"/>
    </w:rPr>
  </w:style>
  <w:style w:type="paragraph" w:customStyle="1" w:styleId="334">
    <w:name w:val="自定义正文"/>
    <w:basedOn w:val="1"/>
    <w:link w:val="333"/>
    <w:qFormat/>
    <w:uiPriority w:val="0"/>
    <w:pPr>
      <w:spacing w:afterLines="50" w:line="360" w:lineRule="auto"/>
      <w:ind w:firstLine="200" w:firstLineChars="200"/>
      <w:jc w:val="left"/>
    </w:pPr>
    <w:rPr>
      <w:rFonts w:asciiTheme="minorHAnsi" w:hAnsiTheme="minorHAnsi" w:eastAsiaTheme="minorEastAsia" w:cstheme="minorBidi"/>
      <w:sz w:val="24"/>
      <w:szCs w:val="22"/>
    </w:rPr>
  </w:style>
  <w:style w:type="character" w:customStyle="1" w:styleId="335">
    <w:name w:val="font01"/>
    <w:qFormat/>
    <w:uiPriority w:val="0"/>
    <w:rPr>
      <w:rFonts w:hint="eastAsia" w:ascii="宋体" w:hAnsi="宋体" w:eastAsia="宋体" w:cs="宋体"/>
      <w:color w:val="000000"/>
      <w:sz w:val="22"/>
      <w:szCs w:val="22"/>
      <w:u w:val="none"/>
    </w:rPr>
  </w:style>
  <w:style w:type="character" w:customStyle="1" w:styleId="336">
    <w:name w:val="List Paragraph Char"/>
    <w:link w:val="337"/>
    <w:qFormat/>
    <w:locked/>
    <w:uiPriority w:val="0"/>
  </w:style>
  <w:style w:type="paragraph" w:customStyle="1" w:styleId="337">
    <w:name w:val="列出段落11"/>
    <w:basedOn w:val="1"/>
    <w:link w:val="336"/>
    <w:qFormat/>
    <w:uiPriority w:val="0"/>
    <w:pPr>
      <w:ind w:firstLine="420" w:firstLineChars="200"/>
    </w:pPr>
    <w:rPr>
      <w:rFonts w:asciiTheme="minorHAnsi" w:hAnsiTheme="minorHAnsi" w:eastAsiaTheme="minorEastAsia" w:cstheme="minorBidi"/>
      <w:szCs w:val="22"/>
    </w:rPr>
  </w:style>
  <w:style w:type="character" w:customStyle="1" w:styleId="338">
    <w:name w:val="font131"/>
    <w:qFormat/>
    <w:uiPriority w:val="0"/>
    <w:rPr>
      <w:rFonts w:hint="default" w:ascii="Times New Roman" w:hAnsi="Times New Roman" w:cs="Times New Roman"/>
      <w:color w:val="000000"/>
      <w:sz w:val="22"/>
      <w:szCs w:val="22"/>
      <w:u w:val="none"/>
    </w:rPr>
  </w:style>
  <w:style w:type="character" w:customStyle="1" w:styleId="339">
    <w:name w:val="close"/>
    <w:qFormat/>
    <w:uiPriority w:val="0"/>
    <w:rPr>
      <w:shd w:val="clear" w:color="auto" w:fill="4D4D4D"/>
    </w:rPr>
  </w:style>
  <w:style w:type="character" w:customStyle="1" w:styleId="340">
    <w:name w:val="自定义正文 Char"/>
    <w:qFormat/>
    <w:uiPriority w:val="0"/>
    <w:rPr>
      <w:rFonts w:ascii="仿宋_GB2312" w:eastAsia="仿宋_GB2312"/>
      <w:kern w:val="2"/>
      <w:sz w:val="24"/>
      <w:lang w:val="en-US" w:eastAsia="zh-CN"/>
    </w:rPr>
  </w:style>
  <w:style w:type="character" w:customStyle="1" w:styleId="341">
    <w:name w:val="apple-converted-space"/>
    <w:basedOn w:val="43"/>
    <w:qFormat/>
    <w:uiPriority w:val="99"/>
  </w:style>
  <w:style w:type="character" w:customStyle="1" w:styleId="342">
    <w:name w:val="列表段落 字符1"/>
    <w:link w:val="343"/>
    <w:qFormat/>
    <w:locked/>
    <w:uiPriority w:val="0"/>
    <w:rPr>
      <w:rFonts w:ascii="Times New Roman" w:hAnsi="Times New Roman"/>
    </w:rPr>
  </w:style>
  <w:style w:type="paragraph" w:customStyle="1" w:styleId="343">
    <w:name w:val="列表段落1"/>
    <w:basedOn w:val="1"/>
    <w:link w:val="342"/>
    <w:qFormat/>
    <w:uiPriority w:val="0"/>
    <w:pPr>
      <w:ind w:firstLine="420" w:firstLineChars="200"/>
    </w:pPr>
    <w:rPr>
      <w:rFonts w:eastAsiaTheme="minorEastAsia" w:cstheme="minorBidi"/>
      <w:szCs w:val="22"/>
    </w:rPr>
  </w:style>
  <w:style w:type="character" w:customStyle="1" w:styleId="344">
    <w:name w:val="04-正文 Char"/>
    <w:link w:val="345"/>
    <w:qFormat/>
    <w:uiPriority w:val="0"/>
    <w:rPr>
      <w:rFonts w:ascii="宋体" w:hAnsi="宋体"/>
      <w:sz w:val="24"/>
      <w:szCs w:val="24"/>
    </w:rPr>
  </w:style>
  <w:style w:type="paragraph" w:customStyle="1" w:styleId="345">
    <w:name w:val="04-正文"/>
    <w:basedOn w:val="1"/>
    <w:link w:val="344"/>
    <w:qFormat/>
    <w:uiPriority w:val="0"/>
    <w:pPr>
      <w:spacing w:line="360" w:lineRule="auto"/>
      <w:ind w:firstLine="482"/>
    </w:pPr>
    <w:rPr>
      <w:rFonts w:ascii="宋体" w:hAnsi="宋体" w:eastAsiaTheme="minorEastAsia" w:cstheme="minorBidi"/>
      <w:sz w:val="24"/>
      <w:szCs w:val="24"/>
    </w:rPr>
  </w:style>
  <w:style w:type="character" w:customStyle="1" w:styleId="346">
    <w:name w:val="页脚 字符"/>
    <w:qFormat/>
    <w:uiPriority w:val="0"/>
  </w:style>
  <w:style w:type="character" w:customStyle="1" w:styleId="347">
    <w:name w:val="标题2 Char"/>
    <w:link w:val="348"/>
    <w:qFormat/>
    <w:uiPriority w:val="0"/>
    <w:rPr>
      <w:rFonts w:ascii="宋体" w:hAnsi="宋体"/>
      <w:b/>
      <w:sz w:val="24"/>
    </w:rPr>
  </w:style>
  <w:style w:type="paragraph" w:customStyle="1" w:styleId="348">
    <w:name w:val="标题2"/>
    <w:basedOn w:val="4"/>
    <w:link w:val="347"/>
    <w:qFormat/>
    <w:uiPriority w:val="0"/>
    <w:pPr>
      <w:keepNext w:val="0"/>
      <w:spacing w:line="360" w:lineRule="auto"/>
      <w:ind w:left="567"/>
      <w:jc w:val="both"/>
    </w:pPr>
    <w:rPr>
      <w:rFonts w:ascii="宋体" w:hAnsi="宋体" w:eastAsiaTheme="minorEastAsia" w:cstheme="minorBidi"/>
      <w:bCs w:val="0"/>
      <w:sz w:val="24"/>
      <w:szCs w:val="22"/>
    </w:rPr>
  </w:style>
  <w:style w:type="character" w:customStyle="1" w:styleId="349">
    <w:name w:val="font51"/>
    <w:qFormat/>
    <w:uiPriority w:val="0"/>
    <w:rPr>
      <w:rFonts w:hint="default" w:ascii="Times New Roman" w:hAnsi="Times New Roman" w:cs="Times New Roman"/>
      <w:color w:val="000000"/>
      <w:sz w:val="22"/>
      <w:szCs w:val="22"/>
      <w:u w:val="none"/>
    </w:rPr>
  </w:style>
  <w:style w:type="character" w:customStyle="1" w:styleId="350">
    <w:name w:val="fontb5"/>
    <w:basedOn w:val="43"/>
    <w:qFormat/>
    <w:uiPriority w:val="0"/>
  </w:style>
  <w:style w:type="character" w:customStyle="1" w:styleId="351">
    <w:name w:val="标准文本 Char"/>
    <w:link w:val="352"/>
    <w:qFormat/>
    <w:locked/>
    <w:uiPriority w:val="0"/>
    <w:rPr>
      <w:rFonts w:ascii="等线" w:hAnsi="等线" w:eastAsia="等线"/>
    </w:rPr>
  </w:style>
  <w:style w:type="paragraph" w:customStyle="1" w:styleId="352">
    <w:name w:val="标准文本"/>
    <w:basedOn w:val="1"/>
    <w:link w:val="351"/>
    <w:qFormat/>
    <w:uiPriority w:val="0"/>
    <w:pPr>
      <w:spacing w:line="360" w:lineRule="auto"/>
      <w:ind w:firstLine="480" w:firstLineChars="200"/>
    </w:pPr>
    <w:rPr>
      <w:rFonts w:ascii="等线" w:hAnsi="等线" w:eastAsia="等线" w:cstheme="minorBidi"/>
      <w:szCs w:val="22"/>
    </w:rPr>
  </w:style>
  <w:style w:type="character" w:customStyle="1" w:styleId="353">
    <w:name w:val="未处理的提及1"/>
    <w:unhideWhenUsed/>
    <w:qFormat/>
    <w:uiPriority w:val="99"/>
    <w:rPr>
      <w:color w:val="605E5C"/>
      <w:shd w:val="clear" w:color="auto" w:fill="E1DFDD"/>
    </w:rPr>
  </w:style>
  <w:style w:type="character" w:customStyle="1" w:styleId="354">
    <w:name w:val="标题 2 Char1"/>
    <w:qFormat/>
    <w:locked/>
    <w:uiPriority w:val="0"/>
    <w:rPr>
      <w:rFonts w:ascii="楷体_GB2312" w:eastAsia="楷体_GB2312"/>
      <w:b/>
      <w:bCs/>
      <w:kern w:val="2"/>
      <w:sz w:val="18"/>
    </w:rPr>
  </w:style>
  <w:style w:type="character" w:customStyle="1" w:styleId="355">
    <w:name w:val="访问过的超链接1"/>
    <w:qFormat/>
    <w:uiPriority w:val="99"/>
    <w:rPr>
      <w:rFonts w:cs="Times New Roman"/>
      <w:color w:val="auto"/>
      <w:u w:val="none"/>
    </w:rPr>
  </w:style>
  <w:style w:type="character" w:customStyle="1" w:styleId="356">
    <w:name w:val="正文 首行缩进 Char"/>
    <w:link w:val="357"/>
    <w:qFormat/>
    <w:uiPriority w:val="0"/>
    <w:rPr>
      <w:rFonts w:ascii="Arial" w:hAnsi="Arial"/>
      <w:sz w:val="24"/>
    </w:rPr>
  </w:style>
  <w:style w:type="paragraph" w:customStyle="1" w:styleId="357">
    <w:name w:val="正文 首行缩进"/>
    <w:basedOn w:val="1"/>
    <w:link w:val="356"/>
    <w:qFormat/>
    <w:uiPriority w:val="0"/>
    <w:pPr>
      <w:spacing w:line="360" w:lineRule="auto"/>
      <w:ind w:firstLine="420" w:firstLineChars="200"/>
    </w:pPr>
    <w:rPr>
      <w:rFonts w:ascii="Arial" w:hAnsi="Arial" w:eastAsiaTheme="minorEastAsia" w:cstheme="minorBidi"/>
      <w:sz w:val="24"/>
      <w:szCs w:val="22"/>
    </w:rPr>
  </w:style>
  <w:style w:type="character" w:customStyle="1" w:styleId="358">
    <w:name w:val="无缩进正文 Char"/>
    <w:link w:val="359"/>
    <w:qFormat/>
    <w:uiPriority w:val="0"/>
    <w:rPr>
      <w:rFonts w:ascii="Arial" w:hAnsi="宋体" w:cs="Arial"/>
      <w:sz w:val="24"/>
      <w:lang w:eastAsia="en-US" w:bidi="en-US"/>
    </w:rPr>
  </w:style>
  <w:style w:type="paragraph" w:customStyle="1" w:styleId="359">
    <w:name w:val="无缩进正文"/>
    <w:basedOn w:val="1"/>
    <w:link w:val="358"/>
    <w:qFormat/>
    <w:uiPriority w:val="0"/>
    <w:pPr>
      <w:widowControl/>
      <w:spacing w:after="200" w:line="276" w:lineRule="auto"/>
      <w:jc w:val="left"/>
    </w:pPr>
    <w:rPr>
      <w:rFonts w:ascii="Arial" w:hAnsi="宋体" w:cs="Arial" w:eastAsiaTheme="minorEastAsia"/>
      <w:sz w:val="24"/>
      <w:szCs w:val="22"/>
      <w:lang w:eastAsia="en-US" w:bidi="en-US"/>
    </w:rPr>
  </w:style>
  <w:style w:type="paragraph" w:customStyle="1" w:styleId="360">
    <w:name w:val="TOC 标题2"/>
    <w:basedOn w:val="3"/>
    <w:next w:val="1"/>
    <w:unhideWhenUsed/>
    <w:qFormat/>
    <w:uiPriority w:val="39"/>
    <w:pPr>
      <w:keepLines/>
      <w:widowControl/>
      <w:spacing w:before="240" w:line="259" w:lineRule="auto"/>
      <w:jc w:val="left"/>
      <w:outlineLvl w:val="9"/>
    </w:pPr>
    <w:rPr>
      <w:rFonts w:ascii="Cambria" w:hAnsi="Cambria" w:eastAsia="宋体"/>
      <w:b w:val="0"/>
      <w:color w:val="365F91"/>
      <w:kern w:val="0"/>
      <w:sz w:val="32"/>
      <w:szCs w:val="32"/>
    </w:rPr>
  </w:style>
  <w:style w:type="paragraph" w:customStyle="1" w:styleId="361">
    <w:name w:val="列出段落3"/>
    <w:basedOn w:val="1"/>
    <w:qFormat/>
    <w:uiPriority w:val="0"/>
    <w:pPr>
      <w:ind w:firstLine="420" w:firstLineChars="200"/>
    </w:pPr>
    <w:rPr>
      <w:rFonts w:ascii="Calibri" w:hAnsi="Calibri"/>
      <w:szCs w:val="22"/>
    </w:rPr>
  </w:style>
  <w:style w:type="paragraph" w:customStyle="1" w:styleId="362">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63">
    <w:name w:val="Char Char3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364">
    <w:name w:val="Pa4"/>
    <w:basedOn w:val="1"/>
    <w:next w:val="1"/>
    <w:qFormat/>
    <w:uiPriority w:val="99"/>
    <w:pPr>
      <w:autoSpaceDE w:val="0"/>
      <w:autoSpaceDN w:val="0"/>
      <w:adjustRightInd w:val="0"/>
      <w:spacing w:line="176" w:lineRule="atLeast"/>
      <w:ind w:firstLine="200" w:firstLineChars="200"/>
      <w:jc w:val="left"/>
    </w:pPr>
    <w:rPr>
      <w:rFonts w:ascii="Fira Sans" w:hAnsi="Calibri" w:eastAsia="Fira Sans"/>
      <w:kern w:val="0"/>
      <w:sz w:val="24"/>
      <w:szCs w:val="24"/>
    </w:rPr>
  </w:style>
  <w:style w:type="paragraph" w:customStyle="1" w:styleId="365">
    <w:name w:val="Pa5"/>
    <w:basedOn w:val="1"/>
    <w:next w:val="1"/>
    <w:qFormat/>
    <w:uiPriority w:val="99"/>
    <w:pPr>
      <w:autoSpaceDE w:val="0"/>
      <w:autoSpaceDN w:val="0"/>
      <w:adjustRightInd w:val="0"/>
      <w:spacing w:line="171" w:lineRule="atLeast"/>
      <w:ind w:firstLine="200" w:firstLineChars="200"/>
      <w:jc w:val="left"/>
    </w:pPr>
    <w:rPr>
      <w:rFonts w:ascii="Fira Sans" w:hAnsi="Calibri" w:eastAsia="Fira Sans"/>
      <w:kern w:val="0"/>
      <w:sz w:val="24"/>
      <w:szCs w:val="24"/>
    </w:rPr>
  </w:style>
  <w:style w:type="paragraph" w:customStyle="1" w:styleId="366">
    <w:name w:val="普通正文"/>
    <w:basedOn w:val="1"/>
    <w:qFormat/>
    <w:uiPriority w:val="0"/>
    <w:pPr>
      <w:widowControl/>
      <w:adjustRightInd w:val="0"/>
      <w:spacing w:line="360" w:lineRule="auto"/>
      <w:ind w:firstLine="200" w:firstLineChars="200"/>
      <w:jc w:val="left"/>
      <w:textAlignment w:val="baseline"/>
    </w:pPr>
    <w:rPr>
      <w:rFonts w:ascii="Arial" w:hAnsi="Arial"/>
      <w:kern w:val="0"/>
      <w:sz w:val="24"/>
      <w:szCs w:val="24"/>
    </w:rPr>
  </w:style>
  <w:style w:type="paragraph" w:customStyle="1" w:styleId="367">
    <w:name w:val="Item List"/>
    <w:qFormat/>
    <w:uiPriority w:val="0"/>
    <w:pPr>
      <w:tabs>
        <w:tab w:val="left" w:pos="709"/>
      </w:tabs>
      <w:adjustRightInd w:val="0"/>
      <w:snapToGrid w:val="0"/>
      <w:spacing w:before="80" w:after="80" w:line="240" w:lineRule="atLeast"/>
      <w:ind w:left="709" w:hanging="425"/>
    </w:pPr>
    <w:rPr>
      <w:rFonts w:hint="eastAsia" w:ascii="Times New Roman" w:hAnsi="Times New Roman" w:eastAsia="宋体" w:cs="Arial"/>
      <w:kern w:val="2"/>
      <w:sz w:val="21"/>
      <w:szCs w:val="21"/>
      <w:lang w:val="en-US" w:eastAsia="zh-CN" w:bidi="ar-SA"/>
    </w:rPr>
  </w:style>
  <w:style w:type="paragraph" w:customStyle="1" w:styleId="368">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69">
    <w:name w:val="标题1"/>
    <w:basedOn w:val="4"/>
    <w:qFormat/>
    <w:uiPriority w:val="0"/>
    <w:pPr>
      <w:keepNext w:val="0"/>
      <w:spacing w:line="360" w:lineRule="auto"/>
      <w:jc w:val="left"/>
      <w:outlineLvl w:val="0"/>
    </w:pPr>
    <w:rPr>
      <w:rFonts w:ascii="宋体" w:hAnsi="宋体" w:eastAsia="宋体"/>
      <w:bCs w:val="0"/>
      <w:kern w:val="0"/>
      <w:sz w:val="28"/>
      <w:szCs w:val="32"/>
    </w:rPr>
  </w:style>
  <w:style w:type="paragraph" w:customStyle="1" w:styleId="370">
    <w:name w:val="TOC 标题1"/>
    <w:basedOn w:val="3"/>
    <w:next w:val="1"/>
    <w:unhideWhenUsed/>
    <w:qFormat/>
    <w:uiPriority w:val="39"/>
    <w:pPr>
      <w:keepLines/>
      <w:widowControl/>
      <w:spacing w:before="480" w:line="276" w:lineRule="auto"/>
      <w:jc w:val="left"/>
      <w:outlineLvl w:val="9"/>
    </w:pPr>
    <w:rPr>
      <w:rFonts w:ascii="Cambria" w:hAnsi="Cambria" w:eastAsia="宋体"/>
      <w:bCs/>
      <w:color w:val="365F91"/>
      <w:kern w:val="0"/>
      <w:szCs w:val="28"/>
    </w:rPr>
  </w:style>
  <w:style w:type="paragraph" w:customStyle="1" w:styleId="371">
    <w:name w:val="样式"/>
    <w:qFormat/>
    <w:uiPriority w:val="0"/>
    <w:rPr>
      <w:rFonts w:ascii="等线" w:hAnsi="等线" w:eastAsia="等线" w:cs="Times New Roman"/>
      <w:kern w:val="2"/>
      <w:sz w:val="21"/>
      <w:szCs w:val="22"/>
      <w:lang w:val="en-US" w:eastAsia="zh-CN" w:bidi="ar-SA"/>
    </w:rPr>
  </w:style>
  <w:style w:type="paragraph" w:customStyle="1" w:styleId="372">
    <w:name w:val="正文 New New New New New"/>
    <w:qFormat/>
    <w:uiPriority w:val="99"/>
    <w:pPr>
      <w:widowControl w:val="0"/>
    </w:pPr>
    <w:rPr>
      <w:rFonts w:ascii="Times New Roman" w:hAnsi="Times New Roman" w:eastAsia="宋体" w:cs="Times New Roman"/>
      <w:kern w:val="2"/>
      <w:sz w:val="21"/>
      <w:szCs w:val="24"/>
      <w:lang w:val="en-US" w:eastAsia="zh-CN" w:bidi="ar-SA"/>
    </w:rPr>
  </w:style>
  <w:style w:type="paragraph" w:customStyle="1" w:styleId="373">
    <w:name w:val="xl4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374">
    <w:name w:val="列出段落5"/>
    <w:basedOn w:val="1"/>
    <w:qFormat/>
    <w:uiPriority w:val="0"/>
    <w:pPr>
      <w:ind w:firstLine="420" w:firstLineChars="200"/>
    </w:pPr>
  </w:style>
  <w:style w:type="paragraph" w:customStyle="1" w:styleId="375">
    <w:name w:val="列出段落4"/>
    <w:basedOn w:val="1"/>
    <w:qFormat/>
    <w:uiPriority w:val="0"/>
    <w:pPr>
      <w:ind w:firstLine="420" w:firstLineChars="200"/>
    </w:pPr>
  </w:style>
  <w:style w:type="paragraph" w:customStyle="1" w:styleId="376">
    <w:name w:val="TOC 91"/>
    <w:basedOn w:val="1"/>
    <w:next w:val="1"/>
    <w:qFormat/>
    <w:uiPriority w:val="39"/>
    <w:pPr>
      <w:ind w:left="3360" w:leftChars="1600"/>
    </w:pPr>
    <w:rPr>
      <w:rFonts w:ascii="Calibri" w:hAnsi="Calibri"/>
      <w:szCs w:val="22"/>
    </w:rPr>
  </w:style>
  <w:style w:type="paragraph" w:customStyle="1" w:styleId="377">
    <w:name w:val="TOC 21"/>
    <w:basedOn w:val="1"/>
    <w:next w:val="1"/>
    <w:qFormat/>
    <w:uiPriority w:val="39"/>
    <w:pPr>
      <w:spacing w:line="440" w:lineRule="exact"/>
      <w:ind w:left="420" w:leftChars="200" w:firstLine="200" w:firstLineChars="200"/>
    </w:pPr>
    <w:rPr>
      <w:rFonts w:ascii="Calibri" w:hAnsi="Calibri"/>
      <w:sz w:val="24"/>
      <w:szCs w:val="22"/>
    </w:rPr>
  </w:style>
  <w:style w:type="paragraph" w:customStyle="1" w:styleId="378">
    <w:name w:val="TOC 61"/>
    <w:basedOn w:val="1"/>
    <w:next w:val="1"/>
    <w:qFormat/>
    <w:uiPriority w:val="39"/>
    <w:pPr>
      <w:ind w:left="2100" w:leftChars="1000"/>
    </w:pPr>
    <w:rPr>
      <w:rFonts w:ascii="Calibri" w:hAnsi="Calibri"/>
      <w:szCs w:val="22"/>
    </w:rPr>
  </w:style>
  <w:style w:type="paragraph" w:customStyle="1" w:styleId="379">
    <w:name w:val="TOC 41"/>
    <w:basedOn w:val="1"/>
    <w:next w:val="1"/>
    <w:qFormat/>
    <w:uiPriority w:val="39"/>
    <w:pPr>
      <w:spacing w:line="440" w:lineRule="exact"/>
      <w:ind w:left="1260" w:leftChars="600" w:firstLine="200" w:firstLineChars="200"/>
    </w:pPr>
    <w:rPr>
      <w:rFonts w:ascii="Calibri" w:hAnsi="Calibri"/>
      <w:sz w:val="24"/>
      <w:szCs w:val="22"/>
    </w:rPr>
  </w:style>
  <w:style w:type="paragraph" w:customStyle="1" w:styleId="380">
    <w:name w:val="TOC 11"/>
    <w:basedOn w:val="1"/>
    <w:next w:val="1"/>
    <w:qFormat/>
    <w:uiPriority w:val="39"/>
    <w:pPr>
      <w:spacing w:line="440" w:lineRule="exact"/>
      <w:ind w:firstLine="200" w:firstLineChars="200"/>
    </w:pPr>
    <w:rPr>
      <w:rFonts w:ascii="Calibri" w:hAnsi="Calibri"/>
      <w:sz w:val="24"/>
      <w:szCs w:val="22"/>
    </w:rPr>
  </w:style>
  <w:style w:type="paragraph" w:customStyle="1" w:styleId="381">
    <w:name w:val="TOC 81"/>
    <w:basedOn w:val="1"/>
    <w:next w:val="1"/>
    <w:qFormat/>
    <w:uiPriority w:val="39"/>
    <w:pPr>
      <w:ind w:left="2940" w:leftChars="1400"/>
    </w:pPr>
    <w:rPr>
      <w:rFonts w:ascii="Calibri" w:hAnsi="Calibri"/>
      <w:szCs w:val="22"/>
    </w:rPr>
  </w:style>
  <w:style w:type="paragraph" w:customStyle="1" w:styleId="382">
    <w:name w:val="TOC 31"/>
    <w:basedOn w:val="1"/>
    <w:next w:val="1"/>
    <w:qFormat/>
    <w:uiPriority w:val="39"/>
    <w:pPr>
      <w:spacing w:line="440" w:lineRule="exact"/>
      <w:ind w:left="840" w:leftChars="400" w:firstLine="200" w:firstLineChars="200"/>
    </w:pPr>
    <w:rPr>
      <w:rFonts w:ascii="Calibri" w:hAnsi="Calibri"/>
      <w:sz w:val="24"/>
      <w:szCs w:val="22"/>
    </w:rPr>
  </w:style>
  <w:style w:type="paragraph" w:customStyle="1" w:styleId="383">
    <w:name w:val="TOC 51"/>
    <w:basedOn w:val="1"/>
    <w:next w:val="1"/>
    <w:qFormat/>
    <w:uiPriority w:val="39"/>
    <w:pPr>
      <w:ind w:left="1680" w:leftChars="800"/>
    </w:pPr>
    <w:rPr>
      <w:rFonts w:ascii="Calibri" w:hAnsi="Calibri"/>
      <w:szCs w:val="22"/>
    </w:rPr>
  </w:style>
  <w:style w:type="paragraph" w:customStyle="1" w:styleId="384">
    <w:name w:val="TOC 71"/>
    <w:basedOn w:val="1"/>
    <w:next w:val="1"/>
    <w:qFormat/>
    <w:uiPriority w:val="39"/>
    <w:pPr>
      <w:ind w:left="2520" w:leftChars="1200"/>
    </w:pPr>
    <w:rPr>
      <w:rFonts w:ascii="Calibri" w:hAnsi="Calibri"/>
      <w:szCs w:val="22"/>
    </w:rPr>
  </w:style>
  <w:style w:type="paragraph" w:customStyle="1" w:styleId="385">
    <w:name w:val="修订1"/>
    <w:hidden/>
    <w:unhideWhenUsed/>
    <w:qFormat/>
    <w:uiPriority w:val="99"/>
    <w:rPr>
      <w:rFonts w:ascii="Calibri" w:hAnsi="Calibri" w:eastAsia="宋体" w:cs="Times New Roman"/>
      <w:kern w:val="2"/>
      <w:sz w:val="21"/>
      <w:szCs w:val="22"/>
      <w:lang w:val="en-US" w:eastAsia="zh-CN" w:bidi="ar-SA"/>
    </w:rPr>
  </w:style>
  <w:style w:type="paragraph" w:customStyle="1" w:styleId="386">
    <w:name w:val="序列"/>
    <w:basedOn w:val="1"/>
    <w:qFormat/>
    <w:uiPriority w:val="0"/>
    <w:pPr>
      <w:numPr>
        <w:ilvl w:val="0"/>
        <w:numId w:val="1"/>
      </w:numPr>
      <w:ind w:left="0" w:firstLine="482"/>
    </w:pPr>
    <w:rPr>
      <w:rFonts w:ascii="Calibri" w:hAnsi="Calibri"/>
      <w:szCs w:val="22"/>
    </w:rPr>
  </w:style>
  <w:style w:type="paragraph" w:customStyle="1" w:styleId="387">
    <w:name w:val="样式 首行缩进:  0 字符"/>
    <w:basedOn w:val="1"/>
    <w:qFormat/>
    <w:uiPriority w:val="0"/>
    <w:pPr>
      <w:spacing w:line="360" w:lineRule="auto"/>
      <w:ind w:firstLine="200" w:firstLineChars="200"/>
    </w:pPr>
    <w:rPr>
      <w:rFonts w:ascii="Arial" w:hAnsi="Arial" w:cs="宋体"/>
      <w:sz w:val="24"/>
    </w:rPr>
  </w:style>
  <w:style w:type="character" w:customStyle="1" w:styleId="388">
    <w:name w:val="已访问的超链接1"/>
    <w:qFormat/>
    <w:uiPriority w:val="99"/>
    <w:rPr>
      <w:rFonts w:cs="Times New Roman"/>
      <w:color w:val="auto"/>
      <w:u w:val="none"/>
    </w:rPr>
  </w:style>
  <w:style w:type="paragraph" w:customStyle="1" w:styleId="389">
    <w:name w:val="*正文"/>
    <w:qFormat/>
    <w:uiPriority w:val="99"/>
    <w:pPr>
      <w:spacing w:line="360" w:lineRule="auto"/>
      <w:ind w:firstLine="200" w:firstLineChars="200"/>
      <w:contextualSpacing/>
    </w:pPr>
    <w:rPr>
      <w:rFonts w:ascii="宋体" w:hAnsi="仿宋" w:eastAsia="仿宋" w:cs="仿宋"/>
      <w:kern w:val="0"/>
      <w:sz w:val="28"/>
      <w:szCs w:val="28"/>
      <w:lang w:val="zh-CN" w:eastAsia="zh-CN" w:bidi="ar-SA"/>
    </w:rPr>
  </w:style>
  <w:style w:type="paragraph" w:customStyle="1" w:styleId="390">
    <w:name w:val="Title Cover"/>
    <w:next w:val="391"/>
    <w:qFormat/>
    <w:uiPriority w:val="99"/>
    <w:pPr>
      <w:spacing w:beforeLines="200" w:afterLines="200" w:line="360" w:lineRule="auto"/>
      <w:ind w:firstLine="480" w:firstLineChars="200"/>
    </w:pPr>
    <w:rPr>
      <w:rFonts w:ascii="华文中宋" w:hAnsi="华文中宋" w:eastAsia="华文中宋" w:cs="仿宋"/>
      <w:spacing w:val="-5"/>
      <w:kern w:val="0"/>
      <w:sz w:val="72"/>
      <w:szCs w:val="72"/>
      <w:lang w:val="en-US" w:eastAsia="zh-CN" w:bidi="ar-SA"/>
    </w:rPr>
  </w:style>
  <w:style w:type="paragraph" w:customStyle="1" w:styleId="391">
    <w:name w:val="Subtitle Cover"/>
    <w:next w:val="2"/>
    <w:qFormat/>
    <w:uiPriority w:val="99"/>
    <w:pPr>
      <w:keepNext/>
      <w:keepLines/>
      <w:pBdr>
        <w:top w:val="single" w:color="auto" w:sz="6" w:space="24"/>
      </w:pBdr>
      <w:spacing w:line="480" w:lineRule="atLeast"/>
      <w:ind w:firstLine="480" w:firstLineChars="200"/>
    </w:pPr>
    <w:rPr>
      <w:rFonts w:ascii="Book Antiqua" w:hAnsi="Book Antiqua" w:eastAsia="PMingLiUfalt" w:cs="仿宋"/>
      <w:b/>
      <w:color w:val="0000FF"/>
      <w:spacing w:val="-22"/>
      <w:kern w:val="28"/>
      <w:sz w:val="48"/>
      <w:szCs w:val="20"/>
      <w:lang w:val="en-US" w:eastAsia="en-US" w:bidi="ar-SA"/>
    </w:rPr>
  </w:style>
  <w:style w:type="paragraph" w:customStyle="1" w:styleId="392">
    <w:name w:val="Version Cover"/>
    <w:qFormat/>
    <w:uiPriority w:val="99"/>
    <w:pPr>
      <w:spacing w:before="120" w:line="240" w:lineRule="atLeast"/>
      <w:ind w:firstLine="200" w:firstLineChars="200"/>
      <w:contextualSpacing/>
    </w:pPr>
    <w:rPr>
      <w:rFonts w:ascii="Book Antiqua" w:hAnsi="Book Antiqua" w:eastAsia="PMingLiUfalt" w:cs="仿宋"/>
      <w:b/>
      <w:spacing w:val="-5"/>
      <w:kern w:val="0"/>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LenovoCop</Company>
  <Pages>49</Pages>
  <Words>4526</Words>
  <Characters>25799</Characters>
  <Lines>214</Lines>
  <Paragraphs>60</Paragraphs>
  <TotalTime>55</TotalTime>
  <ScaleCrop>false</ScaleCrop>
  <LinksUpToDate>false</LinksUpToDate>
  <CharactersWithSpaces>30265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2021-08-12T01:35:00Z</dcterms:created>
  <dc:creator>Admin</dc:creator>
  <cp:lastModifiedBy>DELL</cp:lastModifiedBy>
  <cp:lastPrinted>2021-11-23T06:01:00Z</cp:lastPrinted>
  <dcterms:modified xsi:type="dcterms:W3CDTF">2022-01-30T01:01:54Z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9BA4692D51E94E56BC8EE00D6C786AD3</vt:lpwstr>
  </property>
</Properties>
</file>