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660"/>
        <w:rPr>
          <w:rFonts w:ascii="楷体_GB2312" w:eastAsia="楷体_GB2312"/>
          <w:bCs/>
          <w:sz w:val="30"/>
        </w:rPr>
      </w:pPr>
    </w:p>
    <w:p>
      <w:pPr>
        <w:ind w:left="660"/>
        <w:rPr>
          <w:rFonts w:ascii="楷体_GB2312" w:eastAsia="楷体_GB2312"/>
          <w:bCs/>
          <w:sz w:val="30"/>
        </w:rPr>
      </w:pPr>
    </w:p>
    <w:p>
      <w:pPr>
        <w:jc w:val="center"/>
        <w:rPr>
          <w:rFonts w:ascii="黑体" w:hAnsi="华文中宋" w:eastAsia="黑体"/>
          <w:bCs/>
          <w:color w:val="000000"/>
          <w:spacing w:val="20"/>
          <w:sz w:val="72"/>
          <w:szCs w:val="72"/>
        </w:rPr>
      </w:pPr>
      <w:r>
        <w:rPr>
          <w:rFonts w:hint="eastAsia" w:ascii="黑体" w:hAnsi="华文中宋" w:eastAsia="黑体"/>
          <w:bCs/>
          <w:color w:val="000000"/>
          <w:spacing w:val="20"/>
          <w:sz w:val="72"/>
          <w:szCs w:val="72"/>
        </w:rPr>
        <w:t>无锡市新吴区政府采购</w:t>
      </w:r>
    </w:p>
    <w:p>
      <w:pPr>
        <w:rPr>
          <w:rFonts w:ascii="华文中宋" w:hAnsi="华文中宋" w:eastAsia="华文中宋"/>
          <w:bCs/>
          <w:color w:val="000000"/>
          <w:sz w:val="30"/>
        </w:rPr>
      </w:pPr>
    </w:p>
    <w:p>
      <w:pPr>
        <w:rPr>
          <w:rFonts w:ascii="华文中宋" w:hAnsi="华文中宋" w:eastAsia="华文中宋"/>
          <w:bCs/>
          <w:color w:val="000000"/>
          <w:sz w:val="30"/>
        </w:rPr>
      </w:pPr>
    </w:p>
    <w:p>
      <w:pPr>
        <w:rPr>
          <w:rFonts w:ascii="华文中宋" w:hAnsi="华文中宋" w:eastAsia="华文中宋"/>
          <w:bCs/>
          <w:color w:val="000000"/>
          <w:sz w:val="30"/>
        </w:rPr>
      </w:pPr>
    </w:p>
    <w:p>
      <w:pPr>
        <w:jc w:val="center"/>
        <w:rPr>
          <w:rFonts w:ascii="黑体" w:hAnsi="华文中宋" w:eastAsia="黑体"/>
          <w:bCs/>
          <w:color w:val="000000"/>
          <w:spacing w:val="20"/>
          <w:w w:val="90"/>
          <w:sz w:val="48"/>
          <w:szCs w:val="48"/>
        </w:rPr>
      </w:pPr>
      <w:r>
        <w:rPr>
          <w:rFonts w:hint="eastAsia" w:ascii="黑体" w:hAnsi="华文中宋" w:eastAsia="黑体"/>
          <w:bCs/>
          <w:color w:val="000000"/>
          <w:spacing w:val="20"/>
          <w:w w:val="90"/>
          <w:sz w:val="48"/>
          <w:szCs w:val="48"/>
        </w:rPr>
        <w:t>公开</w:t>
      </w:r>
    </w:p>
    <w:p>
      <w:pPr>
        <w:jc w:val="center"/>
        <w:rPr>
          <w:rFonts w:ascii="黑体" w:hAnsi="华文中宋" w:eastAsia="黑体"/>
          <w:bCs/>
          <w:color w:val="000000"/>
          <w:spacing w:val="20"/>
          <w:sz w:val="52"/>
          <w:szCs w:val="52"/>
        </w:rPr>
      </w:pPr>
      <w:r>
        <w:rPr>
          <w:rFonts w:ascii="Calibri" w:hAnsi="Calibri"/>
          <w:color w:val="000000"/>
          <w:szCs w:val="22"/>
        </w:rPr>
        <w:pict>
          <v:line id="Line 211" o:spid="_x0000_s1026" o:spt="20" style="position:absolute;left:0pt;margin-left:-9pt;margin-top:15.6pt;height:0pt;width:0.05pt;z-index:251659264;mso-width-relative:page;mso-height-relative:page;" coordsize="21600,21600" o:allowincell="f" o:gfxdata="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YL9/61wAAAAkBAAAPAAAAAAAAAAEAIAAAACIAAABkcnMvZG93&#10;bnJldi54bWxQSwECFAAUAAAACACHTuJAuLJEAcgBAACpAwAADgAAAAAAAAABACAAAAAmAQAAZHJz&#10;L2Uyb0RvYy54bWxQSwUGAAAAAAYABgBZAQAAYAUAAAAA&#10;">
            <v:path arrowok="t"/>
            <v:fill focussize="0,0"/>
            <v:stroke/>
            <v:imagedata o:title=""/>
            <o:lock v:ext="edit"/>
          </v:line>
        </w:pict>
      </w:r>
      <w:r>
        <w:rPr>
          <w:rFonts w:hint="eastAsia" w:ascii="黑体" w:hAnsi="华文中宋" w:eastAsia="黑体"/>
          <w:bCs/>
          <w:color w:val="000000"/>
          <w:spacing w:val="20"/>
          <w:sz w:val="52"/>
          <w:szCs w:val="52"/>
        </w:rPr>
        <w:t>招标文件</w:t>
      </w:r>
    </w:p>
    <w:p>
      <w:pPr>
        <w:rPr>
          <w:rFonts w:ascii="华文中宋" w:hAnsi="华文中宋" w:eastAsia="华文中宋"/>
          <w:bCs/>
          <w:color w:val="000000"/>
          <w:sz w:val="30"/>
        </w:rPr>
      </w:pPr>
    </w:p>
    <w:p>
      <w:pPr>
        <w:jc w:val="left"/>
        <w:rPr>
          <w:rFonts w:ascii="华文中宋" w:hAnsi="华文中宋" w:eastAsia="华文中宋"/>
          <w:bCs/>
          <w:color w:val="000000"/>
          <w:sz w:val="30"/>
        </w:rPr>
      </w:pPr>
    </w:p>
    <w:p>
      <w:pPr>
        <w:pStyle w:val="2"/>
      </w:pPr>
    </w:p>
    <w:p>
      <w:pPr>
        <w:rPr>
          <w:rFonts w:hint="eastAsia" w:ascii="黑体" w:hAnsi="华文中宋" w:eastAsia="黑体"/>
          <w:bCs/>
          <w:color w:val="000000"/>
          <w:sz w:val="30"/>
          <w:szCs w:val="30"/>
          <w:lang w:val="en-US" w:eastAsia="zh-CN"/>
        </w:rPr>
      </w:pPr>
      <w:r>
        <w:rPr>
          <w:rFonts w:hint="eastAsia" w:ascii="黑体" w:hAnsi="华文中宋" w:eastAsia="黑体"/>
          <w:bCs/>
          <w:color w:val="000000"/>
          <w:sz w:val="30"/>
          <w:szCs w:val="30"/>
        </w:rPr>
        <w:t xml:space="preserve">             采购项目编号：</w:t>
      </w:r>
      <w:r>
        <w:rPr>
          <w:rFonts w:hint="eastAsia" w:ascii="黑体" w:hAnsi="华文中宋" w:eastAsia="黑体"/>
          <w:bCs/>
          <w:color w:val="000000"/>
          <w:sz w:val="30"/>
          <w:szCs w:val="30"/>
          <w:lang w:eastAsia="zh-CN"/>
        </w:rPr>
        <w:t>WXXWQJC2022-013</w:t>
      </w:r>
    </w:p>
    <w:p>
      <w:pPr>
        <w:ind w:left="4076" w:leftChars="941" w:hanging="2100" w:hangingChars="700"/>
        <w:rPr>
          <w:rFonts w:hint="default" w:ascii="黑体" w:hAnsi="华文中宋" w:eastAsia="黑体"/>
          <w:bCs/>
          <w:color w:val="000000"/>
          <w:sz w:val="30"/>
          <w:szCs w:val="30"/>
          <w:lang w:val="en-US" w:eastAsia="zh-CN"/>
        </w:rPr>
      </w:pPr>
      <w:r>
        <w:rPr>
          <w:rFonts w:hint="eastAsia" w:ascii="黑体" w:hAnsi="华文中宋" w:eastAsia="黑体"/>
          <w:bCs/>
          <w:color w:val="000000"/>
          <w:sz w:val="30"/>
          <w:szCs w:val="30"/>
        </w:rPr>
        <w:t>采购项目名称：</w:t>
      </w:r>
      <w:r>
        <w:rPr>
          <w:rFonts w:hint="eastAsia" w:ascii="黑体" w:hAnsi="华文中宋" w:eastAsia="黑体"/>
          <w:bCs/>
          <w:color w:val="000000"/>
          <w:sz w:val="30"/>
          <w:szCs w:val="30"/>
          <w:lang w:val="en-US" w:eastAsia="zh-CN"/>
        </w:rPr>
        <w:t>无锡市新吴实验中学新校家具采购</w:t>
      </w:r>
    </w:p>
    <w:p>
      <w:pPr>
        <w:rPr>
          <w:rFonts w:ascii="黑体" w:hAnsi="华文中宋" w:eastAsia="黑体"/>
          <w:bCs/>
          <w:color w:val="000000"/>
          <w:sz w:val="30"/>
          <w:szCs w:val="30"/>
        </w:rPr>
      </w:pPr>
      <w:r>
        <w:rPr>
          <w:rFonts w:hint="eastAsia" w:ascii="黑体" w:hAnsi="华文中宋" w:eastAsia="黑体"/>
          <w:bCs/>
          <w:color w:val="000000"/>
          <w:sz w:val="30"/>
          <w:szCs w:val="30"/>
        </w:rPr>
        <w:t xml:space="preserve">             集中采购机构</w:t>
      </w:r>
      <w:r>
        <w:rPr>
          <w:rFonts w:ascii="黑体" w:hAnsi="华文中宋" w:eastAsia="黑体"/>
          <w:bCs/>
          <w:color w:val="000000"/>
          <w:sz w:val="30"/>
          <w:szCs w:val="30"/>
        </w:rPr>
        <w:t xml:space="preserve">: </w:t>
      </w:r>
      <w:r>
        <w:rPr>
          <w:rFonts w:hint="eastAsia" w:ascii="黑体" w:hAnsi="华文中宋" w:eastAsia="黑体"/>
          <w:bCs/>
          <w:color w:val="000000"/>
          <w:sz w:val="30"/>
          <w:szCs w:val="30"/>
        </w:rPr>
        <w:t>无锡市新吴区公共资源交易中心新吴分中心</w:t>
      </w:r>
    </w:p>
    <w:p>
      <w:pPr>
        <w:rPr>
          <w:rFonts w:ascii="华文中宋" w:hAnsi="华文中宋" w:eastAsia="华文中宋"/>
          <w:bCs/>
          <w:sz w:val="32"/>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jc w:val="center"/>
        <w:rPr>
          <w:rFonts w:ascii="黑体" w:hAnsi="华文中宋" w:eastAsia="黑体"/>
          <w:bCs/>
          <w:sz w:val="44"/>
          <w:szCs w:val="44"/>
        </w:rPr>
      </w:pPr>
      <w:r>
        <w:rPr>
          <w:rFonts w:hint="eastAsia" w:ascii="黑体" w:hAnsi="华文中宋" w:eastAsia="黑体"/>
          <w:bCs/>
          <w:sz w:val="44"/>
          <w:szCs w:val="44"/>
        </w:rPr>
        <w:t>二○二二年</w:t>
      </w:r>
      <w:r>
        <w:rPr>
          <w:rFonts w:hint="eastAsia" w:ascii="黑体" w:hAnsi="华文中宋" w:eastAsia="黑体"/>
          <w:bCs/>
          <w:sz w:val="44"/>
          <w:szCs w:val="44"/>
          <w:lang w:val="en-US" w:eastAsia="zh-CN"/>
        </w:rPr>
        <w:t>三</w:t>
      </w:r>
      <w:r>
        <w:rPr>
          <w:rFonts w:hint="eastAsia" w:ascii="黑体" w:hAnsi="华文中宋" w:eastAsia="黑体"/>
          <w:bCs/>
          <w:sz w:val="44"/>
          <w:szCs w:val="44"/>
        </w:rPr>
        <w:t>月</w:t>
      </w:r>
      <w:r>
        <w:rPr>
          <w:rFonts w:hint="eastAsia" w:ascii="黑体" w:hAnsi="华文中宋" w:eastAsia="黑体"/>
          <w:bCs/>
          <w:sz w:val="44"/>
          <w:szCs w:val="44"/>
          <w:lang w:val="en-US" w:eastAsia="zh-CN"/>
        </w:rPr>
        <w:t>三十一</w:t>
      </w:r>
      <w:r>
        <w:rPr>
          <w:rFonts w:hint="eastAsia" w:ascii="黑体" w:hAnsi="华文中宋" w:eastAsia="黑体"/>
          <w:bCs/>
          <w:sz w:val="44"/>
          <w:szCs w:val="44"/>
        </w:rPr>
        <w:t>日</w:t>
      </w:r>
    </w:p>
    <w:p>
      <w:pPr>
        <w:jc w:val="center"/>
        <w:rPr>
          <w:rFonts w:ascii="黑体" w:eastAsia="黑体"/>
          <w:bCs/>
          <w:sz w:val="44"/>
        </w:rPr>
      </w:pPr>
    </w:p>
    <w:p>
      <w:pPr>
        <w:rPr>
          <w:rFonts w:ascii="华文新魏" w:eastAsia="华文新魏"/>
          <w:bCs/>
          <w:sz w:val="44"/>
        </w:rPr>
      </w:pPr>
    </w:p>
    <w:p>
      <w:pPr>
        <w:jc w:val="center"/>
        <w:rPr>
          <w:rStyle w:val="28"/>
          <w:rFonts w:eastAsia="黑体"/>
          <w:bCs/>
          <w:sz w:val="48"/>
        </w:rPr>
      </w:pPr>
    </w:p>
    <w:p>
      <w:pPr>
        <w:jc w:val="center"/>
        <w:rPr>
          <w:rStyle w:val="28"/>
          <w:rFonts w:eastAsia="黑体"/>
          <w:bCs/>
          <w:sz w:val="48"/>
        </w:rPr>
        <w:sectPr>
          <w:headerReference r:id="rId4" w:type="first"/>
          <w:footerReference r:id="rId7" w:type="first"/>
          <w:headerReference r:id="rId3" w:type="default"/>
          <w:footerReference r:id="rId5" w:type="default"/>
          <w:footerReference r:id="rId6" w:type="even"/>
          <w:pgSz w:w="11906" w:h="16838"/>
          <w:pgMar w:top="567" w:right="851" w:bottom="567" w:left="1134" w:header="624" w:footer="907" w:gutter="0"/>
          <w:pgNumType w:fmt="decimal" w:start="0"/>
          <w:cols w:space="720" w:num="1"/>
          <w:titlePg/>
          <w:docGrid w:type="linesAndChars" w:linePitch="312" w:charSpace="0"/>
        </w:sectPr>
      </w:pPr>
    </w:p>
    <w:p>
      <w:pPr>
        <w:pStyle w:val="2"/>
      </w:pPr>
    </w:p>
    <w:p>
      <w:pPr>
        <w:jc w:val="center"/>
        <w:rPr>
          <w:rStyle w:val="28"/>
          <w:rFonts w:eastAsia="黑体"/>
          <w:bCs/>
          <w:sz w:val="48"/>
        </w:rPr>
      </w:pPr>
    </w:p>
    <w:p>
      <w:pPr>
        <w:jc w:val="center"/>
        <w:rPr>
          <w:rStyle w:val="28"/>
          <w:rFonts w:eastAsia="黑体"/>
          <w:bCs/>
          <w:sz w:val="48"/>
        </w:rPr>
      </w:pPr>
      <w:r>
        <w:rPr>
          <w:rStyle w:val="28"/>
          <w:rFonts w:hint="eastAsia" w:eastAsia="黑体"/>
          <w:bCs/>
          <w:sz w:val="48"/>
        </w:rPr>
        <w:t>目录</w:t>
      </w:r>
    </w:p>
    <w:p>
      <w:pPr>
        <w:jc w:val="center"/>
        <w:rPr>
          <w:rFonts w:ascii="黑体" w:eastAsia="黑体"/>
          <w:bCs/>
          <w:sz w:val="30"/>
        </w:rPr>
      </w:pPr>
    </w:p>
    <w:p>
      <w:pPr>
        <w:jc w:val="center"/>
        <w:rPr>
          <w:rFonts w:ascii="黑体" w:eastAsia="黑体"/>
          <w:bCs/>
          <w:sz w:val="30"/>
        </w:rPr>
      </w:pPr>
    </w:p>
    <w:p>
      <w:pPr>
        <w:spacing w:line="720" w:lineRule="auto"/>
        <w:ind w:firstLine="450" w:firstLineChars="150"/>
        <w:rPr>
          <w:rFonts w:ascii="宋体" w:hAnsi="宋体"/>
          <w:bCs/>
          <w:sz w:val="30"/>
          <w:szCs w:val="30"/>
        </w:rPr>
      </w:pPr>
      <w:r>
        <w:rPr>
          <w:rFonts w:hint="eastAsia" w:ascii="宋体" w:hAnsi="宋体"/>
          <w:bCs/>
          <w:sz w:val="30"/>
          <w:szCs w:val="30"/>
        </w:rPr>
        <w:t>一．投标邀请函------------------------------------------（2）</w:t>
      </w:r>
    </w:p>
    <w:p>
      <w:pPr>
        <w:spacing w:line="720" w:lineRule="auto"/>
        <w:ind w:firstLine="450" w:firstLineChars="150"/>
        <w:rPr>
          <w:rFonts w:ascii="宋体" w:hAnsi="宋体"/>
          <w:bCs/>
          <w:sz w:val="30"/>
          <w:szCs w:val="30"/>
        </w:rPr>
      </w:pPr>
      <w:r>
        <w:rPr>
          <w:rFonts w:hint="eastAsia" w:ascii="宋体" w:hAnsi="宋体"/>
          <w:bCs/>
          <w:sz w:val="30"/>
          <w:szCs w:val="30"/>
        </w:rPr>
        <w:t>二．投标人须知------------------------------------------（5）</w:t>
      </w:r>
    </w:p>
    <w:p>
      <w:pPr>
        <w:spacing w:line="720" w:lineRule="auto"/>
        <w:ind w:firstLine="450" w:firstLineChars="150"/>
        <w:rPr>
          <w:rFonts w:ascii="宋体" w:hAnsi="宋体"/>
          <w:bCs/>
          <w:sz w:val="30"/>
          <w:szCs w:val="30"/>
        </w:rPr>
      </w:pPr>
      <w:r>
        <w:rPr>
          <w:rFonts w:hint="eastAsia" w:ascii="宋体" w:hAnsi="宋体"/>
          <w:bCs/>
          <w:sz w:val="30"/>
          <w:szCs w:val="30"/>
        </w:rPr>
        <w:t>三．项目技术要求和有关说明------------------------------（13）</w:t>
      </w:r>
    </w:p>
    <w:p>
      <w:pPr>
        <w:spacing w:line="720" w:lineRule="auto"/>
        <w:ind w:firstLine="450" w:firstLineChars="150"/>
        <w:rPr>
          <w:rFonts w:ascii="宋体" w:hAnsi="宋体"/>
          <w:bCs/>
          <w:sz w:val="30"/>
          <w:szCs w:val="30"/>
        </w:rPr>
      </w:pPr>
      <w:r>
        <w:rPr>
          <w:rFonts w:hint="eastAsia" w:ascii="宋体" w:hAnsi="宋体"/>
          <w:bCs/>
          <w:sz w:val="30"/>
          <w:szCs w:val="30"/>
        </w:rPr>
        <w:t>四. 合同书（格式文本）----------------------------------（</w:t>
      </w:r>
      <w:r>
        <w:rPr>
          <w:rFonts w:hint="eastAsia" w:ascii="宋体" w:hAnsi="宋体"/>
          <w:bCs/>
          <w:sz w:val="30"/>
          <w:szCs w:val="30"/>
          <w:lang w:val="en-US" w:eastAsia="zh-CN"/>
        </w:rPr>
        <w:t>51</w:t>
      </w:r>
      <w:r>
        <w:rPr>
          <w:rFonts w:hint="eastAsia" w:ascii="宋体" w:hAnsi="宋体"/>
          <w:bCs/>
          <w:sz w:val="30"/>
          <w:szCs w:val="30"/>
        </w:rPr>
        <w:t>）</w:t>
      </w:r>
    </w:p>
    <w:p>
      <w:pPr>
        <w:spacing w:line="720" w:lineRule="auto"/>
        <w:ind w:firstLine="450" w:firstLineChars="150"/>
        <w:rPr>
          <w:rFonts w:ascii="宋体" w:hAnsi="宋体"/>
          <w:bCs/>
          <w:sz w:val="30"/>
          <w:szCs w:val="30"/>
        </w:rPr>
      </w:pPr>
      <w:r>
        <w:rPr>
          <w:rFonts w:hint="eastAsia" w:ascii="宋体" w:hAnsi="宋体"/>
          <w:bCs/>
          <w:sz w:val="30"/>
          <w:szCs w:val="30"/>
        </w:rPr>
        <w:t>五．合同条款--------------------------------------------（</w:t>
      </w:r>
      <w:r>
        <w:rPr>
          <w:rFonts w:hint="eastAsia" w:ascii="宋体" w:hAnsi="宋体"/>
          <w:bCs/>
          <w:sz w:val="30"/>
          <w:szCs w:val="30"/>
          <w:lang w:val="en-US" w:eastAsia="zh-CN"/>
        </w:rPr>
        <w:t>52</w:t>
      </w:r>
      <w:r>
        <w:rPr>
          <w:rFonts w:hint="eastAsia" w:ascii="宋体" w:hAnsi="宋体"/>
          <w:bCs/>
          <w:sz w:val="30"/>
          <w:szCs w:val="30"/>
        </w:rPr>
        <w:t>）</w:t>
      </w:r>
    </w:p>
    <w:p>
      <w:pPr>
        <w:spacing w:line="720" w:lineRule="auto"/>
        <w:ind w:firstLine="450" w:firstLineChars="150"/>
        <w:rPr>
          <w:rFonts w:ascii="宋体" w:hAnsi="宋体"/>
          <w:bCs/>
          <w:sz w:val="28"/>
          <w:szCs w:val="28"/>
        </w:rPr>
      </w:pPr>
      <w:r>
        <w:rPr>
          <w:rFonts w:hint="eastAsia" w:ascii="宋体" w:hAnsi="宋体"/>
          <w:bCs/>
          <w:sz w:val="30"/>
          <w:szCs w:val="30"/>
        </w:rPr>
        <w:t>六. 附件</w:t>
      </w:r>
      <w:r>
        <w:rPr>
          <w:rFonts w:ascii="宋体"/>
          <w:bCs/>
          <w:sz w:val="30"/>
          <w:szCs w:val="30"/>
        </w:rPr>
        <w:t>------------------------------------------------</w:t>
      </w:r>
      <w:r>
        <w:rPr>
          <w:rFonts w:hint="eastAsia" w:ascii="宋体" w:hAnsi="宋体"/>
          <w:bCs/>
          <w:sz w:val="30"/>
          <w:szCs w:val="30"/>
        </w:rPr>
        <w:t>（</w:t>
      </w:r>
      <w:r>
        <w:rPr>
          <w:rFonts w:hint="eastAsia" w:ascii="宋体" w:hAnsi="宋体"/>
          <w:bCs/>
          <w:sz w:val="30"/>
          <w:szCs w:val="30"/>
          <w:lang w:val="en-US" w:eastAsia="zh-CN"/>
        </w:rPr>
        <w:t>55</w:t>
      </w:r>
      <w:r>
        <w:rPr>
          <w:rFonts w:hint="eastAsia" w:ascii="宋体" w:hAnsi="宋体"/>
          <w:bCs/>
          <w:sz w:val="30"/>
          <w:szCs w:val="30"/>
        </w:rPr>
        <w:t>）</w:t>
      </w:r>
    </w:p>
    <w:p>
      <w:pPr>
        <w:spacing w:line="720" w:lineRule="auto"/>
        <w:rPr>
          <w:rFonts w:ascii="宋体" w:hAnsi="宋体"/>
          <w:bCs/>
          <w:sz w:val="30"/>
        </w:rPr>
      </w:pPr>
    </w:p>
    <w:p>
      <w:pPr>
        <w:spacing w:line="480" w:lineRule="auto"/>
        <w:rPr>
          <w:rFonts w:ascii="宋体" w:hAnsi="宋体"/>
          <w:bCs/>
          <w:sz w:val="30"/>
        </w:rPr>
      </w:pPr>
    </w:p>
    <w:p>
      <w:pPr>
        <w:rPr>
          <w:rFonts w:ascii="宋体" w:hAnsi="宋体"/>
          <w:bCs/>
          <w:sz w:val="28"/>
        </w:rPr>
      </w:pPr>
    </w:p>
    <w:p>
      <w:pPr>
        <w:rPr>
          <w:rFonts w:ascii="宋体" w:hAnsi="宋体"/>
          <w:bCs/>
          <w:sz w:val="28"/>
        </w:rPr>
      </w:pPr>
    </w:p>
    <w:p>
      <w:pPr>
        <w:rPr>
          <w:rFonts w:ascii="宋体" w:hAnsi="宋体"/>
          <w:bCs/>
          <w:sz w:val="28"/>
        </w:rPr>
      </w:pPr>
    </w:p>
    <w:p>
      <w:pPr>
        <w:rPr>
          <w:rFonts w:ascii="宋体" w:hAnsi="宋体"/>
          <w:bCs/>
          <w:sz w:val="28"/>
        </w:rPr>
      </w:pPr>
    </w:p>
    <w:p>
      <w:pPr>
        <w:rPr>
          <w:rFonts w:ascii="宋体" w:hAnsi="宋体"/>
          <w:bCs/>
          <w:sz w:val="32"/>
        </w:rPr>
      </w:pPr>
    </w:p>
    <w:p>
      <w:pPr>
        <w:rPr>
          <w:rFonts w:ascii="宋体" w:hAnsi="宋体"/>
          <w:bCs/>
          <w:sz w:val="32"/>
        </w:rPr>
      </w:pPr>
    </w:p>
    <w:p>
      <w:pPr>
        <w:pStyle w:val="2"/>
        <w:ind w:firstLine="400"/>
      </w:pPr>
    </w:p>
    <w:p>
      <w:pPr>
        <w:pStyle w:val="2"/>
        <w:ind w:left="0" w:leftChars="0" w:firstLine="0" w:firstLineChars="0"/>
      </w:pPr>
    </w:p>
    <w:p>
      <w:pPr>
        <w:spacing w:line="360" w:lineRule="auto"/>
        <w:jc w:val="center"/>
        <w:rPr>
          <w:rFonts w:ascii="黑体" w:eastAsia="黑体"/>
          <w:bCs/>
          <w:color w:val="000000"/>
          <w:sz w:val="28"/>
          <w:szCs w:val="28"/>
        </w:rPr>
      </w:pPr>
      <w:bookmarkStart w:id="0" w:name="报价方须知前附表"/>
      <w:bookmarkEnd w:id="0"/>
      <w:r>
        <w:rPr>
          <w:rFonts w:hint="eastAsia" w:ascii="黑体" w:eastAsia="黑体"/>
          <w:bCs/>
          <w:color w:val="000000"/>
          <w:sz w:val="28"/>
          <w:szCs w:val="28"/>
        </w:rPr>
        <w:t>一．投标邀请函</w:t>
      </w:r>
    </w:p>
    <w:p>
      <w:pPr>
        <w:spacing w:line="360" w:lineRule="auto"/>
        <w:ind w:firstLine="480" w:firstLineChars="200"/>
        <w:rPr>
          <w:rFonts w:ascii="宋体" w:hAnsi="宋体"/>
          <w:bCs/>
          <w:sz w:val="24"/>
          <w:szCs w:val="24"/>
        </w:rPr>
      </w:pPr>
      <w:r>
        <w:rPr>
          <w:rFonts w:hint="eastAsia" w:ascii="宋体" w:hAnsi="宋体"/>
          <w:bCs/>
          <w:sz w:val="24"/>
          <w:szCs w:val="24"/>
        </w:rPr>
        <w:t>我中心受</w:t>
      </w:r>
      <w:r>
        <w:rPr>
          <w:rFonts w:hint="eastAsia" w:ascii="宋体" w:hAnsi="宋体"/>
          <w:bCs/>
          <w:sz w:val="24"/>
          <w:szCs w:val="24"/>
          <w:lang w:eastAsia="zh-CN"/>
        </w:rPr>
        <w:t>无锡市新吴实验中学</w:t>
      </w:r>
      <w:r>
        <w:rPr>
          <w:rFonts w:hint="eastAsia" w:ascii="宋体" w:hAnsi="宋体"/>
          <w:bCs/>
          <w:sz w:val="24"/>
          <w:szCs w:val="24"/>
        </w:rPr>
        <w:t>的委托，对</w:t>
      </w:r>
      <w:r>
        <w:rPr>
          <w:rFonts w:hint="eastAsia" w:ascii="宋体" w:hAnsi="宋体"/>
          <w:bCs/>
          <w:sz w:val="24"/>
          <w:szCs w:val="24"/>
          <w:lang w:eastAsia="zh-CN"/>
        </w:rPr>
        <w:t>无锡市新吴实验中学新校家具采购</w:t>
      </w:r>
      <w:r>
        <w:rPr>
          <w:rFonts w:hint="eastAsia" w:ascii="宋体" w:hAnsi="宋体"/>
          <w:bCs/>
          <w:sz w:val="24"/>
          <w:szCs w:val="24"/>
        </w:rPr>
        <w:t>进行公开招标采购，欢迎符合相关条件的供应商参加投标并提请注意下列相关事项：</w:t>
      </w:r>
    </w:p>
    <w:p>
      <w:pPr>
        <w:spacing w:line="360" w:lineRule="auto"/>
        <w:ind w:firstLine="480" w:firstLineChars="200"/>
        <w:rPr>
          <w:rFonts w:ascii="黑体" w:hAnsi="黑体" w:eastAsia="黑体"/>
          <w:bCs/>
          <w:color w:val="000000"/>
          <w:sz w:val="24"/>
          <w:szCs w:val="24"/>
        </w:rPr>
      </w:pPr>
      <w:r>
        <w:rPr>
          <w:rFonts w:hint="eastAsia" w:ascii="黑体" w:hAnsi="黑体" w:eastAsia="黑体"/>
          <w:bCs/>
          <w:color w:val="000000"/>
          <w:sz w:val="24"/>
          <w:szCs w:val="24"/>
        </w:rPr>
        <w:t>（一）</w:t>
      </w:r>
      <w:r>
        <w:rPr>
          <w:rFonts w:hint="eastAsia" w:ascii="黑体" w:hAnsi="黑体" w:eastAsia="黑体" w:cs="宋体"/>
          <w:color w:val="000000"/>
          <w:kern w:val="0"/>
          <w:sz w:val="24"/>
          <w:szCs w:val="24"/>
        </w:rPr>
        <w:t>招标项目信息</w:t>
      </w:r>
    </w:p>
    <w:p>
      <w:pPr>
        <w:spacing w:line="360" w:lineRule="auto"/>
        <w:ind w:firstLine="480" w:firstLineChars="200"/>
        <w:rPr>
          <w:rFonts w:hint="eastAsia" w:ascii="宋体" w:hAnsi="宋体"/>
          <w:sz w:val="24"/>
          <w:szCs w:val="24"/>
          <w:lang w:eastAsia="zh-CN"/>
        </w:rPr>
      </w:pPr>
      <w:r>
        <w:rPr>
          <w:rFonts w:hint="eastAsia" w:ascii="宋体" w:hAnsi="宋体"/>
          <w:sz w:val="24"/>
          <w:szCs w:val="24"/>
        </w:rPr>
        <w:t>1.项目名称：</w:t>
      </w:r>
      <w:r>
        <w:rPr>
          <w:rFonts w:hint="eastAsia" w:ascii="宋体" w:hAnsi="宋体"/>
          <w:sz w:val="24"/>
          <w:szCs w:val="24"/>
          <w:lang w:eastAsia="zh-CN"/>
        </w:rPr>
        <w:t>无锡市新吴实验中学新校家具采购</w:t>
      </w:r>
    </w:p>
    <w:p>
      <w:pPr>
        <w:spacing w:line="360" w:lineRule="auto"/>
        <w:ind w:firstLine="480" w:firstLineChars="200"/>
        <w:rPr>
          <w:rFonts w:hint="eastAsia" w:ascii="宋体" w:hAnsi="宋体"/>
          <w:sz w:val="24"/>
          <w:szCs w:val="24"/>
          <w:lang w:eastAsia="zh-CN"/>
        </w:rPr>
      </w:pPr>
      <w:r>
        <w:rPr>
          <w:rFonts w:hint="eastAsia" w:ascii="宋体" w:hAnsi="宋体"/>
          <w:sz w:val="24"/>
          <w:szCs w:val="24"/>
        </w:rPr>
        <w:t>2.项目编号：</w:t>
      </w:r>
      <w:r>
        <w:rPr>
          <w:rFonts w:hint="eastAsia" w:ascii="宋体" w:hAnsi="宋体"/>
          <w:sz w:val="24"/>
          <w:szCs w:val="24"/>
          <w:lang w:eastAsia="zh-CN"/>
        </w:rPr>
        <w:t>WXXWQJC2022-013</w:t>
      </w:r>
    </w:p>
    <w:p>
      <w:pPr>
        <w:spacing w:line="360" w:lineRule="auto"/>
        <w:ind w:firstLine="480" w:firstLineChars="200"/>
        <w:rPr>
          <w:rFonts w:hint="eastAsia" w:ascii="宋体" w:hAnsi="宋体"/>
          <w:sz w:val="24"/>
          <w:szCs w:val="24"/>
        </w:rPr>
      </w:pPr>
      <w:r>
        <w:rPr>
          <w:rFonts w:hint="eastAsia" w:ascii="宋体" w:hAnsi="宋体"/>
          <w:sz w:val="24"/>
          <w:szCs w:val="24"/>
        </w:rPr>
        <w:t>3.项目预算：最高限价</w:t>
      </w:r>
      <w:r>
        <w:rPr>
          <w:rFonts w:hint="eastAsia" w:ascii="宋体" w:hAnsi="宋体"/>
          <w:sz w:val="24"/>
          <w:szCs w:val="24"/>
          <w:lang w:val="en-US" w:eastAsia="zh-CN"/>
        </w:rPr>
        <w:t>524.6293</w:t>
      </w:r>
      <w:r>
        <w:rPr>
          <w:rFonts w:hint="eastAsia" w:ascii="宋体" w:hAnsi="宋体"/>
          <w:sz w:val="24"/>
          <w:szCs w:val="24"/>
        </w:rPr>
        <w:t>万元</w:t>
      </w:r>
    </w:p>
    <w:p>
      <w:pPr>
        <w:spacing w:line="360" w:lineRule="auto"/>
        <w:ind w:firstLine="480" w:firstLineChars="200"/>
        <w:rPr>
          <w:rFonts w:hint="eastAsia" w:ascii="宋体" w:hAnsi="宋体"/>
          <w:sz w:val="24"/>
          <w:szCs w:val="24"/>
        </w:rPr>
      </w:pPr>
      <w:r>
        <w:rPr>
          <w:rFonts w:hint="eastAsia" w:ascii="宋体" w:hAnsi="宋体"/>
          <w:sz w:val="24"/>
          <w:szCs w:val="24"/>
        </w:rPr>
        <w:t>4.采购方式：公开招标</w:t>
      </w:r>
    </w:p>
    <w:p>
      <w:pPr>
        <w:spacing w:line="360" w:lineRule="auto"/>
        <w:ind w:firstLine="480" w:firstLineChars="200"/>
        <w:rPr>
          <w:rFonts w:hint="eastAsia" w:ascii="宋体" w:hAnsi="宋体"/>
          <w:sz w:val="24"/>
          <w:szCs w:val="24"/>
          <w:lang w:eastAsia="zh-CN"/>
        </w:rPr>
      </w:pPr>
      <w:r>
        <w:rPr>
          <w:rFonts w:hint="eastAsia" w:ascii="宋体" w:hAnsi="宋体"/>
          <w:sz w:val="24"/>
          <w:szCs w:val="24"/>
        </w:rPr>
        <w:t>5.采购人：</w:t>
      </w:r>
      <w:r>
        <w:rPr>
          <w:rFonts w:hint="eastAsia" w:ascii="宋体" w:hAnsi="宋体"/>
          <w:sz w:val="24"/>
          <w:szCs w:val="24"/>
          <w:lang w:eastAsia="zh-CN"/>
        </w:rPr>
        <w:t xml:space="preserve">无锡市新吴实验中学 </w:t>
      </w:r>
    </w:p>
    <w:p>
      <w:pPr>
        <w:spacing w:line="360" w:lineRule="auto"/>
        <w:ind w:firstLine="480" w:firstLineChars="200"/>
        <w:rPr>
          <w:rFonts w:hint="eastAsia" w:ascii="宋体" w:hAnsi="宋体"/>
          <w:sz w:val="24"/>
          <w:szCs w:val="24"/>
        </w:rPr>
      </w:pPr>
      <w:r>
        <w:rPr>
          <w:rFonts w:hint="eastAsia" w:ascii="宋体" w:hAnsi="宋体"/>
          <w:sz w:val="24"/>
          <w:szCs w:val="24"/>
        </w:rPr>
        <w:t>6.本项目标的所属行业：工业（制造业）</w:t>
      </w:r>
    </w:p>
    <w:p>
      <w:pPr>
        <w:spacing w:line="360" w:lineRule="auto"/>
        <w:ind w:firstLine="480" w:firstLineChars="200"/>
        <w:rPr>
          <w:rFonts w:hint="eastAsia" w:ascii="宋体" w:hAnsi="宋体"/>
          <w:sz w:val="24"/>
          <w:szCs w:val="24"/>
        </w:rPr>
      </w:pPr>
      <w:r>
        <w:rPr>
          <w:rFonts w:hint="eastAsia" w:ascii="宋体" w:hAnsi="宋体"/>
          <w:sz w:val="24"/>
          <w:szCs w:val="24"/>
        </w:rPr>
        <w:t>7.本项目是否专门面向中小企业：否</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（二）投标人资格要求</w:t>
      </w:r>
    </w:p>
    <w:p>
      <w:pPr>
        <w:spacing w:line="360" w:lineRule="auto"/>
        <w:ind w:firstLine="480" w:firstLineChars="200"/>
        <w:rPr>
          <w:rFonts w:hint="eastAsia" w:ascii="宋体" w:hAnsi="宋体"/>
          <w:sz w:val="24"/>
          <w:szCs w:val="24"/>
        </w:rPr>
      </w:pPr>
      <w:r>
        <w:rPr>
          <w:rFonts w:hint="eastAsia" w:ascii="宋体" w:hAnsi="宋体"/>
          <w:sz w:val="24"/>
          <w:szCs w:val="24"/>
        </w:rPr>
        <w:t>1.具备《中华人民共和国政府采购法》第二十二条第一款规定的条件；</w:t>
      </w:r>
    </w:p>
    <w:p>
      <w:pPr>
        <w:spacing w:line="360" w:lineRule="auto"/>
        <w:ind w:firstLine="480" w:firstLineChars="200"/>
        <w:rPr>
          <w:rFonts w:hint="eastAsia" w:ascii="宋体" w:hAnsi="宋体"/>
          <w:sz w:val="24"/>
          <w:szCs w:val="24"/>
        </w:rPr>
      </w:pPr>
      <w:r>
        <w:rPr>
          <w:rFonts w:hint="eastAsia" w:ascii="宋体" w:hAnsi="宋体"/>
          <w:sz w:val="24"/>
          <w:szCs w:val="24"/>
        </w:rPr>
        <w:t>2.未被“信用中国”网站（</w:t>
      </w:r>
      <w:r>
        <w:rPr>
          <w:rFonts w:hint="eastAsia" w:ascii="宋体" w:hAnsi="宋体"/>
          <w:sz w:val="24"/>
          <w:szCs w:val="24"/>
        </w:rPr>
        <w:fldChar w:fldCharType="begin"/>
      </w:r>
      <w:r>
        <w:rPr>
          <w:rFonts w:hint="eastAsia" w:ascii="宋体" w:hAnsi="宋体"/>
          <w:sz w:val="24"/>
          <w:szCs w:val="24"/>
        </w:rPr>
        <w:instrText xml:space="preserve"> HYPERLINK "http://www.creditchina.gov.cn" </w:instrText>
      </w:r>
      <w:r>
        <w:rPr>
          <w:rFonts w:hint="eastAsia" w:ascii="宋体" w:hAnsi="宋体"/>
          <w:sz w:val="24"/>
          <w:szCs w:val="24"/>
        </w:rPr>
        <w:fldChar w:fldCharType="separate"/>
      </w:r>
      <w:r>
        <w:rPr>
          <w:rFonts w:hint="eastAsia" w:ascii="宋体" w:hAnsi="宋体"/>
          <w:sz w:val="24"/>
          <w:szCs w:val="24"/>
        </w:rPr>
        <w:t>www.creditchina.gov.cn</w:t>
      </w:r>
      <w:r>
        <w:rPr>
          <w:rFonts w:hint="eastAsia" w:ascii="宋体" w:hAnsi="宋体"/>
          <w:sz w:val="24"/>
          <w:szCs w:val="24"/>
        </w:rPr>
        <w:fldChar w:fldCharType="end"/>
      </w:r>
      <w:r>
        <w:rPr>
          <w:rFonts w:hint="eastAsia" w:ascii="宋体" w:hAnsi="宋体"/>
          <w:sz w:val="24"/>
          <w:szCs w:val="24"/>
        </w:rPr>
        <w:t>）列入失信被执行人、重大税收违法案件当事人名单、政府采购严重违法失信行为记录名单；</w:t>
      </w:r>
    </w:p>
    <w:p>
      <w:pPr>
        <w:spacing w:line="360" w:lineRule="auto"/>
        <w:ind w:firstLine="480" w:firstLineChars="200"/>
        <w:rPr>
          <w:rFonts w:hint="eastAsia" w:ascii="宋体" w:hAnsi="宋体"/>
          <w:sz w:val="24"/>
          <w:szCs w:val="24"/>
        </w:rPr>
      </w:pPr>
      <w:r>
        <w:rPr>
          <w:rFonts w:hint="eastAsia" w:ascii="宋体" w:hAnsi="宋体"/>
          <w:sz w:val="24"/>
          <w:szCs w:val="24"/>
        </w:rPr>
        <w:t>3.具备采购人根据招标项目的特殊要求规定的以下特定资质：</w:t>
      </w:r>
    </w:p>
    <w:p>
      <w:pPr>
        <w:spacing w:line="360" w:lineRule="auto"/>
        <w:ind w:firstLine="480" w:firstLineChars="200"/>
        <w:rPr>
          <w:rFonts w:hint="eastAsia" w:ascii="宋体" w:hAnsi="宋体"/>
          <w:sz w:val="24"/>
          <w:szCs w:val="24"/>
        </w:rPr>
      </w:pPr>
      <w:r>
        <w:rPr>
          <w:rFonts w:hint="eastAsia" w:ascii="宋体" w:hAnsi="宋体"/>
          <w:sz w:val="24"/>
          <w:szCs w:val="24"/>
        </w:rPr>
        <w:t>（1）投标供应商为家具类生产厂家（即营业执照经营范围中有家具的生产、制造或加工等字样）；</w:t>
      </w:r>
    </w:p>
    <w:p>
      <w:pPr>
        <w:spacing w:line="360" w:lineRule="auto"/>
        <w:ind w:firstLine="480" w:firstLineChars="200"/>
        <w:rPr>
          <w:rFonts w:hint="eastAsia" w:ascii="宋体" w:hAnsi="宋体"/>
          <w:sz w:val="24"/>
          <w:szCs w:val="24"/>
        </w:rPr>
      </w:pPr>
      <w:r>
        <w:rPr>
          <w:rFonts w:hint="eastAsia" w:ascii="宋体" w:hAnsi="宋体"/>
          <w:sz w:val="24"/>
          <w:szCs w:val="24"/>
        </w:rPr>
        <w:t>（2）本项目不接受联合体投标；</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（三）供应商主体信息库注册</w:t>
      </w:r>
    </w:p>
    <w:p>
      <w:pPr>
        <w:spacing w:line="360" w:lineRule="auto"/>
        <w:ind w:firstLine="480" w:firstLineChars="200"/>
        <w:rPr>
          <w:rFonts w:ascii="宋体" w:hAnsi="宋体"/>
          <w:bCs/>
          <w:sz w:val="24"/>
          <w:szCs w:val="24"/>
        </w:rPr>
      </w:pPr>
      <w:r>
        <w:rPr>
          <w:rFonts w:hint="eastAsia" w:ascii="宋体" w:hAnsi="宋体"/>
          <w:bCs/>
          <w:sz w:val="24"/>
          <w:szCs w:val="24"/>
        </w:rPr>
        <w:t>1.请有意参加本项目投标的供应商按以下流程进行操作：</w:t>
      </w:r>
    </w:p>
    <w:p>
      <w:pPr>
        <w:spacing w:line="360" w:lineRule="auto"/>
        <w:ind w:firstLine="480" w:firstLineChars="200"/>
        <w:rPr>
          <w:rFonts w:ascii="宋体" w:hAnsi="宋体"/>
          <w:bCs/>
          <w:sz w:val="24"/>
          <w:szCs w:val="24"/>
        </w:rPr>
      </w:pPr>
      <w:r>
        <w:rPr>
          <w:rFonts w:hint="eastAsia" w:ascii="宋体" w:hAnsi="宋体"/>
          <w:bCs/>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pPr>
        <w:spacing w:line="360" w:lineRule="auto"/>
        <w:ind w:firstLine="480" w:firstLineChars="200"/>
        <w:rPr>
          <w:rFonts w:ascii="宋体" w:hAnsi="宋体"/>
          <w:bCs/>
          <w:sz w:val="24"/>
          <w:szCs w:val="24"/>
        </w:rPr>
      </w:pPr>
      <w:r>
        <w:rPr>
          <w:rFonts w:hint="eastAsia" w:ascii="宋体" w:hAnsi="宋体"/>
          <w:bCs/>
          <w:sz w:val="24"/>
          <w:szCs w:val="24"/>
        </w:rPr>
        <w:t xml:space="preserve">（2）领取CA（办理地址：观山路199号市民中心12号楼1楼CA窗口）和办理电子签章（办理地址：观山路199号市民中心12号楼2楼2号窗口），（原已办理过CA进行过电子投标的供应商可不重复申领）。 </w:t>
      </w:r>
    </w:p>
    <w:p>
      <w:pPr>
        <w:spacing w:line="360" w:lineRule="auto"/>
        <w:ind w:firstLine="480" w:firstLineChars="200"/>
        <w:rPr>
          <w:rFonts w:ascii="宋体" w:hAnsi="宋体"/>
          <w:bCs/>
          <w:sz w:val="24"/>
          <w:szCs w:val="24"/>
        </w:rPr>
      </w:pPr>
      <w:r>
        <w:rPr>
          <w:rFonts w:hint="eastAsia" w:ascii="宋体" w:hAnsi="宋体"/>
          <w:bCs/>
          <w:sz w:val="24"/>
          <w:szCs w:val="24"/>
        </w:rPr>
        <w:t>（3）投标客户端下载链接：</w:t>
      </w:r>
    </w:p>
    <w:p>
      <w:pPr>
        <w:spacing w:line="360" w:lineRule="auto"/>
        <w:ind w:firstLine="480" w:firstLineChars="200"/>
        <w:rPr>
          <w:rFonts w:ascii="宋体" w:hAnsi="宋体"/>
          <w:bCs/>
          <w:sz w:val="24"/>
          <w:szCs w:val="24"/>
        </w:rPr>
      </w:pPr>
      <w:r>
        <w:rPr>
          <w:rFonts w:hint="eastAsia" w:ascii="宋体" w:hAnsi="宋体"/>
          <w:bCs/>
          <w:sz w:val="24"/>
          <w:szCs w:val="24"/>
        </w:rPr>
        <w:t xml:space="preserve">https://zcy-cdn.oss-cn-shanghai.aliyuncs.com/zcy-client/bidding-client/wuxi/ZhengCaiYunStep.3.11.7.exe </w:t>
      </w:r>
    </w:p>
    <w:p>
      <w:pPr>
        <w:spacing w:line="360" w:lineRule="auto"/>
        <w:ind w:firstLine="480" w:firstLineChars="200"/>
        <w:rPr>
          <w:rFonts w:ascii="宋体" w:hAnsi="宋体"/>
          <w:bCs/>
          <w:sz w:val="24"/>
          <w:szCs w:val="24"/>
        </w:rPr>
      </w:pPr>
      <w:r>
        <w:rPr>
          <w:rFonts w:hint="eastAsia" w:ascii="宋体" w:hAnsi="宋体"/>
          <w:bCs/>
          <w:sz w:val="24"/>
          <w:szCs w:val="24"/>
        </w:rPr>
        <w:t>（4）CA驱动下载链接（江苏省-国信CA驱动）：</w:t>
      </w:r>
    </w:p>
    <w:p>
      <w:pPr>
        <w:spacing w:line="360" w:lineRule="auto"/>
        <w:ind w:firstLine="480" w:firstLineChars="200"/>
        <w:rPr>
          <w:rFonts w:ascii="宋体" w:hAnsi="宋体"/>
          <w:bCs/>
          <w:sz w:val="24"/>
          <w:szCs w:val="24"/>
        </w:rPr>
      </w:pPr>
      <w:r>
        <w:rPr>
          <w:rFonts w:hint="eastAsia" w:ascii="宋体" w:hAnsi="宋体"/>
          <w:bCs/>
          <w:sz w:val="24"/>
          <w:szCs w:val="24"/>
        </w:rPr>
        <w:t xml:space="preserve">https://customer.zcygov.cn/CA-driver-download?utm=web-login-front.509b3709.0.0.004ab15096ee11ebbc33f5d151e70834 </w:t>
      </w:r>
    </w:p>
    <w:p>
      <w:pPr>
        <w:spacing w:line="360" w:lineRule="auto"/>
        <w:ind w:firstLine="480" w:firstLineChars="200"/>
        <w:rPr>
          <w:rFonts w:ascii="宋体" w:hAnsi="宋体"/>
          <w:bCs/>
          <w:sz w:val="24"/>
          <w:szCs w:val="24"/>
        </w:rPr>
      </w:pPr>
      <w:r>
        <w:rPr>
          <w:rFonts w:hint="eastAsia" w:ascii="宋体" w:hAnsi="宋体"/>
          <w:bCs/>
          <w:sz w:val="24"/>
          <w:szCs w:val="24"/>
        </w:rPr>
        <w:t>技术服务电话：4008817190（服务时间：工作日8:00-20:00）</w:t>
      </w:r>
    </w:p>
    <w:p>
      <w:pPr>
        <w:spacing w:line="360" w:lineRule="auto"/>
        <w:ind w:firstLine="480" w:firstLineChars="200"/>
        <w:rPr>
          <w:rFonts w:ascii="宋体" w:hAnsi="宋体"/>
          <w:bCs/>
          <w:sz w:val="24"/>
          <w:szCs w:val="24"/>
        </w:rPr>
      </w:pPr>
      <w:r>
        <w:rPr>
          <w:rFonts w:hint="eastAsia" w:ascii="宋体" w:hAnsi="宋体"/>
          <w:bCs/>
          <w:sz w:val="24"/>
          <w:szCs w:val="24"/>
        </w:rPr>
        <w:t>2.投标人在领取CA和办理电子签章前务必前往“无锡政府采购网”“供应商信息库”（网址：</w:t>
      </w:r>
    </w:p>
    <w:p>
      <w:pPr>
        <w:spacing w:line="360" w:lineRule="auto"/>
        <w:ind w:firstLine="480" w:firstLineChars="200"/>
        <w:rPr>
          <w:rFonts w:ascii="宋体" w:hAnsi="宋体"/>
          <w:bCs/>
          <w:sz w:val="24"/>
          <w:szCs w:val="24"/>
        </w:rPr>
      </w:pPr>
      <w:r>
        <w:rPr>
          <w:rFonts w:ascii="宋体" w:hAnsi="宋体"/>
          <w:bCs/>
          <w:sz w:val="24"/>
          <w:szCs w:val="24"/>
        </w:rPr>
        <w:t>https://cz.wuxi.zcygov.cn/wxCategory19/wxCategory125/index.html?utm=sites_group_front.5b1ba037.0.0.959ae250ca6711ebb0349920799faebc</w:t>
      </w:r>
      <w:r>
        <w:rPr>
          <w:rFonts w:hint="eastAsia" w:ascii="宋体" w:hAnsi="宋体"/>
          <w:bCs/>
          <w:sz w:val="24"/>
          <w:szCs w:val="24"/>
        </w:rPr>
        <w:t>）查询是否完成注册登记。</w:t>
      </w:r>
    </w:p>
    <w:p>
      <w:pPr>
        <w:spacing w:line="360" w:lineRule="auto"/>
        <w:ind w:firstLine="480" w:firstLineChars="200"/>
        <w:rPr>
          <w:rFonts w:ascii="宋体" w:hAnsi="宋体"/>
          <w:bCs/>
          <w:sz w:val="24"/>
          <w:szCs w:val="24"/>
        </w:rPr>
      </w:pPr>
      <w:r>
        <w:rPr>
          <w:rFonts w:hint="eastAsia" w:ascii="宋体" w:hAnsi="宋体"/>
          <w:bCs/>
          <w:sz w:val="24"/>
          <w:szCs w:val="24"/>
        </w:rPr>
        <w:t>完成注册的供应商方可领取CA和办理电子签章，登录政采云平台，插入CA后，点击【我的工作台】——页面右上方【CA管理】--【绑定CA】，上传投标文件，进行投标。</w:t>
      </w:r>
    </w:p>
    <w:p>
      <w:pPr>
        <w:spacing w:line="360" w:lineRule="auto"/>
        <w:ind w:firstLine="480" w:firstLineChars="200"/>
        <w:rPr>
          <w:rFonts w:ascii="宋体" w:hAnsi="宋体" w:cs="宋体"/>
          <w:kern w:val="0"/>
          <w:sz w:val="24"/>
          <w:szCs w:val="24"/>
        </w:rPr>
      </w:pPr>
      <w:r>
        <w:rPr>
          <w:rFonts w:hint="eastAsia" w:ascii="宋体" w:hAnsi="宋体"/>
          <w:bCs/>
          <w:sz w:val="24"/>
          <w:szCs w:val="24"/>
        </w:rPr>
        <w:t>3.如投标人未按上述要求操作，由此所产生的损失及风险由投标人自行承担。在“供应商信息库”中无法查询的投标人，由评标委员会审</w:t>
      </w:r>
      <w:r>
        <w:rPr>
          <w:rFonts w:hint="eastAsia" w:ascii="宋体" w:hAnsi="宋体" w:cs="宋体"/>
          <w:kern w:val="0"/>
          <w:sz w:val="24"/>
          <w:szCs w:val="24"/>
        </w:rPr>
        <w:t>查其投标截止时间前提交的未审核资料。</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（四）完成项目报名，获取采购文件</w:t>
      </w:r>
    </w:p>
    <w:p>
      <w:pPr>
        <w:spacing w:line="360" w:lineRule="auto"/>
        <w:ind w:firstLine="480" w:firstLineChars="200"/>
        <w:rPr>
          <w:rFonts w:ascii="黑体" w:hAnsi="黑体" w:eastAsia="黑体" w:cs="宋体"/>
          <w:kern w:val="0"/>
          <w:sz w:val="24"/>
          <w:szCs w:val="24"/>
        </w:rPr>
      </w:pPr>
      <w:r>
        <w:rPr>
          <w:rFonts w:hint="eastAsia" w:ascii="宋体" w:hAnsi="宋体"/>
          <w:sz w:val="24"/>
          <w:szCs w:val="24"/>
        </w:rPr>
        <w:t>潜在投标人可在项目招标公告附件中查看公开招标文件，如确定投标，必须在政采云平台（http://login.wuxi.zcygov.cn/user-login/#/login）中免费下载公开招标文件（“项目采购-获取采购文件管理-待申请”标签页下，找到需要获取采购文件的项目，点击“申请获取采购文件”），完成项目报名，方可按要求制作、上传投标文件，对招标文件各项内容做出实质性响应，否则其投标文件无效。</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（五）公开答疑时间、地点</w:t>
      </w:r>
    </w:p>
    <w:p>
      <w:pPr>
        <w:spacing w:line="360" w:lineRule="auto"/>
        <w:ind w:firstLine="480" w:firstLineChars="200"/>
        <w:rPr>
          <w:rFonts w:hint="eastAsia" w:ascii="宋体" w:hAnsi="宋体"/>
          <w:sz w:val="24"/>
          <w:szCs w:val="24"/>
        </w:rPr>
      </w:pPr>
      <w:r>
        <w:rPr>
          <w:rFonts w:hint="eastAsia" w:ascii="宋体" w:hAnsi="宋体"/>
          <w:sz w:val="24"/>
          <w:szCs w:val="24"/>
        </w:rPr>
        <w:t>采购人、无锡市公共资源交易中心新吴分中心将于以下时间、地点对投标人针对招标文件书面提出的要求澄清的问题进行公开答疑。投标人如有需要对招标文件要求澄清的问题，请以书面形式提出“</w:t>
      </w:r>
      <w:r>
        <w:rPr>
          <w:rFonts w:hint="eastAsia" w:ascii="宋体" w:hAnsi="宋体"/>
          <w:sz w:val="24"/>
          <w:szCs w:val="24"/>
          <w:lang w:eastAsia="zh-CN"/>
        </w:rPr>
        <w:t>WXXWQJC2022-013</w:t>
      </w:r>
      <w:r>
        <w:rPr>
          <w:rFonts w:hint="eastAsia" w:ascii="宋体" w:hAnsi="宋体"/>
          <w:sz w:val="24"/>
          <w:szCs w:val="24"/>
        </w:rPr>
        <w:t>项目需澄清问题”，并于答疑会前传真项目联系人（答疑会时递交盖章原件）。</w:t>
      </w:r>
    </w:p>
    <w:p>
      <w:pPr>
        <w:spacing w:line="360" w:lineRule="auto"/>
        <w:ind w:firstLine="480" w:firstLineChars="200"/>
        <w:rPr>
          <w:rFonts w:hint="eastAsia" w:ascii="宋体" w:hAnsi="宋体"/>
          <w:sz w:val="24"/>
          <w:szCs w:val="24"/>
        </w:rPr>
      </w:pPr>
      <w:r>
        <w:rPr>
          <w:rFonts w:hint="eastAsia" w:ascii="宋体" w:hAnsi="宋体"/>
          <w:sz w:val="24"/>
          <w:szCs w:val="24"/>
        </w:rPr>
        <w:t>公开答疑会时间：2022年</w:t>
      </w:r>
      <w:r>
        <w:rPr>
          <w:rFonts w:hint="eastAsia" w:ascii="宋体" w:hAnsi="宋体"/>
          <w:sz w:val="24"/>
          <w:szCs w:val="24"/>
          <w:lang w:val="en-US" w:eastAsia="zh-CN"/>
        </w:rPr>
        <w:t>4</w:t>
      </w:r>
      <w:r>
        <w:rPr>
          <w:rFonts w:hint="eastAsia" w:ascii="宋体" w:hAnsi="宋体"/>
          <w:sz w:val="24"/>
          <w:szCs w:val="24"/>
        </w:rPr>
        <w:t>月</w:t>
      </w:r>
      <w:r>
        <w:rPr>
          <w:rFonts w:hint="eastAsia" w:ascii="宋体" w:hAnsi="宋体"/>
          <w:sz w:val="24"/>
          <w:szCs w:val="24"/>
          <w:lang w:val="en-US" w:eastAsia="zh-CN"/>
        </w:rPr>
        <w:t>12</w:t>
      </w:r>
      <w:r>
        <w:rPr>
          <w:rFonts w:hint="eastAsia" w:ascii="宋体" w:hAnsi="宋体"/>
          <w:sz w:val="24"/>
          <w:szCs w:val="24"/>
        </w:rPr>
        <w:t>日上午9:30</w:t>
      </w:r>
    </w:p>
    <w:p>
      <w:pPr>
        <w:spacing w:line="360" w:lineRule="auto"/>
        <w:ind w:firstLine="480" w:firstLineChars="200"/>
        <w:rPr>
          <w:rFonts w:hint="eastAsia" w:ascii="宋体" w:hAnsi="宋体"/>
          <w:sz w:val="24"/>
          <w:szCs w:val="24"/>
        </w:rPr>
      </w:pPr>
      <w:r>
        <w:rPr>
          <w:rFonts w:hint="eastAsia" w:ascii="宋体" w:hAnsi="宋体"/>
          <w:sz w:val="24"/>
          <w:szCs w:val="24"/>
        </w:rPr>
        <w:t>公开答疑会地点：无锡市公共资源交易中心新吴分中心第</w:t>
      </w:r>
      <w:r>
        <w:rPr>
          <w:rFonts w:hint="eastAsia" w:ascii="宋体" w:hAnsi="宋体"/>
          <w:sz w:val="24"/>
          <w:szCs w:val="24"/>
          <w:lang w:val="en-US" w:eastAsia="zh-CN"/>
        </w:rPr>
        <w:t>四</w:t>
      </w:r>
      <w:r>
        <w:rPr>
          <w:rFonts w:hint="eastAsia" w:ascii="宋体" w:hAnsi="宋体"/>
          <w:sz w:val="24"/>
          <w:szCs w:val="24"/>
        </w:rPr>
        <w:t>开标室</w:t>
      </w:r>
    </w:p>
    <w:p>
      <w:pPr>
        <w:spacing w:line="360" w:lineRule="auto"/>
        <w:ind w:firstLine="480" w:firstLineChars="200"/>
        <w:rPr>
          <w:rFonts w:hint="eastAsia" w:ascii="宋体" w:hAnsi="宋体"/>
          <w:sz w:val="24"/>
          <w:szCs w:val="24"/>
        </w:rPr>
      </w:pPr>
      <w:r>
        <w:rPr>
          <w:rFonts w:hint="eastAsia" w:ascii="黑体" w:hAnsi="黑体" w:eastAsia="黑体"/>
          <w:bCs/>
          <w:color w:val="000000"/>
          <w:sz w:val="24"/>
          <w:szCs w:val="24"/>
        </w:rPr>
        <w:t>（六）投标及开标、定标时间、地点  </w:t>
      </w:r>
      <w:r>
        <w:rPr>
          <w:rFonts w:hint="eastAsia" w:ascii="宋体" w:hAnsi="宋体"/>
          <w:sz w:val="24"/>
          <w:szCs w:val="24"/>
        </w:rPr>
        <w:t> </w:t>
      </w:r>
    </w:p>
    <w:p>
      <w:pPr>
        <w:spacing w:line="360" w:lineRule="auto"/>
        <w:ind w:firstLine="480" w:firstLineChars="200"/>
        <w:rPr>
          <w:rFonts w:hint="eastAsia" w:ascii="宋体" w:hAnsi="宋体"/>
          <w:sz w:val="24"/>
          <w:szCs w:val="24"/>
        </w:rPr>
      </w:pPr>
      <w:r>
        <w:rPr>
          <w:rFonts w:hint="eastAsia" w:ascii="宋体" w:hAnsi="宋体"/>
          <w:sz w:val="24"/>
          <w:szCs w:val="24"/>
        </w:rPr>
        <w:t>网上投标截止时间：2022年</w:t>
      </w:r>
      <w:r>
        <w:rPr>
          <w:rFonts w:hint="eastAsia" w:ascii="宋体" w:hAnsi="宋体"/>
          <w:sz w:val="24"/>
          <w:szCs w:val="24"/>
          <w:lang w:val="en-US" w:eastAsia="zh-CN"/>
        </w:rPr>
        <w:t>4</w:t>
      </w:r>
      <w:r>
        <w:rPr>
          <w:rFonts w:hint="eastAsia" w:ascii="宋体" w:hAnsi="宋体"/>
          <w:sz w:val="24"/>
          <w:szCs w:val="24"/>
        </w:rPr>
        <w:t>月</w:t>
      </w:r>
      <w:r>
        <w:rPr>
          <w:rFonts w:hint="eastAsia" w:ascii="宋体" w:hAnsi="宋体"/>
          <w:sz w:val="24"/>
          <w:szCs w:val="24"/>
          <w:lang w:val="en-US" w:eastAsia="zh-CN"/>
        </w:rPr>
        <w:t>29</w:t>
      </w:r>
      <w:r>
        <w:rPr>
          <w:rFonts w:hint="eastAsia" w:ascii="宋体" w:hAnsi="宋体"/>
          <w:sz w:val="24"/>
          <w:szCs w:val="24"/>
        </w:rPr>
        <w:t>日</w:t>
      </w:r>
      <w:r>
        <w:rPr>
          <w:rFonts w:hint="eastAsia" w:ascii="宋体" w:hAnsi="宋体"/>
          <w:sz w:val="24"/>
          <w:szCs w:val="24"/>
          <w:lang w:val="en-US" w:eastAsia="zh-CN"/>
        </w:rPr>
        <w:t>13</w:t>
      </w:r>
      <w:r>
        <w:rPr>
          <w:rFonts w:hint="eastAsia" w:ascii="宋体" w:hAnsi="宋体"/>
          <w:sz w:val="24"/>
          <w:szCs w:val="24"/>
        </w:rPr>
        <w:t>:30（投标截止时间后的投标文件恕不接受）</w:t>
      </w:r>
    </w:p>
    <w:p>
      <w:pPr>
        <w:spacing w:line="360" w:lineRule="auto"/>
        <w:ind w:firstLine="480" w:firstLineChars="200"/>
        <w:rPr>
          <w:rFonts w:hint="eastAsia" w:ascii="宋体" w:hAnsi="宋体"/>
          <w:sz w:val="24"/>
          <w:szCs w:val="24"/>
        </w:rPr>
      </w:pPr>
      <w:r>
        <w:rPr>
          <w:rFonts w:hint="eastAsia" w:ascii="宋体" w:hAnsi="宋体"/>
          <w:sz w:val="24"/>
          <w:szCs w:val="24"/>
        </w:rPr>
        <w:t>网上投标解密时间：2022年</w:t>
      </w:r>
      <w:r>
        <w:rPr>
          <w:rFonts w:hint="eastAsia" w:ascii="宋体" w:hAnsi="宋体"/>
          <w:sz w:val="24"/>
          <w:szCs w:val="24"/>
          <w:lang w:val="en-US" w:eastAsia="zh-CN"/>
        </w:rPr>
        <w:t>4</w:t>
      </w:r>
      <w:r>
        <w:rPr>
          <w:rFonts w:hint="eastAsia" w:ascii="宋体" w:hAnsi="宋体"/>
          <w:sz w:val="24"/>
          <w:szCs w:val="24"/>
        </w:rPr>
        <w:t>月</w:t>
      </w:r>
      <w:r>
        <w:rPr>
          <w:rFonts w:hint="eastAsia" w:ascii="宋体" w:hAnsi="宋体"/>
          <w:sz w:val="24"/>
          <w:szCs w:val="24"/>
          <w:lang w:val="en-US" w:eastAsia="zh-CN"/>
        </w:rPr>
        <w:t>29</w:t>
      </w:r>
      <w:r>
        <w:rPr>
          <w:rFonts w:hint="eastAsia" w:ascii="宋体" w:hAnsi="宋体"/>
          <w:sz w:val="24"/>
          <w:szCs w:val="24"/>
        </w:rPr>
        <w:t>日开启解密后半小时。</w:t>
      </w:r>
    </w:p>
    <w:p>
      <w:pPr>
        <w:spacing w:line="360" w:lineRule="auto"/>
        <w:ind w:firstLine="480" w:firstLineChars="200"/>
        <w:rPr>
          <w:rFonts w:hint="eastAsia" w:ascii="宋体" w:hAnsi="宋体"/>
          <w:sz w:val="24"/>
          <w:szCs w:val="24"/>
        </w:rPr>
      </w:pPr>
      <w:r>
        <w:rPr>
          <w:rFonts w:hint="eastAsia" w:ascii="宋体" w:hAnsi="宋体"/>
          <w:sz w:val="24"/>
          <w:szCs w:val="24"/>
        </w:rPr>
        <w:t>投标及开标地点：无锡市公共资源交易中心新吴分中心第二开标室</w:t>
      </w:r>
    </w:p>
    <w:p>
      <w:pPr>
        <w:spacing w:line="360" w:lineRule="auto"/>
        <w:ind w:firstLine="480" w:firstLineChars="200"/>
        <w:rPr>
          <w:rFonts w:hint="eastAsia" w:ascii="宋体" w:hAnsi="宋体"/>
          <w:sz w:val="24"/>
          <w:szCs w:val="24"/>
        </w:rPr>
      </w:pPr>
      <w:r>
        <w:rPr>
          <w:rFonts w:hint="eastAsia" w:ascii="宋体" w:hAnsi="宋体"/>
          <w:sz w:val="24"/>
          <w:szCs w:val="24"/>
        </w:rPr>
        <w:t>定标时间：评标结束</w:t>
      </w:r>
    </w:p>
    <w:p>
      <w:pPr>
        <w:spacing w:line="360" w:lineRule="auto"/>
        <w:ind w:firstLine="480" w:firstLineChars="200"/>
        <w:rPr>
          <w:rFonts w:hint="eastAsia" w:ascii="宋体" w:hAnsi="宋体"/>
          <w:sz w:val="24"/>
          <w:szCs w:val="24"/>
        </w:rPr>
      </w:pPr>
      <w:r>
        <w:rPr>
          <w:rFonts w:hint="eastAsia" w:ascii="宋体" w:hAnsi="宋体"/>
          <w:sz w:val="24"/>
          <w:szCs w:val="24"/>
        </w:rPr>
        <w:t>定标地点：无锡市公共资源交易中心新吴分中心评标室</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w:t>
      </w:r>
      <w:r>
        <w:rPr>
          <w:rFonts w:hint="eastAsia" w:ascii="黑体" w:hAnsi="黑体" w:eastAsia="黑体"/>
          <w:bCs/>
          <w:color w:val="000000"/>
          <w:sz w:val="24"/>
          <w:szCs w:val="24"/>
          <w:lang w:val="en-US" w:eastAsia="zh-CN"/>
        </w:rPr>
        <w:t>七</w:t>
      </w:r>
      <w:r>
        <w:rPr>
          <w:rFonts w:hint="eastAsia" w:ascii="黑体" w:hAnsi="黑体" w:eastAsia="黑体"/>
          <w:bCs/>
          <w:color w:val="000000"/>
          <w:sz w:val="24"/>
          <w:szCs w:val="24"/>
        </w:rPr>
        <w:t>）投标有效期：开标之日起90天</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（八）采购方法：</w:t>
      </w:r>
    </w:p>
    <w:p>
      <w:pPr>
        <w:spacing w:line="360" w:lineRule="auto"/>
        <w:ind w:firstLine="480" w:firstLineChars="200"/>
        <w:rPr>
          <w:rFonts w:hint="eastAsia" w:ascii="宋体" w:hAnsi="宋体"/>
          <w:sz w:val="24"/>
          <w:szCs w:val="24"/>
        </w:rPr>
      </w:pPr>
      <w:r>
        <w:rPr>
          <w:rFonts w:hint="eastAsia" w:ascii="宋体" w:hAnsi="宋体"/>
          <w:sz w:val="24"/>
          <w:szCs w:val="24"/>
        </w:rPr>
        <w:t>本次采购采用《无锡市政府采购交易管理一体化系统》进行招标投标活动，招标、投标、评标和中标结果发布全程电子化。</w:t>
      </w:r>
    </w:p>
    <w:p>
      <w:pPr>
        <w:spacing w:line="360" w:lineRule="auto"/>
        <w:ind w:firstLine="480" w:firstLineChars="200"/>
        <w:rPr>
          <w:rFonts w:hint="eastAsia" w:ascii="黑体" w:hAnsi="黑体" w:eastAsia="黑体"/>
          <w:bCs/>
          <w:color w:val="000000"/>
          <w:sz w:val="24"/>
          <w:szCs w:val="24"/>
        </w:rPr>
      </w:pPr>
      <w:r>
        <w:rPr>
          <w:rFonts w:hint="eastAsia" w:ascii="黑体" w:hAnsi="黑体" w:eastAsia="黑体"/>
          <w:bCs/>
          <w:color w:val="000000"/>
          <w:sz w:val="24"/>
          <w:szCs w:val="24"/>
        </w:rPr>
        <w:t>（</w:t>
      </w:r>
      <w:r>
        <w:rPr>
          <w:rFonts w:hint="eastAsia" w:ascii="黑体" w:hAnsi="黑体" w:eastAsia="黑体"/>
          <w:bCs/>
          <w:color w:val="000000"/>
          <w:sz w:val="24"/>
          <w:szCs w:val="24"/>
          <w:lang w:val="en-US" w:eastAsia="zh-CN"/>
        </w:rPr>
        <w:t>九</w:t>
      </w:r>
      <w:r>
        <w:rPr>
          <w:rFonts w:hint="eastAsia" w:ascii="黑体" w:hAnsi="黑体" w:eastAsia="黑体"/>
          <w:bCs/>
          <w:color w:val="000000"/>
          <w:sz w:val="24"/>
          <w:szCs w:val="24"/>
        </w:rPr>
        <w:t>）其它</w:t>
      </w:r>
    </w:p>
    <w:p>
      <w:pPr>
        <w:spacing w:line="360" w:lineRule="auto"/>
        <w:ind w:firstLine="480" w:firstLineChars="200"/>
        <w:rPr>
          <w:rFonts w:hint="eastAsia" w:ascii="宋体" w:hAnsi="宋体"/>
          <w:sz w:val="24"/>
          <w:szCs w:val="24"/>
        </w:rPr>
      </w:pPr>
      <w:r>
        <w:rPr>
          <w:rFonts w:hint="eastAsia" w:ascii="宋体" w:hAnsi="宋体"/>
          <w:sz w:val="24"/>
          <w:szCs w:val="24"/>
        </w:rPr>
        <w:t xml:space="preserve">集中采购机构：无锡市公共资源交易中心新吴分中心       </w:t>
      </w:r>
    </w:p>
    <w:p>
      <w:pPr>
        <w:spacing w:line="360" w:lineRule="auto"/>
        <w:ind w:firstLine="480" w:firstLineChars="200"/>
        <w:rPr>
          <w:rFonts w:hint="eastAsia" w:ascii="宋体" w:hAnsi="宋体"/>
          <w:sz w:val="24"/>
          <w:szCs w:val="24"/>
        </w:rPr>
      </w:pPr>
      <w:r>
        <w:rPr>
          <w:rFonts w:hint="eastAsia" w:ascii="宋体" w:hAnsi="宋体"/>
          <w:sz w:val="24"/>
          <w:szCs w:val="24"/>
        </w:rPr>
        <w:t>地址: 无锡市新吴区长江路7号科技园四区一楼</w:t>
      </w:r>
    </w:p>
    <w:p>
      <w:pPr>
        <w:spacing w:line="360" w:lineRule="auto"/>
        <w:ind w:firstLine="480" w:firstLineChars="200"/>
        <w:rPr>
          <w:rFonts w:hint="eastAsia" w:ascii="宋体" w:hAnsi="宋体"/>
          <w:sz w:val="24"/>
          <w:szCs w:val="24"/>
        </w:rPr>
      </w:pPr>
      <w:r>
        <w:rPr>
          <w:rFonts w:hint="eastAsia" w:ascii="宋体" w:hAnsi="宋体"/>
          <w:sz w:val="24"/>
          <w:szCs w:val="24"/>
        </w:rPr>
        <w:t>项目联系人:</w:t>
      </w:r>
      <w:r>
        <w:rPr>
          <w:rFonts w:hint="eastAsia" w:ascii="宋体" w:hAnsi="宋体"/>
          <w:sz w:val="24"/>
          <w:szCs w:val="24"/>
          <w:lang w:val="en-US" w:eastAsia="zh-CN"/>
        </w:rPr>
        <w:t xml:space="preserve">乔凡本、马浠纯     </w:t>
      </w:r>
      <w:r>
        <w:rPr>
          <w:rFonts w:hint="eastAsia" w:ascii="宋体" w:hAnsi="宋体"/>
          <w:sz w:val="24"/>
          <w:szCs w:val="24"/>
        </w:rPr>
        <w:t>电话：0510-8525</w:t>
      </w:r>
      <w:r>
        <w:rPr>
          <w:rFonts w:hint="eastAsia" w:ascii="宋体" w:hAnsi="宋体"/>
          <w:sz w:val="24"/>
          <w:szCs w:val="24"/>
          <w:lang w:val="en-US" w:eastAsia="zh-CN"/>
        </w:rPr>
        <w:t>8551</w:t>
      </w:r>
      <w:r>
        <w:rPr>
          <w:rFonts w:hint="eastAsia" w:ascii="宋体" w:hAnsi="宋体"/>
          <w:sz w:val="24"/>
          <w:szCs w:val="24"/>
        </w:rPr>
        <w:t> 传真：0510-85227192</w:t>
      </w: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480"/>
        <w:rPr>
          <w:rFonts w:ascii="宋体" w:hAnsi="宋体"/>
          <w:bCs/>
          <w:kern w:val="2"/>
          <w:sz w:val="24"/>
          <w:szCs w:val="24"/>
        </w:rPr>
      </w:pPr>
    </w:p>
    <w:p>
      <w:pPr>
        <w:pStyle w:val="2"/>
        <w:ind w:firstLine="0" w:firstLineChars="0"/>
        <w:rPr>
          <w:rFonts w:ascii="宋体" w:hAnsi="宋体"/>
          <w:bCs/>
          <w:kern w:val="2"/>
          <w:sz w:val="24"/>
          <w:szCs w:val="24"/>
        </w:rPr>
      </w:pPr>
    </w:p>
    <w:p>
      <w:pPr>
        <w:spacing w:line="490" w:lineRule="exact"/>
        <w:jc w:val="center"/>
        <w:rPr>
          <w:rFonts w:ascii="黑体" w:eastAsia="黑体"/>
          <w:bCs/>
          <w:color w:val="000000"/>
          <w:sz w:val="28"/>
          <w:szCs w:val="28"/>
        </w:rPr>
      </w:pPr>
      <w:r>
        <w:rPr>
          <w:rFonts w:hint="eastAsia" w:ascii="黑体" w:eastAsia="黑体"/>
          <w:bCs/>
          <w:color w:val="000000"/>
          <w:sz w:val="28"/>
          <w:szCs w:val="28"/>
        </w:rPr>
        <w:t>二．投标人须知</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（一）遵循原则：</w:t>
      </w:r>
    </w:p>
    <w:p>
      <w:pPr>
        <w:spacing w:line="360" w:lineRule="auto"/>
        <w:ind w:firstLine="480" w:firstLineChars="200"/>
        <w:rPr>
          <w:rFonts w:ascii="黑体" w:hAnsi="宋体" w:eastAsia="黑体"/>
          <w:bCs/>
          <w:sz w:val="24"/>
          <w:szCs w:val="24"/>
        </w:rPr>
      </w:pPr>
      <w:r>
        <w:rPr>
          <w:rFonts w:hint="eastAsia" w:ascii="宋体" w:hAnsi="宋体"/>
          <w:bCs/>
          <w:sz w:val="24"/>
          <w:szCs w:val="24"/>
        </w:rPr>
        <w:t>公开透明原则、公平竞争原则、公正原则和诚实信用原则。</w:t>
      </w:r>
    </w:p>
    <w:p>
      <w:pPr>
        <w:numPr>
          <w:ilvl w:val="0"/>
          <w:numId w:val="1"/>
        </w:numPr>
        <w:spacing w:line="360" w:lineRule="auto"/>
        <w:rPr>
          <w:rFonts w:ascii="黑体" w:hAnsi="宋体" w:eastAsia="黑体"/>
          <w:bCs/>
          <w:sz w:val="24"/>
          <w:szCs w:val="24"/>
        </w:rPr>
      </w:pPr>
      <w:r>
        <w:rPr>
          <w:rFonts w:hint="eastAsia" w:ascii="黑体" w:hAnsi="宋体" w:eastAsia="黑体"/>
          <w:bCs/>
          <w:sz w:val="24"/>
          <w:szCs w:val="24"/>
        </w:rPr>
        <w:t>招标文件：</w:t>
      </w:r>
    </w:p>
    <w:p>
      <w:pPr>
        <w:numPr>
          <w:ilvl w:val="0"/>
          <w:numId w:val="0"/>
        </w:numPr>
        <w:tabs>
          <w:tab w:val="left" w:pos="-1260"/>
          <w:tab w:val="left" w:pos="525"/>
          <w:tab w:val="left" w:pos="945"/>
        </w:tabs>
        <w:spacing w:line="360" w:lineRule="auto"/>
        <w:ind w:leftChars="218"/>
        <w:rPr>
          <w:rFonts w:ascii="宋体"/>
          <w:bCs/>
          <w:sz w:val="24"/>
          <w:szCs w:val="24"/>
        </w:rPr>
      </w:pPr>
      <w:r>
        <w:rPr>
          <w:rFonts w:hint="eastAsia" w:ascii="宋体" w:hAnsi="宋体"/>
          <w:bCs/>
          <w:sz w:val="24"/>
          <w:szCs w:val="24"/>
          <w:lang w:val="en-US" w:eastAsia="zh-CN"/>
        </w:rPr>
        <w:t>1.</w:t>
      </w:r>
      <w:r>
        <w:rPr>
          <w:rFonts w:hint="eastAsia" w:ascii="宋体" w:hAnsi="宋体"/>
          <w:bCs/>
          <w:sz w:val="24"/>
          <w:szCs w:val="24"/>
        </w:rPr>
        <w:t>招标文件包括本文件目录所列全部内容，投标人应仔细阅读，并在投标文件中充分响应招标文件的所有要求。</w:t>
      </w:r>
    </w:p>
    <w:p>
      <w:pPr>
        <w:numPr>
          <w:ilvl w:val="0"/>
          <w:numId w:val="0"/>
        </w:numPr>
        <w:tabs>
          <w:tab w:val="left" w:pos="0"/>
          <w:tab w:val="left" w:pos="525"/>
          <w:tab w:val="left" w:pos="945"/>
        </w:tabs>
        <w:spacing w:line="360" w:lineRule="auto"/>
        <w:ind w:leftChars="218"/>
        <w:rPr>
          <w:rFonts w:ascii="宋体"/>
          <w:bCs/>
          <w:sz w:val="24"/>
          <w:szCs w:val="24"/>
        </w:rPr>
      </w:pPr>
      <w:r>
        <w:rPr>
          <w:rFonts w:hint="eastAsia" w:ascii="宋体" w:hAnsi="宋体"/>
          <w:bCs/>
          <w:sz w:val="24"/>
          <w:szCs w:val="24"/>
          <w:lang w:val="en-US" w:eastAsia="zh-CN"/>
        </w:rPr>
        <w:t>2.</w:t>
      </w:r>
      <w:r>
        <w:rPr>
          <w:rFonts w:hint="eastAsia" w:ascii="宋体" w:hAnsi="宋体"/>
          <w:bCs/>
          <w:sz w:val="24"/>
          <w:szCs w:val="24"/>
        </w:rPr>
        <w:t>采购文件中的“法定代表人”是指投标人的营业执照或相关部门的登记证明文件中的“法定代表人”或“负责人”。</w:t>
      </w:r>
    </w:p>
    <w:p>
      <w:pPr>
        <w:numPr>
          <w:ilvl w:val="0"/>
          <w:numId w:val="0"/>
        </w:numPr>
        <w:tabs>
          <w:tab w:val="left" w:pos="0"/>
          <w:tab w:val="left" w:pos="525"/>
          <w:tab w:val="left" w:pos="945"/>
        </w:tabs>
        <w:spacing w:line="360" w:lineRule="auto"/>
        <w:ind w:leftChars="218"/>
        <w:rPr>
          <w:rFonts w:ascii="宋体"/>
          <w:bCs/>
          <w:sz w:val="24"/>
          <w:szCs w:val="24"/>
        </w:rPr>
      </w:pPr>
      <w:r>
        <w:rPr>
          <w:rFonts w:hint="eastAsia" w:ascii="宋体" w:hAnsi="宋体"/>
          <w:bCs/>
          <w:color w:val="000000" w:themeColor="text1"/>
          <w:sz w:val="24"/>
          <w:szCs w:val="24"/>
          <w:lang w:val="en-US" w:eastAsia="zh-CN"/>
        </w:rPr>
        <w:t>3.</w:t>
      </w:r>
      <w:r>
        <w:rPr>
          <w:rFonts w:hint="eastAsia" w:ascii="宋体" w:hAnsi="宋体"/>
          <w:bCs/>
          <w:color w:val="000000" w:themeColor="text1"/>
          <w:sz w:val="24"/>
          <w:szCs w:val="24"/>
        </w:rPr>
        <w:t>投标人应在无锡市公共资源交易中心政府采购专栏（</w:t>
      </w:r>
      <w:r>
        <w:rPr>
          <w:rFonts w:ascii="宋体" w:hAnsi="宋体"/>
          <w:bCs/>
          <w:color w:val="000000" w:themeColor="text1"/>
          <w:sz w:val="24"/>
          <w:szCs w:val="24"/>
        </w:rPr>
        <w:t>http://xzfw.wuxi.gov.cn/ztzl/wxsggzyjyzxzl/jyxx/zfcg/index.shtml</w:t>
      </w:r>
      <w:r>
        <w:rPr>
          <w:rFonts w:hint="eastAsia" w:ascii="宋体" w:hAnsi="宋体"/>
          <w:bCs/>
          <w:color w:val="000000" w:themeColor="text1"/>
          <w:sz w:val="24"/>
          <w:szCs w:val="24"/>
        </w:rPr>
        <w:t>，下同）或登录</w:t>
      </w:r>
      <w:r>
        <w:rPr>
          <w:rFonts w:hint="eastAsia" w:ascii="宋体" w:hAnsi="宋体"/>
          <w:color w:val="000000" w:themeColor="text1"/>
          <w:sz w:val="24"/>
          <w:szCs w:val="24"/>
        </w:rPr>
        <w:t>政府采购交易管理一体化系统</w:t>
      </w:r>
      <w:r>
        <w:rPr>
          <w:rFonts w:hint="eastAsia" w:ascii="宋体" w:hAnsi="宋体"/>
          <w:bCs/>
          <w:color w:val="000000" w:themeColor="text1"/>
          <w:sz w:val="24"/>
          <w:szCs w:val="24"/>
        </w:rPr>
        <w:t>下载招标文件及有关资料</w:t>
      </w:r>
      <w:r>
        <w:rPr>
          <w:rFonts w:hint="eastAsia" w:ascii="宋体" w:hAnsi="宋体"/>
          <w:bCs/>
          <w:sz w:val="24"/>
          <w:szCs w:val="24"/>
        </w:rPr>
        <w:t>，</w:t>
      </w:r>
      <w:r>
        <w:rPr>
          <w:rFonts w:hint="eastAsia" w:ascii="宋体" w:hAnsi="宋体"/>
          <w:sz w:val="24"/>
          <w:szCs w:val="24"/>
        </w:rPr>
        <w:t>按要求制作、上传投标文件，</w:t>
      </w:r>
      <w:r>
        <w:rPr>
          <w:rFonts w:hint="eastAsia" w:ascii="宋体" w:hAnsi="宋体"/>
          <w:bCs/>
          <w:sz w:val="24"/>
          <w:szCs w:val="24"/>
        </w:rPr>
        <w:t>对招标文件各项内容做出实质性响应，否则投标无效。</w:t>
      </w:r>
    </w:p>
    <w:p>
      <w:pPr>
        <w:numPr>
          <w:ilvl w:val="0"/>
          <w:numId w:val="0"/>
        </w:numPr>
        <w:tabs>
          <w:tab w:val="left" w:pos="0"/>
          <w:tab w:val="left" w:pos="525"/>
          <w:tab w:val="left" w:pos="945"/>
        </w:tabs>
        <w:spacing w:line="360" w:lineRule="auto"/>
        <w:ind w:leftChars="218"/>
        <w:rPr>
          <w:rFonts w:ascii="宋体"/>
          <w:bCs/>
          <w:sz w:val="24"/>
          <w:szCs w:val="24"/>
        </w:rPr>
      </w:pPr>
      <w:r>
        <w:rPr>
          <w:rFonts w:hint="eastAsia" w:ascii="宋体" w:hAnsi="宋体"/>
          <w:bCs/>
          <w:sz w:val="24"/>
          <w:szCs w:val="24"/>
          <w:lang w:val="en-US" w:eastAsia="zh-CN"/>
        </w:rPr>
        <w:t>4.</w:t>
      </w:r>
      <w:r>
        <w:rPr>
          <w:rFonts w:hint="eastAsia" w:ascii="宋体" w:hAnsi="宋体"/>
          <w:bCs/>
          <w:sz w:val="24"/>
          <w:szCs w:val="24"/>
        </w:rPr>
        <w:t>招标文件仅作为本次招投标使用。</w:t>
      </w:r>
    </w:p>
    <w:p>
      <w:pPr>
        <w:tabs>
          <w:tab w:val="left" w:pos="630"/>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（三）招标文件的解释：</w:t>
      </w:r>
    </w:p>
    <w:p>
      <w:pPr>
        <w:tabs>
          <w:tab w:val="left" w:pos="945"/>
        </w:tabs>
        <w:spacing w:line="360" w:lineRule="auto"/>
        <w:ind w:left="523"/>
        <w:rPr>
          <w:rFonts w:ascii="宋体"/>
          <w:bCs/>
          <w:sz w:val="24"/>
          <w:szCs w:val="24"/>
        </w:rPr>
      </w:pPr>
      <w:r>
        <w:rPr>
          <w:rFonts w:hint="eastAsia" w:ascii="宋体" w:hAnsi="宋体"/>
          <w:bCs/>
          <w:sz w:val="24"/>
          <w:szCs w:val="24"/>
        </w:rPr>
        <w:t>本文件的最终解释权归无锡市公共资源交易中心新吴分中心。</w:t>
      </w:r>
    </w:p>
    <w:p>
      <w:pPr>
        <w:tabs>
          <w:tab w:val="left" w:pos="945"/>
        </w:tabs>
        <w:spacing w:line="360" w:lineRule="auto"/>
        <w:ind w:firstLine="523" w:firstLineChars="218"/>
        <w:rPr>
          <w:rFonts w:ascii="黑体" w:hAnsi="宋体" w:eastAsia="黑体"/>
          <w:bCs/>
          <w:sz w:val="24"/>
          <w:szCs w:val="24"/>
        </w:rPr>
      </w:pPr>
      <w:r>
        <w:rPr>
          <w:rFonts w:hint="eastAsia" w:ascii="黑体" w:hAnsi="宋体" w:eastAsia="黑体"/>
          <w:bCs/>
          <w:sz w:val="24"/>
          <w:szCs w:val="24"/>
        </w:rPr>
        <w:t>（四）招标文件的补充或修正：</w:t>
      </w:r>
    </w:p>
    <w:p>
      <w:pPr>
        <w:spacing w:line="360" w:lineRule="auto"/>
        <w:ind w:firstLine="480" w:firstLineChars="200"/>
        <w:rPr>
          <w:rFonts w:hint="eastAsia" w:ascii="宋体" w:hAnsi="宋体"/>
          <w:bCs/>
          <w:sz w:val="24"/>
          <w:szCs w:val="24"/>
        </w:rPr>
      </w:pPr>
      <w:r>
        <w:rPr>
          <w:rFonts w:hint="eastAsia" w:ascii="宋体" w:hAnsi="宋体"/>
          <w:bCs/>
          <w:sz w:val="24"/>
          <w:szCs w:val="24"/>
        </w:rPr>
        <w:t>1．无锡市</w:t>
      </w:r>
      <w:r>
        <w:rPr>
          <w:rFonts w:hint="eastAsia" w:ascii="宋体" w:hAnsi="宋体"/>
          <w:bCs/>
          <w:sz w:val="24"/>
          <w:szCs w:val="24"/>
          <w:lang w:val="en-US" w:eastAsia="zh-CN"/>
        </w:rPr>
        <w:t>公共资源交易中心新吴分中心</w:t>
      </w:r>
      <w:r>
        <w:rPr>
          <w:rFonts w:hint="eastAsia" w:ascii="宋体" w:hAnsi="宋体"/>
          <w:bCs/>
          <w:sz w:val="24"/>
          <w:szCs w:val="24"/>
        </w:rPr>
        <w:t>可在投标截止时间十五日前对招标文件进行必要的澄清或者修改，不足15日的，将顺延提交投标文件的截止时间。</w:t>
      </w:r>
    </w:p>
    <w:p>
      <w:pPr>
        <w:spacing w:line="360" w:lineRule="auto"/>
        <w:ind w:firstLine="480" w:firstLineChars="200"/>
        <w:rPr>
          <w:rFonts w:hint="eastAsia" w:ascii="宋体" w:hAnsi="宋体"/>
          <w:bCs/>
          <w:sz w:val="24"/>
          <w:szCs w:val="24"/>
        </w:rPr>
      </w:pPr>
      <w:r>
        <w:rPr>
          <w:rFonts w:hint="eastAsia" w:ascii="宋体" w:hAnsi="宋体"/>
          <w:bCs/>
          <w:sz w:val="24"/>
          <w:szCs w:val="24"/>
        </w:rPr>
        <w:t>2．如需对招标文件进行澄清或修正，无锡市</w:t>
      </w:r>
      <w:r>
        <w:rPr>
          <w:rFonts w:hint="eastAsia" w:ascii="宋体" w:hAnsi="宋体"/>
          <w:bCs/>
          <w:sz w:val="24"/>
          <w:szCs w:val="24"/>
          <w:lang w:val="en-US" w:eastAsia="zh-CN"/>
        </w:rPr>
        <w:t>公共资源交易中心新吴分中心</w:t>
      </w:r>
      <w:r>
        <w:rPr>
          <w:rFonts w:hint="eastAsia" w:ascii="宋体" w:hAnsi="宋体"/>
          <w:bCs/>
          <w:sz w:val="24"/>
          <w:szCs w:val="24"/>
        </w:rPr>
        <w:t>将在无锡市公共资源交易中心政府采购专栏、无锡政府采购网、江苏政府采购网和中国政府采购网发布更正公告，该澄清或修正的内容为招标文件的组成部分。投标人应在投标截止时间前登录投标客户端或关注原招标公告媒体上发布的相关更正公告。因投标人未尽注意义务，未及时更新上传投标文件或全面地关注更正公告导致其提交的投标材料不符合无锡市</w:t>
      </w:r>
      <w:r>
        <w:rPr>
          <w:rFonts w:hint="eastAsia" w:ascii="宋体" w:hAnsi="宋体"/>
          <w:bCs/>
          <w:sz w:val="24"/>
          <w:szCs w:val="24"/>
          <w:lang w:val="en-US" w:eastAsia="zh-CN"/>
        </w:rPr>
        <w:t>公共资源交易中心新吴分中心</w:t>
      </w:r>
      <w:r>
        <w:rPr>
          <w:rFonts w:hint="eastAsia" w:ascii="宋体" w:hAnsi="宋体"/>
          <w:bCs/>
          <w:sz w:val="24"/>
          <w:szCs w:val="24"/>
        </w:rPr>
        <w:t>要求，而造成的损失及风险（包括但不限于未中标）由投标人自行承担。</w:t>
      </w:r>
    </w:p>
    <w:p>
      <w:pPr>
        <w:spacing w:line="360" w:lineRule="auto"/>
        <w:ind w:firstLine="480" w:firstLineChars="200"/>
        <w:rPr>
          <w:rFonts w:hint="eastAsia" w:ascii="宋体" w:hAnsi="宋体"/>
          <w:bCs/>
          <w:sz w:val="24"/>
          <w:szCs w:val="24"/>
        </w:rPr>
      </w:pPr>
      <w:r>
        <w:rPr>
          <w:rFonts w:hint="eastAsia" w:ascii="宋体" w:hAnsi="宋体"/>
          <w:bCs/>
          <w:sz w:val="24"/>
          <w:szCs w:val="24"/>
        </w:rPr>
        <w:t>3．供应商认为招标文件使自己的权益受到损害的，可以自获取招标文件之日或者招标公告期限届满之日（公告期限届满后获取招标文件的，以公告期限届满之日为准）起7个工作日内，以书面形式向采购人、采购代理机构提出质疑。针对同一采购程序环节的质疑，须在法定质疑期内一次性提出。质疑函的质疑事项应具体、明确，并有必要的事实依据和法律依据（格式详见中国政府采购网《政府采购供应商质疑函范本》）。无锡市</w:t>
      </w:r>
      <w:r>
        <w:rPr>
          <w:rFonts w:hint="eastAsia" w:ascii="宋体" w:hAnsi="宋体"/>
          <w:bCs/>
          <w:sz w:val="24"/>
          <w:szCs w:val="24"/>
          <w:lang w:val="en-US" w:eastAsia="zh-CN"/>
        </w:rPr>
        <w:t>公共资源交易中心新吴分中心</w:t>
      </w:r>
      <w:r>
        <w:rPr>
          <w:rFonts w:hint="eastAsia" w:ascii="宋体" w:hAnsi="宋体"/>
          <w:bCs/>
          <w:sz w:val="24"/>
          <w:szCs w:val="24"/>
        </w:rPr>
        <w:t>将在收到符合上述要求的书面质疑后七个工作日内，对质疑内容做出答复。投标人在法定质疑期限外送达的质疑函或法定质疑期限内送达的质疑函不符合上述要求的均为无效质疑，无锡市</w:t>
      </w:r>
      <w:r>
        <w:rPr>
          <w:rFonts w:hint="eastAsia" w:ascii="宋体" w:hAnsi="宋体"/>
          <w:bCs/>
          <w:sz w:val="24"/>
          <w:szCs w:val="24"/>
          <w:lang w:val="en-US" w:eastAsia="zh-CN"/>
        </w:rPr>
        <w:t>公共资源交易中心新吴分中心</w:t>
      </w:r>
      <w:r>
        <w:rPr>
          <w:rFonts w:hint="eastAsia" w:ascii="宋体" w:hAnsi="宋体"/>
          <w:bCs/>
          <w:sz w:val="24"/>
          <w:szCs w:val="24"/>
        </w:rPr>
        <w:t>对无效质疑不予受理。</w:t>
      </w:r>
    </w:p>
    <w:p>
      <w:pPr>
        <w:spacing w:line="360" w:lineRule="auto"/>
        <w:ind w:firstLine="480" w:firstLineChars="200"/>
        <w:rPr>
          <w:rFonts w:ascii="宋体"/>
          <w:bCs/>
          <w:sz w:val="24"/>
          <w:szCs w:val="24"/>
        </w:rPr>
      </w:pPr>
      <w:r>
        <w:rPr>
          <w:rFonts w:hint="eastAsia" w:ascii="黑体" w:hAnsi="宋体" w:eastAsia="黑体"/>
          <w:bCs/>
          <w:sz w:val="24"/>
          <w:szCs w:val="24"/>
        </w:rPr>
        <w:t>（五）投标文件的组成：</w:t>
      </w:r>
    </w:p>
    <w:p>
      <w:pPr>
        <w:numPr>
          <w:ilvl w:val="0"/>
          <w:numId w:val="0"/>
        </w:numPr>
        <w:tabs>
          <w:tab w:val="left" w:pos="525"/>
          <w:tab w:val="left" w:pos="945"/>
        </w:tabs>
        <w:spacing w:line="360" w:lineRule="auto"/>
        <w:ind w:leftChars="218"/>
        <w:rPr>
          <w:rFonts w:ascii="宋体"/>
          <w:bCs/>
          <w:color w:val="000000"/>
          <w:sz w:val="24"/>
          <w:szCs w:val="24"/>
        </w:rPr>
      </w:pPr>
      <w:r>
        <w:rPr>
          <w:rFonts w:hint="eastAsia" w:ascii="宋体" w:hAnsi="宋体"/>
          <w:bCs/>
          <w:color w:val="000000"/>
          <w:sz w:val="24"/>
          <w:szCs w:val="24"/>
          <w:lang w:val="en-US" w:eastAsia="zh-CN"/>
        </w:rPr>
        <w:t>1.</w:t>
      </w:r>
      <w:r>
        <w:rPr>
          <w:rFonts w:hint="eastAsia" w:ascii="宋体" w:hAnsi="宋体"/>
          <w:bCs/>
          <w:color w:val="000000"/>
          <w:sz w:val="24"/>
          <w:szCs w:val="24"/>
        </w:rPr>
        <w:t>投标函（</w:t>
      </w:r>
      <w:r>
        <w:rPr>
          <w:rFonts w:hint="eastAsia" w:ascii="宋体" w:hAnsi="宋体"/>
          <w:b/>
          <w:bCs/>
          <w:color w:val="000000"/>
          <w:sz w:val="24"/>
          <w:szCs w:val="24"/>
        </w:rPr>
        <w:t>格式见附件）</w:t>
      </w:r>
    </w:p>
    <w:p>
      <w:pPr>
        <w:numPr>
          <w:ilvl w:val="0"/>
          <w:numId w:val="0"/>
        </w:numPr>
        <w:tabs>
          <w:tab w:val="left" w:pos="525"/>
          <w:tab w:val="left" w:pos="945"/>
        </w:tabs>
        <w:spacing w:line="360" w:lineRule="auto"/>
        <w:ind w:leftChars="218"/>
        <w:rPr>
          <w:rFonts w:ascii="宋体"/>
          <w:bCs/>
          <w:color w:val="000000"/>
          <w:sz w:val="24"/>
          <w:szCs w:val="24"/>
        </w:rPr>
      </w:pPr>
      <w:r>
        <w:rPr>
          <w:rFonts w:hint="eastAsia" w:ascii="宋体" w:hAnsi="宋体"/>
          <w:bCs/>
          <w:color w:val="000000"/>
          <w:sz w:val="24"/>
          <w:szCs w:val="24"/>
          <w:lang w:val="en-US" w:eastAsia="zh-CN"/>
        </w:rPr>
        <w:t>2.</w:t>
      </w:r>
      <w:r>
        <w:rPr>
          <w:rFonts w:hint="eastAsia" w:ascii="宋体" w:hAnsi="宋体"/>
          <w:bCs/>
          <w:color w:val="000000"/>
          <w:sz w:val="24"/>
          <w:szCs w:val="24"/>
        </w:rPr>
        <w:t>资格、资信证明文件：</w:t>
      </w:r>
    </w:p>
    <w:p>
      <w:pPr>
        <w:tabs>
          <w:tab w:val="left" w:pos="1276"/>
        </w:tabs>
        <w:spacing w:line="360" w:lineRule="auto"/>
        <w:ind w:firstLine="630" w:firstLineChars="300"/>
        <w:rPr>
          <w:rFonts w:ascii="宋体" w:hAnsi="宋体"/>
          <w:bCs/>
          <w:color w:val="000000"/>
          <w:sz w:val="24"/>
          <w:szCs w:val="24"/>
        </w:rPr>
      </w:pPr>
      <w:r>
        <w:rPr>
          <w:rFonts w:hint="eastAsia" w:ascii="宋体" w:hAnsi="宋体"/>
          <w:bCs/>
          <w:color w:val="000000"/>
          <w:szCs w:val="21"/>
        </w:rPr>
        <w:t>(1)</w:t>
      </w:r>
      <w:r>
        <w:rPr>
          <w:rFonts w:hint="eastAsia" w:ascii="宋体" w:hAnsi="宋体"/>
          <w:bCs/>
          <w:color w:val="000000"/>
          <w:sz w:val="24"/>
          <w:szCs w:val="24"/>
        </w:rPr>
        <w:t>关于资格的声明函（</w:t>
      </w:r>
      <w:r>
        <w:rPr>
          <w:rFonts w:hint="eastAsia" w:ascii="宋体" w:hAnsi="宋体"/>
          <w:b/>
          <w:bCs/>
          <w:color w:val="000000"/>
          <w:sz w:val="24"/>
          <w:szCs w:val="24"/>
        </w:rPr>
        <w:t>格式见附件</w:t>
      </w:r>
      <w:r>
        <w:rPr>
          <w:rFonts w:hint="eastAsia" w:ascii="宋体" w:hAnsi="宋体"/>
          <w:bCs/>
          <w:color w:val="000000"/>
          <w:sz w:val="24"/>
          <w:szCs w:val="24"/>
        </w:rPr>
        <w:t>）</w:t>
      </w:r>
    </w:p>
    <w:p>
      <w:pPr>
        <w:pStyle w:val="118"/>
        <w:tabs>
          <w:tab w:val="left" w:pos="1276"/>
        </w:tabs>
        <w:spacing w:line="360" w:lineRule="auto"/>
        <w:ind w:left="567" w:leftChars="270" w:firstLine="105" w:firstLineChars="50"/>
        <w:rPr>
          <w:rFonts w:ascii="宋体"/>
          <w:bCs/>
          <w:sz w:val="24"/>
          <w:szCs w:val="24"/>
        </w:rPr>
      </w:pPr>
      <w:r>
        <w:rPr>
          <w:rFonts w:hint="eastAsia" w:ascii="宋体" w:hAnsi="宋体"/>
          <w:bCs/>
          <w:color w:val="000000"/>
          <w:szCs w:val="21"/>
        </w:rPr>
        <w:t>(2)</w:t>
      </w:r>
      <w:r>
        <w:rPr>
          <w:rFonts w:hint="eastAsia" w:ascii="宋体" w:hAnsi="宋体"/>
          <w:bCs/>
          <w:sz w:val="24"/>
          <w:szCs w:val="24"/>
        </w:rPr>
        <w:t>具有独立承担民事责任能力的投标人营业执照或相关部门的登记证明文件复印件。（投标人如是</w:t>
      </w:r>
      <w:r>
        <w:rPr>
          <w:rFonts w:hint="eastAsia" w:ascii="宋体" w:hAnsi="宋体" w:cs="宋体"/>
          <w:kern w:val="0"/>
          <w:sz w:val="24"/>
          <w:szCs w:val="24"/>
        </w:rPr>
        <w:t>允许以分支机构身份参加投标的，提供投标人分支机构的营业执照复印件</w:t>
      </w:r>
      <w:r>
        <w:rPr>
          <w:rFonts w:hint="eastAsia" w:ascii="宋体" w:hAnsi="宋体"/>
          <w:bCs/>
          <w:sz w:val="24"/>
          <w:szCs w:val="24"/>
        </w:rPr>
        <w:t>）；</w:t>
      </w:r>
    </w:p>
    <w:p>
      <w:pPr>
        <w:tabs>
          <w:tab w:val="left" w:pos="945"/>
        </w:tabs>
        <w:spacing w:line="360" w:lineRule="auto"/>
        <w:ind w:left="522" w:leftChars="249" w:firstLine="105" w:firstLineChars="50"/>
        <w:rPr>
          <w:rFonts w:ascii="宋体"/>
          <w:bCs/>
          <w:sz w:val="24"/>
          <w:szCs w:val="24"/>
        </w:rPr>
      </w:pPr>
      <w:r>
        <w:rPr>
          <w:rFonts w:hint="eastAsia" w:ascii="宋体" w:hAnsi="宋体"/>
          <w:bCs/>
          <w:szCs w:val="21"/>
        </w:rPr>
        <w:t>(3)</w:t>
      </w:r>
      <w:r>
        <w:rPr>
          <w:rFonts w:hint="eastAsia" w:ascii="宋体" w:hAnsi="宋体"/>
          <w:bCs/>
          <w:sz w:val="24"/>
          <w:szCs w:val="24"/>
        </w:rPr>
        <w:t>投标人法定代表人授权委托书</w:t>
      </w:r>
      <w:r>
        <w:rPr>
          <w:rFonts w:hint="eastAsia" w:ascii="宋体" w:hAnsi="宋体"/>
          <w:color w:val="000000" w:themeColor="text1"/>
          <w:sz w:val="24"/>
          <w:szCs w:val="24"/>
        </w:rPr>
        <w:t>（</w:t>
      </w:r>
      <w:r>
        <w:rPr>
          <w:rFonts w:hint="eastAsia" w:ascii="宋体" w:hAnsi="宋体"/>
          <w:b/>
          <w:bCs/>
          <w:color w:val="000000" w:themeColor="text1"/>
          <w:sz w:val="24"/>
          <w:szCs w:val="24"/>
        </w:rPr>
        <w:t>格式见附件，法定代表人亲自参加投标的除外</w:t>
      </w:r>
      <w:r>
        <w:rPr>
          <w:rFonts w:hint="eastAsia" w:ascii="宋体" w:hAnsi="宋体"/>
          <w:color w:val="000000" w:themeColor="text1"/>
          <w:sz w:val="24"/>
          <w:szCs w:val="24"/>
        </w:rPr>
        <w:t>）</w:t>
      </w:r>
      <w:r>
        <w:rPr>
          <w:rFonts w:hint="eastAsia" w:ascii="宋体" w:hAnsi="宋体"/>
          <w:sz w:val="24"/>
          <w:szCs w:val="24"/>
        </w:rPr>
        <w:t>（</w:t>
      </w:r>
      <w:r>
        <w:rPr>
          <w:rFonts w:hint="eastAsia" w:ascii="宋体" w:hAnsi="宋体"/>
          <w:bCs/>
          <w:sz w:val="24"/>
          <w:szCs w:val="24"/>
        </w:rPr>
        <w:t>投标人如是</w:t>
      </w:r>
      <w:r>
        <w:rPr>
          <w:rFonts w:hint="eastAsia" w:ascii="宋体" w:hAnsi="宋体" w:cs="宋体"/>
          <w:kern w:val="0"/>
          <w:sz w:val="24"/>
          <w:szCs w:val="24"/>
        </w:rPr>
        <w:t>允许以分支机构身份参加投标的，请自行</w:t>
      </w:r>
      <w:r>
        <w:rPr>
          <w:rFonts w:ascii="宋体" w:hAnsi="宋体" w:cs="宋体"/>
          <w:kern w:val="0"/>
          <w:sz w:val="24"/>
          <w:szCs w:val="24"/>
        </w:rPr>
        <w:t>将“</w:t>
      </w:r>
      <w:r>
        <w:rPr>
          <w:rFonts w:hint="eastAsia" w:ascii="宋体" w:hAnsi="宋体" w:cs="宋体"/>
          <w:kern w:val="0"/>
          <w:sz w:val="24"/>
          <w:szCs w:val="24"/>
        </w:rPr>
        <w:t>法定代表人</w:t>
      </w:r>
      <w:r>
        <w:rPr>
          <w:rFonts w:ascii="宋体" w:hAnsi="宋体" w:cs="宋体"/>
          <w:kern w:val="0"/>
          <w:sz w:val="24"/>
          <w:szCs w:val="24"/>
        </w:rPr>
        <w:t>”</w:t>
      </w:r>
      <w:r>
        <w:rPr>
          <w:rFonts w:hint="eastAsia" w:ascii="宋体" w:hAnsi="宋体" w:cs="宋体"/>
          <w:kern w:val="0"/>
          <w:sz w:val="24"/>
          <w:szCs w:val="24"/>
        </w:rPr>
        <w:t>更改为</w:t>
      </w:r>
      <w:r>
        <w:rPr>
          <w:rFonts w:ascii="宋体" w:hAnsi="宋体" w:cs="宋体"/>
          <w:kern w:val="0"/>
          <w:sz w:val="24"/>
          <w:szCs w:val="24"/>
        </w:rPr>
        <w:t>“</w:t>
      </w:r>
      <w:r>
        <w:rPr>
          <w:rFonts w:hint="eastAsia" w:ascii="宋体" w:hAnsi="宋体" w:cs="宋体"/>
          <w:kern w:val="0"/>
          <w:sz w:val="24"/>
          <w:szCs w:val="24"/>
        </w:rPr>
        <w:t>负责人</w:t>
      </w:r>
      <w:r>
        <w:rPr>
          <w:rFonts w:ascii="宋体" w:hAnsi="宋体" w:cs="宋体"/>
          <w:kern w:val="0"/>
          <w:sz w:val="24"/>
          <w:szCs w:val="24"/>
        </w:rPr>
        <w:t>”</w:t>
      </w:r>
      <w:r>
        <w:rPr>
          <w:rFonts w:hint="eastAsia" w:ascii="宋体" w:hAnsi="宋体" w:cs="宋体"/>
          <w:kern w:val="0"/>
          <w:sz w:val="24"/>
          <w:szCs w:val="24"/>
        </w:rPr>
        <w:t>，分支机构</w:t>
      </w:r>
      <w:r>
        <w:rPr>
          <w:rFonts w:ascii="宋体" w:hAnsi="宋体" w:cs="宋体"/>
          <w:kern w:val="0"/>
          <w:sz w:val="24"/>
          <w:szCs w:val="24"/>
        </w:rPr>
        <w:t>投标时</w:t>
      </w:r>
      <w:r>
        <w:rPr>
          <w:rFonts w:hint="eastAsia" w:ascii="宋体" w:hAnsi="宋体" w:cs="宋体"/>
          <w:kern w:val="0"/>
          <w:sz w:val="24"/>
          <w:szCs w:val="24"/>
        </w:rPr>
        <w:t>涉及到</w:t>
      </w:r>
      <w:r>
        <w:rPr>
          <w:rFonts w:ascii="宋体" w:hAnsi="宋体" w:cs="宋体"/>
          <w:kern w:val="0"/>
          <w:sz w:val="24"/>
          <w:szCs w:val="24"/>
        </w:rPr>
        <w:t>招标文件“</w:t>
      </w:r>
      <w:r>
        <w:rPr>
          <w:rFonts w:hint="eastAsia" w:ascii="宋体" w:hAnsi="宋体" w:cs="宋体"/>
          <w:kern w:val="0"/>
          <w:sz w:val="24"/>
          <w:szCs w:val="24"/>
        </w:rPr>
        <w:t>法定代表人</w:t>
      </w:r>
      <w:r>
        <w:rPr>
          <w:rFonts w:ascii="宋体" w:hAnsi="宋体" w:cs="宋体"/>
          <w:kern w:val="0"/>
          <w:sz w:val="24"/>
          <w:szCs w:val="24"/>
        </w:rPr>
        <w:t>”</w:t>
      </w:r>
      <w:r>
        <w:rPr>
          <w:rFonts w:hint="eastAsia" w:ascii="宋体" w:hAnsi="宋体" w:cs="宋体"/>
          <w:kern w:val="0"/>
          <w:sz w:val="24"/>
          <w:szCs w:val="24"/>
        </w:rPr>
        <w:t>要求的部分</w:t>
      </w:r>
      <w:r>
        <w:rPr>
          <w:rFonts w:ascii="宋体" w:hAnsi="宋体" w:cs="宋体"/>
          <w:kern w:val="0"/>
          <w:sz w:val="24"/>
          <w:szCs w:val="24"/>
        </w:rPr>
        <w:t>，其</w:t>
      </w:r>
      <w:r>
        <w:rPr>
          <w:rFonts w:hint="eastAsia" w:ascii="宋体" w:hAnsi="宋体" w:cs="宋体"/>
          <w:kern w:val="0"/>
          <w:sz w:val="24"/>
          <w:szCs w:val="24"/>
        </w:rPr>
        <w:t>具体要求</w:t>
      </w:r>
      <w:r>
        <w:rPr>
          <w:rFonts w:ascii="宋体" w:hAnsi="宋体" w:cs="宋体"/>
          <w:kern w:val="0"/>
          <w:sz w:val="24"/>
          <w:szCs w:val="24"/>
        </w:rPr>
        <w:t>视同本条规定</w:t>
      </w:r>
      <w:r>
        <w:rPr>
          <w:rFonts w:hint="eastAsia" w:ascii="宋体" w:hAnsi="宋体"/>
          <w:sz w:val="24"/>
          <w:szCs w:val="24"/>
        </w:rPr>
        <w:t>）</w:t>
      </w:r>
      <w:r>
        <w:rPr>
          <w:rFonts w:hint="eastAsia" w:ascii="宋体" w:hAnsi="宋体"/>
          <w:bCs/>
          <w:sz w:val="24"/>
          <w:szCs w:val="24"/>
        </w:rPr>
        <w:t>；</w:t>
      </w:r>
    </w:p>
    <w:p>
      <w:pPr>
        <w:tabs>
          <w:tab w:val="left" w:pos="945"/>
        </w:tabs>
        <w:spacing w:line="360" w:lineRule="auto"/>
        <w:ind w:left="522" w:leftChars="249" w:firstLine="105" w:firstLineChars="50"/>
        <w:rPr>
          <w:rFonts w:ascii="宋体"/>
          <w:bCs/>
          <w:color w:val="000000"/>
          <w:sz w:val="24"/>
          <w:szCs w:val="24"/>
        </w:rPr>
      </w:pPr>
      <w:r>
        <w:rPr>
          <w:rFonts w:hint="eastAsia" w:ascii="宋体" w:hAnsi="宋体"/>
          <w:bCs/>
          <w:color w:val="000000"/>
          <w:szCs w:val="21"/>
        </w:rPr>
        <w:t>(4)</w:t>
      </w:r>
      <w:r>
        <w:rPr>
          <w:rFonts w:hint="eastAsia" w:ascii="宋体" w:hAnsi="宋体"/>
          <w:bCs/>
          <w:color w:val="000000"/>
          <w:sz w:val="24"/>
          <w:szCs w:val="24"/>
        </w:rPr>
        <w:t>投标人法定代表人身份证复印件；</w:t>
      </w:r>
    </w:p>
    <w:p>
      <w:pPr>
        <w:tabs>
          <w:tab w:val="left" w:pos="945"/>
        </w:tabs>
        <w:spacing w:line="360" w:lineRule="auto"/>
        <w:ind w:left="522" w:leftChars="249" w:firstLine="105" w:firstLineChars="50"/>
        <w:rPr>
          <w:rFonts w:ascii="宋体"/>
          <w:bCs/>
          <w:color w:val="000000"/>
          <w:sz w:val="24"/>
          <w:szCs w:val="24"/>
        </w:rPr>
      </w:pPr>
      <w:r>
        <w:rPr>
          <w:rFonts w:hint="eastAsia" w:ascii="宋体" w:hAnsi="宋体"/>
          <w:bCs/>
          <w:color w:val="000000"/>
          <w:szCs w:val="21"/>
        </w:rPr>
        <w:t>(5)</w:t>
      </w:r>
      <w:r>
        <w:rPr>
          <w:rFonts w:hint="eastAsia" w:ascii="宋体" w:hAnsi="宋体"/>
          <w:bCs/>
          <w:color w:val="000000"/>
          <w:sz w:val="24"/>
          <w:szCs w:val="24"/>
        </w:rPr>
        <w:t>投标人法定代表人授权代表身份证复印件（</w:t>
      </w:r>
      <w:r>
        <w:rPr>
          <w:rFonts w:hint="eastAsia" w:ascii="宋体" w:hAnsi="宋体"/>
          <w:b/>
          <w:bCs/>
          <w:color w:val="000000"/>
          <w:sz w:val="24"/>
          <w:szCs w:val="24"/>
        </w:rPr>
        <w:t>法定代表人亲自参加投标的除外</w:t>
      </w:r>
      <w:r>
        <w:rPr>
          <w:rFonts w:hint="eastAsia" w:ascii="宋体" w:hAnsi="宋体"/>
          <w:bCs/>
          <w:color w:val="000000"/>
          <w:sz w:val="24"/>
          <w:szCs w:val="24"/>
        </w:rPr>
        <w:t>）</w:t>
      </w:r>
      <w:r>
        <w:rPr>
          <w:rFonts w:hint="eastAsia" w:ascii="宋体" w:hAnsi="宋体"/>
          <w:color w:val="000000"/>
          <w:sz w:val="24"/>
          <w:szCs w:val="24"/>
        </w:rPr>
        <w:t>；</w:t>
      </w:r>
    </w:p>
    <w:p>
      <w:pPr>
        <w:tabs>
          <w:tab w:val="left" w:pos="945"/>
        </w:tabs>
        <w:spacing w:line="360" w:lineRule="auto"/>
        <w:ind w:left="522" w:leftChars="249" w:firstLine="105" w:firstLineChars="50"/>
        <w:rPr>
          <w:rFonts w:ascii="宋体" w:hAnsi="宋体"/>
          <w:bCs/>
          <w:sz w:val="24"/>
          <w:szCs w:val="24"/>
        </w:rPr>
      </w:pPr>
      <w:r>
        <w:rPr>
          <w:rFonts w:hint="eastAsia" w:ascii="宋体" w:hAnsi="宋体"/>
          <w:bCs/>
          <w:color w:val="000000"/>
          <w:szCs w:val="21"/>
        </w:rPr>
        <w:t>(6)</w:t>
      </w:r>
      <w:r>
        <w:rPr>
          <w:rFonts w:hint="eastAsia" w:ascii="宋体" w:hAnsi="宋体"/>
          <w:bCs/>
          <w:color w:val="000000"/>
          <w:sz w:val="24"/>
          <w:szCs w:val="24"/>
        </w:rPr>
        <w:t>投标人连续三个月</w:t>
      </w:r>
      <w:r>
        <w:rPr>
          <w:rFonts w:ascii="宋体" w:hAnsi="宋体"/>
          <w:bCs/>
          <w:color w:val="000000"/>
          <w:sz w:val="24"/>
          <w:szCs w:val="24"/>
        </w:rPr>
        <w:t>(</w:t>
      </w:r>
      <w:r>
        <w:rPr>
          <w:rFonts w:hint="eastAsia" w:ascii="宋体" w:hAnsi="宋体"/>
          <w:bCs/>
          <w:color w:val="000000"/>
          <w:sz w:val="24"/>
          <w:szCs w:val="24"/>
        </w:rPr>
        <w:t>至少包含近三个月中任意一个月份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为其法定代表人授权代表缴纳社保的证明复印</w:t>
      </w:r>
      <w:r>
        <w:rPr>
          <w:rFonts w:hint="eastAsia" w:ascii="宋体" w:hAnsi="宋体"/>
          <w:bCs/>
          <w:sz w:val="24"/>
          <w:szCs w:val="24"/>
        </w:rPr>
        <w:t>件（由相关主管部门出具，</w:t>
      </w:r>
      <w:r>
        <w:rPr>
          <w:rFonts w:hint="eastAsia" w:ascii="宋体" w:hAnsi="宋体"/>
          <w:b/>
          <w:bCs/>
          <w:sz w:val="24"/>
          <w:szCs w:val="24"/>
        </w:rPr>
        <w:t>新成立公司除外、法定代表人亲自参加投标的除外</w:t>
      </w:r>
      <w:r>
        <w:rPr>
          <w:rFonts w:hint="eastAsia" w:ascii="宋体" w:hAnsi="宋体"/>
          <w:bCs/>
          <w:sz w:val="24"/>
          <w:szCs w:val="24"/>
        </w:rPr>
        <w:t>）；</w:t>
      </w:r>
    </w:p>
    <w:p>
      <w:pPr>
        <w:tabs>
          <w:tab w:val="left" w:pos="945"/>
        </w:tabs>
        <w:spacing w:line="360" w:lineRule="auto"/>
        <w:ind w:left="522" w:leftChars="249" w:firstLine="105" w:firstLineChars="50"/>
        <w:rPr>
          <w:rFonts w:ascii="宋体"/>
          <w:bCs/>
          <w:color w:val="000000"/>
          <w:sz w:val="24"/>
          <w:szCs w:val="24"/>
        </w:rPr>
      </w:pPr>
      <w:r>
        <w:rPr>
          <w:rFonts w:hint="eastAsia" w:ascii="宋体" w:hAnsi="宋体"/>
          <w:bCs/>
          <w:color w:val="000000"/>
          <w:szCs w:val="21"/>
        </w:rPr>
        <w:t>(7)</w:t>
      </w: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的财务状况报告（资产负债表和利润表）或由会计师事务所出具的近两年中任意一个年度的审计报告和所附已审财务报告复印件；</w:t>
      </w:r>
      <w:r>
        <w:rPr>
          <w:rFonts w:ascii="宋体" w:hAnsi="宋体"/>
          <w:bCs/>
          <w:color w:val="000000"/>
          <w:sz w:val="24"/>
          <w:szCs w:val="24"/>
        </w:rPr>
        <w:t xml:space="preserve"> </w:t>
      </w:r>
    </w:p>
    <w:p>
      <w:pPr>
        <w:tabs>
          <w:tab w:val="left" w:pos="945"/>
        </w:tabs>
        <w:spacing w:line="360" w:lineRule="auto"/>
        <w:ind w:left="522" w:leftChars="249" w:firstLine="105" w:firstLineChars="50"/>
        <w:rPr>
          <w:rFonts w:ascii="宋体"/>
          <w:bCs/>
          <w:color w:val="000000"/>
          <w:sz w:val="24"/>
          <w:szCs w:val="24"/>
        </w:rPr>
      </w:pPr>
      <w:r>
        <w:rPr>
          <w:rFonts w:hint="eastAsia" w:ascii="宋体" w:hAnsi="宋体"/>
          <w:bCs/>
          <w:color w:val="000000"/>
          <w:szCs w:val="21"/>
        </w:rPr>
        <w:t>(8)</w:t>
      </w: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的依法缴纳税收的相关材料（提供相关主管部门证明或银行代扣证明）复印件；</w:t>
      </w:r>
    </w:p>
    <w:p>
      <w:pPr>
        <w:tabs>
          <w:tab w:val="left" w:pos="945"/>
        </w:tabs>
        <w:spacing w:line="360" w:lineRule="auto"/>
        <w:ind w:left="522" w:leftChars="249" w:firstLine="105" w:firstLineChars="50"/>
        <w:rPr>
          <w:rFonts w:ascii="宋体" w:hAnsi="宋体"/>
          <w:bCs/>
          <w:color w:val="000000"/>
          <w:sz w:val="24"/>
          <w:szCs w:val="24"/>
        </w:rPr>
      </w:pPr>
      <w:r>
        <w:rPr>
          <w:rFonts w:hint="eastAsia" w:ascii="宋体" w:hAnsi="宋体"/>
          <w:bCs/>
          <w:color w:val="000000"/>
          <w:szCs w:val="21"/>
        </w:rPr>
        <w:t>(9)</w:t>
      </w: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的依法缴纳社会保障资金的相关材料（提供相关主管部门证明或银行代扣证明）复印件；</w:t>
      </w:r>
    </w:p>
    <w:p>
      <w:pPr>
        <w:pStyle w:val="2"/>
        <w:ind w:firstLine="630" w:firstLineChars="300"/>
      </w:pPr>
      <w:r>
        <w:rPr>
          <w:rFonts w:hint="eastAsia" w:ascii="宋体" w:hAnsi="宋体"/>
          <w:bCs/>
          <w:color w:val="000000"/>
          <w:kern w:val="2"/>
          <w:sz w:val="21"/>
          <w:szCs w:val="21"/>
        </w:rPr>
        <w:t>(10)</w:t>
      </w:r>
      <w:r>
        <w:rPr>
          <w:rFonts w:hint="eastAsia" w:ascii="宋体" w:hAnsi="宋体"/>
          <w:bCs/>
          <w:color w:val="000000"/>
          <w:kern w:val="2"/>
          <w:sz w:val="24"/>
          <w:szCs w:val="24"/>
        </w:rPr>
        <w:t>承诺书</w:t>
      </w:r>
      <w:r>
        <w:rPr>
          <w:rFonts w:hint="eastAsia" w:ascii="宋体" w:hAnsi="宋体"/>
          <w:bCs/>
          <w:sz w:val="24"/>
          <w:szCs w:val="24"/>
        </w:rPr>
        <w:t>（</w:t>
      </w:r>
      <w:r>
        <w:rPr>
          <w:rFonts w:hint="eastAsia" w:ascii="宋体" w:hAnsi="宋体"/>
          <w:b/>
          <w:bCs/>
          <w:sz w:val="24"/>
          <w:szCs w:val="24"/>
        </w:rPr>
        <w:t>格式见附件</w:t>
      </w:r>
      <w:r>
        <w:rPr>
          <w:rFonts w:hint="eastAsia" w:ascii="宋体" w:hAnsi="宋体"/>
          <w:bCs/>
          <w:sz w:val="24"/>
          <w:szCs w:val="24"/>
        </w:rPr>
        <w:t>）</w:t>
      </w:r>
    </w:p>
    <w:p>
      <w:pPr>
        <w:tabs>
          <w:tab w:val="left" w:pos="945"/>
        </w:tabs>
        <w:spacing w:line="360" w:lineRule="auto"/>
        <w:ind w:left="522" w:leftChars="249" w:firstLine="105" w:firstLineChars="50"/>
        <w:rPr>
          <w:rFonts w:ascii="宋体" w:hAnsi="宋体"/>
          <w:bCs/>
          <w:color w:val="000000"/>
          <w:sz w:val="24"/>
          <w:szCs w:val="24"/>
        </w:rPr>
      </w:pPr>
      <w:r>
        <w:rPr>
          <w:rFonts w:hint="eastAsia" w:ascii="宋体" w:hAnsi="宋体"/>
          <w:bCs/>
          <w:color w:val="000000"/>
          <w:szCs w:val="21"/>
        </w:rPr>
        <w:t>(11)</w:t>
      </w:r>
      <w:r>
        <w:rPr>
          <w:rFonts w:hint="eastAsia" w:ascii="宋体" w:hAnsi="宋体"/>
          <w:bCs/>
          <w:color w:val="000000"/>
          <w:sz w:val="24"/>
          <w:szCs w:val="24"/>
        </w:rPr>
        <w:t>采购人要求的特定资质证明（</w:t>
      </w:r>
      <w:r>
        <w:rPr>
          <w:rFonts w:hint="eastAsia" w:ascii="宋体" w:hAnsi="宋体"/>
          <w:b/>
          <w:bCs/>
          <w:color w:val="000000"/>
          <w:sz w:val="24"/>
          <w:szCs w:val="24"/>
        </w:rPr>
        <w:t>详见“投标邀请函”-“投标人资格要求”之3中要求）</w:t>
      </w:r>
      <w:r>
        <w:rPr>
          <w:rFonts w:hint="eastAsia" w:ascii="宋体" w:hAnsi="宋体"/>
          <w:bCs/>
          <w:color w:val="000000"/>
          <w:sz w:val="24"/>
          <w:szCs w:val="24"/>
        </w:rPr>
        <w:t>。</w:t>
      </w:r>
    </w:p>
    <w:p>
      <w:pPr>
        <w:tabs>
          <w:tab w:val="left" w:pos="630"/>
          <w:tab w:val="left" w:pos="945"/>
          <w:tab w:val="left" w:pos="1276"/>
        </w:tabs>
        <w:spacing w:line="360" w:lineRule="auto"/>
        <w:ind w:firstLine="480" w:firstLineChars="200"/>
        <w:rPr>
          <w:rFonts w:ascii="宋体"/>
          <w:bCs/>
          <w:sz w:val="24"/>
          <w:szCs w:val="24"/>
        </w:rPr>
      </w:pPr>
      <w:r>
        <w:rPr>
          <w:rFonts w:hint="eastAsia" w:ascii="宋体" w:hAnsi="宋体" w:cs="宋体"/>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3.</w:t>
      </w:r>
      <w:r>
        <w:rPr>
          <w:rFonts w:hint="eastAsia" w:ascii="宋体" w:hAnsi="宋体"/>
          <w:bCs/>
          <w:color w:val="000000"/>
          <w:sz w:val="24"/>
          <w:szCs w:val="24"/>
        </w:rPr>
        <w:t>开标一览表（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4.</w:t>
      </w:r>
      <w:r>
        <w:rPr>
          <w:rFonts w:hint="eastAsia" w:ascii="宋体" w:hAnsi="宋体"/>
          <w:bCs/>
          <w:color w:val="000000"/>
          <w:sz w:val="24"/>
          <w:szCs w:val="24"/>
        </w:rPr>
        <w:t>明细报价表（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5.</w:t>
      </w:r>
      <w:r>
        <w:rPr>
          <w:rFonts w:hint="eastAsia" w:ascii="宋体" w:hAnsi="宋体"/>
          <w:bCs/>
          <w:color w:val="000000"/>
          <w:sz w:val="24"/>
          <w:szCs w:val="24"/>
        </w:rPr>
        <w:t>投标偏离表（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6.</w:t>
      </w:r>
      <w:r>
        <w:rPr>
          <w:rFonts w:hint="eastAsia" w:ascii="宋体" w:hAnsi="宋体"/>
          <w:bCs/>
          <w:color w:val="000000"/>
          <w:sz w:val="24"/>
          <w:szCs w:val="24"/>
        </w:rPr>
        <w:t>评分标准中对应的其它所需证明材料（</w:t>
      </w:r>
      <w:r>
        <w:rPr>
          <w:rFonts w:hint="eastAsia" w:ascii="宋体" w:hAnsi="宋体"/>
          <w:b/>
          <w:bCs/>
          <w:color w:val="000000"/>
          <w:sz w:val="24"/>
          <w:szCs w:val="24"/>
        </w:rPr>
        <w:t>如有自行添加</w:t>
      </w:r>
      <w:r>
        <w:rPr>
          <w:rFonts w:hint="eastAsia" w:ascii="宋体" w:hAnsi="宋体"/>
          <w:bCs/>
          <w:color w:val="000000"/>
          <w:sz w:val="24"/>
          <w:szCs w:val="24"/>
        </w:rPr>
        <w:t>）</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7.</w:t>
      </w:r>
      <w:r>
        <w:rPr>
          <w:rFonts w:hint="eastAsia" w:ascii="宋体" w:hAnsi="宋体"/>
          <w:bCs/>
          <w:color w:val="000000"/>
          <w:sz w:val="24"/>
          <w:szCs w:val="24"/>
        </w:rPr>
        <w:t>要求采购人提供的配合（</w:t>
      </w:r>
      <w:r>
        <w:rPr>
          <w:rFonts w:hint="eastAsia" w:ascii="宋体" w:hAnsi="宋体"/>
          <w:b/>
          <w:bCs/>
          <w:color w:val="000000"/>
          <w:sz w:val="24"/>
          <w:szCs w:val="24"/>
        </w:rPr>
        <w:t>如有自拟并自行添加</w:t>
      </w:r>
      <w:r>
        <w:rPr>
          <w:rFonts w:hint="eastAsia" w:ascii="宋体" w:hAnsi="宋体"/>
          <w:bCs/>
          <w:color w:val="000000"/>
          <w:sz w:val="24"/>
          <w:szCs w:val="24"/>
        </w:rPr>
        <w:t>）</w:t>
      </w:r>
    </w:p>
    <w:p>
      <w:pPr>
        <w:numPr>
          <w:ilvl w:val="0"/>
          <w:numId w:val="0"/>
        </w:numPr>
        <w:tabs>
          <w:tab w:val="left" w:pos="525"/>
          <w:tab w:val="left" w:pos="945"/>
        </w:tabs>
        <w:spacing w:line="360" w:lineRule="auto"/>
        <w:ind w:leftChars="218"/>
        <w:rPr>
          <w:rFonts w:ascii="宋体" w:hAnsi="宋体"/>
          <w:bCs/>
          <w:color w:val="000000"/>
          <w:sz w:val="24"/>
          <w:szCs w:val="24"/>
        </w:rPr>
      </w:pPr>
      <w:r>
        <w:rPr>
          <w:rFonts w:hint="eastAsia" w:ascii="宋体" w:hAnsi="宋体"/>
          <w:bCs/>
          <w:color w:val="000000"/>
          <w:sz w:val="24"/>
          <w:szCs w:val="24"/>
          <w:lang w:val="en-US" w:eastAsia="zh-CN"/>
        </w:rPr>
        <w:t>8.</w:t>
      </w:r>
      <w:r>
        <w:rPr>
          <w:rFonts w:hint="eastAsia" w:ascii="宋体" w:hAnsi="宋体"/>
          <w:bCs/>
          <w:color w:val="000000"/>
          <w:sz w:val="24"/>
          <w:szCs w:val="24"/>
        </w:rPr>
        <w:t>其它（</w:t>
      </w:r>
      <w:r>
        <w:rPr>
          <w:rFonts w:hint="eastAsia" w:ascii="宋体" w:hAnsi="宋体"/>
          <w:b/>
          <w:bCs/>
          <w:color w:val="000000"/>
          <w:sz w:val="24"/>
          <w:szCs w:val="24"/>
        </w:rPr>
        <w:t>投标人认为有必要提供的声明和文件，如有自拟并自行添加</w:t>
      </w:r>
      <w:r>
        <w:rPr>
          <w:rFonts w:hint="eastAsia" w:ascii="宋体" w:hAnsi="宋体"/>
          <w:bCs/>
          <w:color w:val="000000"/>
          <w:sz w:val="24"/>
          <w:szCs w:val="24"/>
        </w:rPr>
        <w:t>）</w:t>
      </w:r>
    </w:p>
    <w:p>
      <w:pPr>
        <w:tabs>
          <w:tab w:val="left" w:pos="945"/>
        </w:tabs>
        <w:spacing w:line="360" w:lineRule="auto"/>
        <w:ind w:firstLine="480" w:firstLineChars="200"/>
        <w:rPr>
          <w:rFonts w:ascii="宋体"/>
          <w:bCs/>
          <w:color w:val="000000"/>
          <w:sz w:val="24"/>
          <w:szCs w:val="24"/>
        </w:rPr>
      </w:pPr>
      <w:r>
        <w:rPr>
          <w:rFonts w:hint="eastAsia" w:ascii="宋体" w:hAnsi="宋体"/>
          <w:bCs/>
          <w:color w:val="000000"/>
          <w:sz w:val="24"/>
          <w:szCs w:val="24"/>
        </w:rPr>
        <w:t>上述</w:t>
      </w:r>
      <w:r>
        <w:rPr>
          <w:rFonts w:ascii="宋体" w:hAnsi="宋体"/>
          <w:bCs/>
          <w:color w:val="000000"/>
          <w:sz w:val="24"/>
          <w:szCs w:val="24"/>
        </w:rPr>
        <w:t>1-</w:t>
      </w:r>
      <w:r>
        <w:rPr>
          <w:rFonts w:hint="eastAsia" w:ascii="宋体" w:hAnsi="宋体"/>
          <w:bCs/>
          <w:color w:val="000000"/>
          <w:sz w:val="24"/>
          <w:szCs w:val="24"/>
          <w:lang w:val="en-US" w:eastAsia="zh-CN"/>
        </w:rPr>
        <w:t>5</w:t>
      </w:r>
      <w:r>
        <w:rPr>
          <w:rFonts w:hint="eastAsia" w:ascii="宋体" w:hAnsi="宋体"/>
          <w:bCs/>
          <w:color w:val="000000"/>
          <w:sz w:val="24"/>
          <w:szCs w:val="24"/>
        </w:rPr>
        <w:t>项投标人必须按要求全部提供，否则投标文件无效。</w:t>
      </w:r>
      <w:r>
        <w:rPr>
          <w:rFonts w:hint="eastAsia" w:ascii="Tahoma" w:hAnsi="Tahoma" w:cs="Tahoma"/>
          <w:color w:val="000000"/>
          <w:sz w:val="24"/>
          <w:szCs w:val="24"/>
        </w:rPr>
        <w:t>如上述资格证明文件遇年检、换证，则必须提供法定年检、换证单位出具的有效证明复印件。如上述资格证明文件第</w:t>
      </w:r>
      <w:r>
        <w:rPr>
          <w:rFonts w:hint="eastAsia" w:ascii="宋体" w:hAnsi="宋体" w:cs="Tahoma"/>
          <w:color w:val="000000"/>
          <w:sz w:val="24"/>
          <w:szCs w:val="24"/>
        </w:rPr>
        <w:t>（</w:t>
      </w:r>
      <w:r>
        <w:rPr>
          <w:rFonts w:ascii="宋体" w:hAnsi="宋体" w:cs="Tahoma"/>
          <w:color w:val="000000"/>
          <w:sz w:val="24"/>
          <w:szCs w:val="24"/>
        </w:rPr>
        <w:t>6</w:t>
      </w:r>
      <w:r>
        <w:rPr>
          <w:rFonts w:hint="eastAsia" w:ascii="宋体" w:hAnsi="宋体" w:cs="Tahoma"/>
          <w:color w:val="000000"/>
          <w:sz w:val="24"/>
          <w:szCs w:val="24"/>
        </w:rPr>
        <w:t>）（</w:t>
      </w:r>
      <w:r>
        <w:rPr>
          <w:rFonts w:ascii="宋体" w:hAnsi="宋体" w:cs="Tahoma"/>
          <w:color w:val="000000"/>
          <w:sz w:val="24"/>
          <w:szCs w:val="24"/>
        </w:rPr>
        <w:t>7</w:t>
      </w:r>
      <w:r>
        <w:rPr>
          <w:rFonts w:hint="eastAsia" w:ascii="宋体" w:hAnsi="宋体" w:cs="Tahoma"/>
          <w:color w:val="000000"/>
          <w:sz w:val="24"/>
          <w:szCs w:val="24"/>
        </w:rPr>
        <w:t>）（8）（9）</w:t>
      </w:r>
      <w:r>
        <w:rPr>
          <w:rFonts w:hint="eastAsia" w:ascii="Tahoma" w:hAnsi="Tahoma" w:cs="Tahoma"/>
          <w:color w:val="000000"/>
          <w:sz w:val="24"/>
          <w:szCs w:val="24"/>
        </w:rPr>
        <w:t>四项遇有国家相关政策规定可不具备的，必须提供相关政策规定或相关单位出具的有效证明复印件。</w:t>
      </w:r>
      <w:r>
        <w:rPr>
          <w:rFonts w:hint="eastAsia" w:ascii="宋体" w:hAnsi="宋体"/>
          <w:bCs/>
          <w:color w:val="000000"/>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（六）投标文件的制作：</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w:t>
      </w:r>
      <w:r>
        <w:rPr>
          <w:rFonts w:hint="eastAsia" w:ascii="宋体" w:hAnsi="宋体"/>
          <w:bCs/>
          <w:color w:val="000000"/>
          <w:sz w:val="24"/>
          <w:szCs w:val="24"/>
          <w:lang w:val="en-US" w:eastAsia="zh-CN"/>
        </w:rPr>
        <w:t>.</w:t>
      </w:r>
      <w:r>
        <w:rPr>
          <w:rFonts w:hint="eastAsia" w:ascii="宋体" w:hAnsi="宋体"/>
          <w:bCs/>
          <w:color w:val="000000"/>
          <w:sz w:val="24"/>
          <w:szCs w:val="24"/>
        </w:rPr>
        <w:t>所有文件、往来函件均应使用简体中文（规格、型号辅助符号例外）。</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val="en-US" w:eastAsia="zh-CN"/>
        </w:rPr>
        <w:t>.</w:t>
      </w:r>
      <w:r>
        <w:rPr>
          <w:rFonts w:hint="eastAsia" w:ascii="宋体" w:hAnsi="宋体"/>
          <w:bCs/>
          <w:color w:val="000000"/>
          <w:sz w:val="24"/>
          <w:szCs w:val="24"/>
        </w:rPr>
        <w:t>投标文件由投标人按要求如实填写，须有投标人（签章）、法定代表人或法定代表人授权代表签章，方为有效，未尽事宜可自行补充。</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w:t>
      </w:r>
      <w:r>
        <w:rPr>
          <w:rFonts w:hint="eastAsia" w:ascii="宋体" w:hAnsi="宋体"/>
          <w:bCs/>
          <w:color w:val="000000"/>
          <w:sz w:val="24"/>
          <w:szCs w:val="24"/>
          <w:lang w:val="en-US" w:eastAsia="zh-CN"/>
        </w:rPr>
        <w:t>.</w:t>
      </w:r>
      <w:r>
        <w:rPr>
          <w:rFonts w:hint="eastAsia" w:ascii="宋体" w:hAnsi="宋体"/>
          <w:bCs/>
          <w:color w:val="000000"/>
          <w:sz w:val="24"/>
          <w:szCs w:val="24"/>
        </w:rPr>
        <w:t>如无特别说明，投标人报价一律以人民币为投标结算货币,结算单位为“元”。</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w:t>
      </w:r>
      <w:r>
        <w:rPr>
          <w:rFonts w:hint="eastAsia" w:ascii="宋体" w:hAnsi="宋体"/>
          <w:bCs/>
          <w:color w:val="000000"/>
          <w:sz w:val="24"/>
          <w:szCs w:val="24"/>
          <w:lang w:val="en-US" w:eastAsia="zh-CN"/>
        </w:rPr>
        <w:t>.</w:t>
      </w:r>
      <w:r>
        <w:rPr>
          <w:rFonts w:hint="eastAsia" w:ascii="宋体" w:hAnsi="宋体"/>
          <w:bCs/>
          <w:color w:val="000000"/>
          <w:sz w:val="24"/>
          <w:szCs w:val="24"/>
        </w:rPr>
        <w:t>投标费用自理。</w:t>
      </w:r>
    </w:p>
    <w:p>
      <w:pPr>
        <w:tabs>
          <w:tab w:val="left" w:pos="945"/>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（七）网上投标</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1.</w:t>
      </w:r>
      <w:r>
        <w:rPr>
          <w:rFonts w:hint="eastAsia" w:ascii="宋体" w:hAnsi="宋体"/>
          <w:bCs/>
          <w:sz w:val="24"/>
          <w:szCs w:val="24"/>
        </w:rPr>
        <w:t>投标人应由其法定代表人或法定代表人授权代表在规定的网上投标时间内，凭</w:t>
      </w:r>
      <w:r>
        <w:rPr>
          <w:rFonts w:ascii="宋体" w:hAnsi="宋体"/>
          <w:bCs/>
          <w:sz w:val="24"/>
          <w:szCs w:val="24"/>
        </w:rPr>
        <w:t>CA</w:t>
      </w:r>
      <w:r>
        <w:rPr>
          <w:rFonts w:hint="eastAsia" w:ascii="宋体" w:hAnsi="宋体"/>
          <w:bCs/>
          <w:sz w:val="24"/>
          <w:szCs w:val="24"/>
        </w:rPr>
        <w:t>数字证书登陆政府采购交易管理一体化系统获取招标文件，在投标客户端制作投标文件（电子数据），并在投标截止时间之前上传投标文件。</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2.</w:t>
      </w:r>
      <w:r>
        <w:rPr>
          <w:rFonts w:hint="eastAsia" w:ascii="宋体" w:hAnsi="宋体"/>
          <w:bCs/>
          <w:sz w:val="24"/>
          <w:szCs w:val="24"/>
        </w:rPr>
        <w:t>投标人应对</w:t>
      </w:r>
      <w:r>
        <w:rPr>
          <w:rFonts w:ascii="宋体" w:hAnsi="宋体"/>
          <w:bCs/>
          <w:sz w:val="24"/>
          <w:szCs w:val="24"/>
        </w:rPr>
        <w:t>CA</w:t>
      </w:r>
      <w:r>
        <w:rPr>
          <w:rFonts w:hint="eastAsia" w:ascii="宋体" w:hAnsi="宋体"/>
          <w:bCs/>
          <w:sz w:val="24"/>
          <w:szCs w:val="24"/>
        </w:rPr>
        <w:t>数字证书妥善保管，如被他人盗用投标，后果自负。</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3.</w:t>
      </w:r>
      <w:r>
        <w:rPr>
          <w:rFonts w:hint="eastAsia" w:ascii="宋体" w:hAnsi="宋体"/>
          <w:bCs/>
          <w:sz w:val="24"/>
          <w:szCs w:val="24"/>
        </w:rPr>
        <w:t>投标人按招标文件规定的</w:t>
      </w:r>
      <w:r>
        <w:rPr>
          <w:rFonts w:hint="eastAsia" w:ascii="宋体" w:hAnsi="宋体"/>
          <w:sz w:val="24"/>
          <w:szCs w:val="24"/>
        </w:rPr>
        <w:t>网上解密时间</w:t>
      </w:r>
      <w:r>
        <w:rPr>
          <w:rFonts w:hint="eastAsia" w:ascii="宋体" w:hAnsi="宋体"/>
          <w:bCs/>
          <w:sz w:val="24"/>
          <w:szCs w:val="24"/>
        </w:rPr>
        <w:t>进行解密，如未按时解密后果自负。</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4.</w:t>
      </w:r>
      <w:r>
        <w:rPr>
          <w:rFonts w:hint="eastAsia" w:ascii="宋体" w:hAnsi="宋体"/>
          <w:bCs/>
          <w:sz w:val="24"/>
          <w:szCs w:val="24"/>
        </w:rPr>
        <w:t>投标人应当对招标文件提出的要求和条件作出实质性响应，并在电子投标系统逐条应答。</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5.</w:t>
      </w:r>
      <w:r>
        <w:rPr>
          <w:rFonts w:hint="eastAsia" w:ascii="宋体" w:hAnsi="宋体"/>
          <w:bCs/>
          <w:sz w:val="24"/>
          <w:szCs w:val="24"/>
        </w:rPr>
        <w:t>投标人应对要求提供的资格证明文件（如资质证书、资格证书）、技术资料（如白皮书、彩页、手册、检测报告等）扫描上传至投标系统。</w:t>
      </w:r>
    </w:p>
    <w:p>
      <w:pPr>
        <w:numPr>
          <w:ilvl w:val="0"/>
          <w:numId w:val="0"/>
        </w:numPr>
        <w:tabs>
          <w:tab w:val="left" w:pos="525"/>
          <w:tab w:val="left" w:pos="945"/>
        </w:tabs>
        <w:spacing w:line="360" w:lineRule="auto"/>
        <w:ind w:leftChars="218"/>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投标人进行网上</w:t>
      </w:r>
      <w:r>
        <w:rPr>
          <w:rFonts w:hint="eastAsia" w:ascii="宋体" w:hAnsi="宋体"/>
          <w:sz w:val="24"/>
          <w:szCs w:val="24"/>
        </w:rPr>
        <w:t>投标</w:t>
      </w:r>
      <w:r>
        <w:rPr>
          <w:rFonts w:hint="eastAsia" w:ascii="宋体" w:hAnsi="宋体"/>
          <w:bCs/>
          <w:sz w:val="24"/>
          <w:szCs w:val="24"/>
        </w:rPr>
        <w:t>请参照《</w:t>
      </w:r>
      <w:r>
        <w:rPr>
          <w:rFonts w:hint="eastAsia" w:ascii="宋体" w:hAnsi="宋体"/>
          <w:sz w:val="24"/>
          <w:szCs w:val="24"/>
        </w:rPr>
        <w:t>政府采购项目电子交易管理操作指南-供应商》。</w:t>
      </w:r>
    </w:p>
    <w:p>
      <w:pPr>
        <w:tabs>
          <w:tab w:val="left" w:pos="945"/>
        </w:tabs>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（八）无效投标文件的确认：</w:t>
      </w:r>
    </w:p>
    <w:p>
      <w:pPr>
        <w:tabs>
          <w:tab w:val="left" w:pos="945"/>
        </w:tabs>
        <w:spacing w:line="360" w:lineRule="auto"/>
        <w:ind w:firstLine="480" w:firstLineChars="200"/>
        <w:rPr>
          <w:rFonts w:ascii="黑体" w:hAnsi="宋体" w:eastAsia="黑体"/>
          <w:bCs/>
          <w:color w:val="000000"/>
          <w:sz w:val="24"/>
          <w:szCs w:val="24"/>
        </w:rPr>
      </w:pPr>
      <w:r>
        <w:rPr>
          <w:rFonts w:hint="eastAsia" w:ascii="宋体" w:hAnsi="宋体"/>
          <w:bCs/>
          <w:color w:val="000000"/>
          <w:sz w:val="24"/>
          <w:szCs w:val="24"/>
        </w:rPr>
        <w:t>投标人有下列情况之一者，投标文件无效：</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1.未按规定在无锡市政府采购供应商信息库注册的；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2.电子投标文件未按规定期限投标的，纸质投标文件（如有）未按规定的期限、地点送达的；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3.电子投标文件未按招标文件要求签章的；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4.投标人未按招标文件要求解密电子投标文件的；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5.投标人的法定代表人授权代表，无法定代表人授权委托书的；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6.不具备招标文件中规定的资格要求或未按招标文件规定的要求提供资格、资信证明文件的；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7.被“信用中国”网站（www.creditchina.gov.cn）、中国政府采购网(www.ccgp.gov.cn)列入失信被执行人、重大税收违法案件当事人名单、政府采购严重违法失信行为记录名单的；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8.投标文件未按招标文件规定的内容和要求填写的；没有在投标系统指定位置上传对应文件、材料的；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9.电子投标文件图片、字迹模糊不清、无法辨认的；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10.投标文件中有招标文件未允许提供的选择性内容；</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11.不同投标人委托同一单位或者个人办理投标事宜的；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12.不同投标人的单位负责人为同一人或者存在直接控股、管理关系的；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13.不同投标人的投标文件的装订形式、纸张情况、目录序号、排版格式、文字风格等存在明显的相似性或一致性，特征显示由同一单位或者同一个人编制的；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14.不同投标人投标文件内容存在非正常一致、项目组成员出现同一人、投标文件中错误（或异常）一致或雷同、电子文档信息一致或雷同的、投标报价呈规律性差异的；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15.不同投标人的投标资料相互混装、不同投标人的委托代理人、项目负责人以及其他相关人员有在同一个单位缴纳社会保险、同一投标文件中单位名称落款与公章不是同一单位的；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16.项目（标段）投标总价超过本项目（标段）预算或最高限价的；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17.提供虚假材料的（包括工商营业执照、财务报表、资格证明文件等）；</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18.投标文件含有采购人不能接受的附加条件的；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19.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20.除单一来源采购项目外，为采购项目提供整体设计、规范编制或者项目管理、监理、检测等服务的；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21.投标文件内容不全或不符合招标文件中规定的其它实质性要求的；</w:t>
      </w:r>
    </w:p>
    <w:p>
      <w:pPr>
        <w:tabs>
          <w:tab w:val="left" w:pos="945"/>
        </w:tabs>
        <w:spacing w:line="360" w:lineRule="auto"/>
        <w:ind w:firstLine="480" w:firstLineChars="200"/>
        <w:outlineLvl w:val="0"/>
        <w:rPr>
          <w:rFonts w:hint="eastAsia" w:ascii="宋体" w:hAnsi="宋体"/>
          <w:bCs/>
          <w:sz w:val="24"/>
          <w:szCs w:val="24"/>
        </w:rPr>
      </w:pPr>
      <w:r>
        <w:rPr>
          <w:rFonts w:hint="eastAsia" w:ascii="宋体" w:hAnsi="宋体"/>
          <w:bCs/>
          <w:sz w:val="24"/>
          <w:szCs w:val="24"/>
        </w:rPr>
        <w:t>22.法律法规和招标文件规定的其它无效情形。</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（九）开标、评标：</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w:t>
      </w:r>
      <w:r>
        <w:rPr>
          <w:rFonts w:hint="eastAsia" w:ascii="宋体" w:hAnsi="宋体"/>
          <w:bCs/>
          <w:color w:val="000000"/>
          <w:sz w:val="24"/>
          <w:szCs w:val="24"/>
          <w:lang w:val="en-US" w:eastAsia="zh-CN"/>
        </w:rPr>
        <w:t>.</w:t>
      </w:r>
      <w:r>
        <w:rPr>
          <w:rFonts w:hint="eastAsia" w:ascii="宋体" w:hAnsi="宋体"/>
          <w:bCs/>
          <w:color w:val="000000"/>
          <w:sz w:val="24"/>
          <w:szCs w:val="24"/>
        </w:rPr>
        <w:t>所有投标单位在招标文件规定的时间内解密各自投标文件；</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val="en-US" w:eastAsia="zh-CN"/>
        </w:rPr>
        <w:t>.</w:t>
      </w:r>
      <w:r>
        <w:rPr>
          <w:rFonts w:hint="eastAsia" w:ascii="宋体" w:hAnsi="宋体"/>
          <w:bCs/>
          <w:color w:val="000000"/>
          <w:sz w:val="24"/>
          <w:szCs w:val="24"/>
        </w:rPr>
        <w:t>投标截止时间后参加投标的供应商或解密投标文件的供应商不足三家的，不开标；开标后，所有投标供应商可在线上开标大厅中看到所有投标人的投标报价；</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w:t>
      </w:r>
      <w:r>
        <w:rPr>
          <w:rFonts w:hint="eastAsia" w:ascii="宋体" w:hAnsi="宋体"/>
          <w:bCs/>
          <w:color w:val="000000"/>
          <w:sz w:val="24"/>
          <w:szCs w:val="24"/>
          <w:lang w:val="en-US" w:eastAsia="zh-CN"/>
        </w:rPr>
        <w:t>.</w:t>
      </w:r>
      <w:r>
        <w:rPr>
          <w:rFonts w:hint="eastAsia" w:ascii="宋体" w:hAnsi="宋体"/>
          <w:bCs/>
          <w:color w:val="000000"/>
          <w:sz w:val="24"/>
          <w:szCs w:val="24"/>
        </w:rPr>
        <w:t>开标时，投标文件报价出现前后不一致的，按照下列规定修正：</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①投标文件中开标一览表（报价表）内容与投标文件中相应内容不一致的，以开标一览表（报价表）为准；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②大写金额和小写金额不一致的，以大写金额为准；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③单价金额小数点或者百分比有明显错位的，以开标一览表的总价为准，并修改单价；</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④总价金额与按单价汇总金额不一致的，以单价金额计算结果为准。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同时出现两种以上不一致的，按照前款规定的顺序修正。修正后的报价评标委员会应当以书面形式要求投标人作出必要的澄清、说明或者补正，经投标人确认后产生约束力，投标人不确认的，其投标无效。</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w:t>
      </w:r>
      <w:r>
        <w:rPr>
          <w:rFonts w:hint="eastAsia" w:ascii="宋体" w:hAnsi="宋体"/>
          <w:bCs/>
          <w:color w:val="000000"/>
          <w:sz w:val="24"/>
          <w:szCs w:val="24"/>
          <w:lang w:val="en-US" w:eastAsia="zh-CN"/>
        </w:rPr>
        <w:t>.</w:t>
      </w:r>
      <w:r>
        <w:rPr>
          <w:rFonts w:hint="eastAsia" w:ascii="宋体" w:hAnsi="宋体"/>
          <w:bCs/>
          <w:color w:val="000000"/>
          <w:sz w:val="24"/>
          <w:szCs w:val="24"/>
        </w:rPr>
        <w:t>电子投标文件与纸质投标文件（如有）不符的，以电子投标文件为准。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5</w:t>
      </w:r>
      <w:r>
        <w:rPr>
          <w:rFonts w:hint="eastAsia" w:ascii="宋体" w:hAnsi="宋体"/>
          <w:bCs/>
          <w:color w:val="000000"/>
          <w:sz w:val="24"/>
          <w:szCs w:val="24"/>
          <w:lang w:val="en-US" w:eastAsia="zh-CN"/>
        </w:rPr>
        <w:t>.</w:t>
      </w:r>
      <w:r>
        <w:rPr>
          <w:rFonts w:hint="eastAsia" w:ascii="宋体" w:hAnsi="宋体"/>
          <w:bCs/>
          <w:color w:val="000000"/>
          <w:sz w:val="24"/>
          <w:szCs w:val="24"/>
        </w:rPr>
        <w:t>投标人未参加开标的，视同认可开标结果。</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6</w:t>
      </w:r>
      <w:r>
        <w:rPr>
          <w:rFonts w:hint="eastAsia" w:ascii="宋体" w:hAnsi="宋体"/>
          <w:bCs/>
          <w:color w:val="000000"/>
          <w:sz w:val="24"/>
          <w:szCs w:val="24"/>
          <w:lang w:val="en-US" w:eastAsia="zh-CN"/>
        </w:rPr>
        <w:t>.</w:t>
      </w:r>
      <w:r>
        <w:rPr>
          <w:rFonts w:hint="eastAsia" w:ascii="宋体" w:hAnsi="宋体"/>
          <w:bCs/>
          <w:color w:val="000000"/>
          <w:sz w:val="24"/>
          <w:szCs w:val="24"/>
        </w:rPr>
        <w:t>评标程序</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评标工作由无锡市公共资源交易中心新吴分中心负责组织，具体评标事务由依法组建的评标委员会负责。</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（1）投标文件初审。初审分为资格性检查和符合性检查。</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①资格性检查。采购人依据法律法规和招标文件的规定，对投标文件中的资格证明、投标（报价）承诺函等进行审查；通过“信用中国”网站（www.creditchina.gov.cn）、中国政府采购网(www.ccgp.gov.cn)查询投标供应商在投标截止时间之前，是否被列入失信被执行人、重大税收违法案件当事人名单、政府采购严重违法失信行为记录名单，以确定投标供应商是否具备投标资格。信用查询结果以网页打印的形式留存并归档。</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②符合性检查。评标委员会依据招标文件的规定，从投标文件的有效性、完整性和对招标文件的响应程度进行审查，以确定是否对招标文件的实质性要求作出响应。</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澄清有关问题。对投标文件中含义不明确、同类问题表述不一致或者有明显文字和计算错误的内容，评标委员会可以通过政府采购交易管理一体化系统发起询标，要求投标人作出必要的澄清、说明或者纠正。投标人的澄清、说明或者补正应当通过政府采购交易管理一体化系统，由其授权的代表应答并加盖电子公章，且不得超出投标文件的范围或者改变投标文件的实质性内容。</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（3）比较与评价。按招标文件中规定的评标方法和标准，对资格性检查和符合性检查合格的投标文件进行商务和技术评估，综合比较与评价。</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7</w:t>
      </w:r>
      <w:r>
        <w:rPr>
          <w:rFonts w:hint="eastAsia" w:ascii="宋体" w:hAnsi="宋体"/>
          <w:bCs/>
          <w:color w:val="000000"/>
          <w:sz w:val="24"/>
          <w:szCs w:val="24"/>
          <w:lang w:val="en-US" w:eastAsia="zh-CN"/>
        </w:rPr>
        <w:t>.</w:t>
      </w:r>
      <w:r>
        <w:rPr>
          <w:rFonts w:hint="eastAsia" w:ascii="宋体" w:hAnsi="宋体"/>
          <w:bCs/>
          <w:color w:val="000000"/>
          <w:sz w:val="24"/>
          <w:szCs w:val="24"/>
        </w:rPr>
        <w:t>评标方法</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投标人通过初审的，方可进入比较与评价程序。</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比较与评价采用综合评分法。</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中一个投标人获得评审排名资格，其他同品牌投标人无评审排名资格。非单一产品采购项目，多家投标人提供的核心产品品牌相同的，同上处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8</w:t>
      </w:r>
      <w:r>
        <w:rPr>
          <w:rFonts w:hint="eastAsia" w:ascii="宋体" w:hAnsi="宋体"/>
          <w:bCs/>
          <w:color w:val="000000"/>
          <w:sz w:val="24"/>
          <w:szCs w:val="24"/>
          <w:lang w:val="en-US" w:eastAsia="zh-CN"/>
        </w:rPr>
        <w:t>.</w:t>
      </w:r>
      <w:r>
        <w:rPr>
          <w:rFonts w:hint="eastAsia" w:ascii="宋体" w:hAnsi="宋体"/>
          <w:bCs/>
          <w:color w:val="000000"/>
          <w:sz w:val="24"/>
          <w:szCs w:val="24"/>
        </w:rPr>
        <w:t>评分标准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详见附件。</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（十）定标：</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评标委员会根据招标文件规定的评标方法和评标标准进行评审，按招标文件的要求依法确定中标供应商。无锡市公共资源交易中心新吴分中心将在无锡市公共资源交易中心政府采购专栏、无锡政府采购网、江苏政府采购网和中国政府采购网发布中标公告。如有质疑，应在法定质疑期限内，即中标公告期限届满之日起7个工作日内，以书面形式（原件）送达无锡市公共资源交易中心新吴分中心，并且针对同一采购程序环节的质疑，须在法定质疑期内一次性提出。质疑函的质疑事项应具体、明确，并有必要的事实依据和法律依据（格式详见中国政府采购网《政府采购供应商质疑函范本》）。无锡市公共资源交易中心新吴分中心将在收到符合上述要求的书面质疑后七个工作日内，对质疑内容做出答复。投标人在法定质疑期限外送达的质疑函或法定质疑期限内送达的质疑函不符合上述要求的均为无效质疑，无锡市公共资源交易中心新吴分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val="en-US" w:eastAsia="zh-CN"/>
        </w:rPr>
        <w:t>.</w:t>
      </w:r>
      <w:r>
        <w:rPr>
          <w:rFonts w:hint="eastAsia" w:ascii="宋体" w:hAnsi="宋体"/>
          <w:bCs/>
          <w:color w:val="000000"/>
          <w:sz w:val="24"/>
          <w:szCs w:val="24"/>
        </w:rPr>
        <w:t>无锡市公共资源交易中心新吴分中心向中标供应商发中标通知书。</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w:t>
      </w:r>
      <w:r>
        <w:rPr>
          <w:rFonts w:hint="eastAsia" w:ascii="宋体" w:hAnsi="宋体"/>
          <w:bCs/>
          <w:color w:val="000000"/>
          <w:sz w:val="24"/>
          <w:szCs w:val="24"/>
          <w:lang w:val="en-US" w:eastAsia="zh-CN"/>
        </w:rPr>
        <w:t>.</w:t>
      </w:r>
      <w:r>
        <w:rPr>
          <w:rFonts w:hint="eastAsia" w:ascii="宋体" w:hAnsi="宋体"/>
          <w:bCs/>
          <w:color w:val="000000"/>
          <w:sz w:val="24"/>
          <w:szCs w:val="24"/>
        </w:rPr>
        <w:t>投标供应商电子投标文件将作为电子档案保存。</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（十一）废标的确认：</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在招标采购中，出现下列情况之一的，应予废标：</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w:t>
      </w:r>
      <w:r>
        <w:rPr>
          <w:rFonts w:hint="eastAsia" w:ascii="宋体" w:hAnsi="宋体"/>
          <w:bCs/>
          <w:color w:val="000000"/>
          <w:sz w:val="24"/>
          <w:szCs w:val="24"/>
          <w:lang w:val="en-US" w:eastAsia="zh-CN"/>
        </w:rPr>
        <w:t>.</w:t>
      </w:r>
      <w:r>
        <w:rPr>
          <w:rFonts w:hint="eastAsia" w:ascii="宋体" w:hAnsi="宋体"/>
          <w:bCs/>
          <w:color w:val="000000"/>
          <w:sz w:val="24"/>
          <w:szCs w:val="24"/>
        </w:rPr>
        <w:t>符合专业条件的投标人或者对招标文件作出实质性响应的投标人不足三家；</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val="en-US" w:eastAsia="zh-CN"/>
        </w:rPr>
        <w:t>.</w:t>
      </w:r>
      <w:r>
        <w:rPr>
          <w:rFonts w:hint="eastAsia" w:ascii="宋体" w:hAnsi="宋体"/>
          <w:bCs/>
          <w:color w:val="000000"/>
          <w:sz w:val="24"/>
          <w:szCs w:val="24"/>
        </w:rPr>
        <w:t>出现影响采购公正的违法、违规行为；</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w:t>
      </w:r>
      <w:r>
        <w:rPr>
          <w:rFonts w:hint="eastAsia" w:ascii="宋体" w:hAnsi="宋体"/>
          <w:bCs/>
          <w:color w:val="000000"/>
          <w:sz w:val="24"/>
          <w:szCs w:val="24"/>
          <w:lang w:val="en-US" w:eastAsia="zh-CN"/>
        </w:rPr>
        <w:t>.</w:t>
      </w:r>
      <w:r>
        <w:rPr>
          <w:rFonts w:hint="eastAsia" w:ascii="宋体" w:hAnsi="宋体"/>
          <w:bCs/>
          <w:color w:val="000000"/>
          <w:sz w:val="24"/>
          <w:szCs w:val="24"/>
        </w:rPr>
        <w:t>投标人的报价均超过采购预算，采购人不能支付的；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w:t>
      </w:r>
      <w:r>
        <w:rPr>
          <w:rFonts w:hint="eastAsia" w:ascii="宋体" w:hAnsi="宋体"/>
          <w:bCs/>
          <w:color w:val="000000"/>
          <w:sz w:val="24"/>
          <w:szCs w:val="24"/>
          <w:lang w:val="en-US" w:eastAsia="zh-CN"/>
        </w:rPr>
        <w:t>.</w:t>
      </w:r>
      <w:r>
        <w:rPr>
          <w:rFonts w:hint="eastAsia" w:ascii="宋体" w:hAnsi="宋体"/>
          <w:bCs/>
          <w:color w:val="000000"/>
          <w:sz w:val="24"/>
          <w:szCs w:val="24"/>
        </w:rPr>
        <w:t>因重大变故，采购任务取消。</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（十二）中标无效的确认：</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（1）提供虚假材料谋取中标的；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（2）采取不正当手段诋毁、排挤其他投标人的；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（3）与招标采购单位、其他投标人恶意串通的；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（4）向招标采购单位行贿或者提供其他不正当利益的；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（5）在招标过程中与招标采购单位进行协商谈判、不按照招标文件和中标供应商的投标文件订立合同，或者与采购人另行订立背离合同实质性内容的协议的；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（6）拒绝有关部门监督检查或者提供虚假情况的。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投标人有上述（1）至（5）项情形之一的，中标无效。有上述（1）至（6）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（十三）签订、履行合同：</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w:t>
      </w:r>
      <w:r>
        <w:rPr>
          <w:rFonts w:hint="eastAsia" w:ascii="宋体" w:hAnsi="宋体"/>
          <w:bCs/>
          <w:color w:val="000000"/>
          <w:sz w:val="24"/>
          <w:szCs w:val="24"/>
          <w:lang w:val="en-US" w:eastAsia="zh-CN"/>
        </w:rPr>
        <w:t>.</w:t>
      </w:r>
      <w:r>
        <w:rPr>
          <w:rFonts w:hint="eastAsia" w:ascii="宋体" w:hAnsi="宋体"/>
          <w:bCs/>
          <w:color w:val="000000"/>
          <w:sz w:val="24"/>
          <w:szCs w:val="24"/>
        </w:rPr>
        <w:t>采购人应当自中标通知书发出之日起三十日内（到新冠疫情应急响应解除之日前缩短至十五日内），按照招标文件和中标供应商投标文件的约定，与中标供应商签订书面合同。所签订的合同不得对招标文件和中标供应商投标文件作实质性修改。采购人不得向中标供应商提出任何不合理的要求，作为签订合同的条件，不得与中标供应商私下订立背离合同实质性内容的协议。合同经无锡市公共资源交易中心新吴分中心见证后生效。</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val="en-US" w:eastAsia="zh-CN"/>
        </w:rPr>
        <w:t>.</w:t>
      </w:r>
      <w:r>
        <w:rPr>
          <w:rFonts w:hint="eastAsia" w:ascii="宋体" w:hAnsi="宋体"/>
          <w:bCs/>
          <w:color w:val="000000"/>
          <w:sz w:val="24"/>
          <w:szCs w:val="24"/>
        </w:rPr>
        <w:t>中标方非因不可抗力未履行招、投标文件和合同规定的义务，一经查实，无锡市公共资源交易中心新吴分中心将根据具体情况提请政府采购管理部门作出相应处理。</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w:t>
      </w:r>
      <w:r>
        <w:rPr>
          <w:rFonts w:hint="eastAsia" w:ascii="宋体" w:hAnsi="宋体"/>
          <w:bCs/>
          <w:color w:val="000000"/>
          <w:sz w:val="24"/>
          <w:szCs w:val="24"/>
          <w:lang w:val="en-US" w:eastAsia="zh-CN"/>
        </w:rPr>
        <w:t>.</w:t>
      </w:r>
      <w:r>
        <w:rPr>
          <w:rFonts w:hint="eastAsia" w:ascii="宋体" w:hAnsi="宋体"/>
          <w:bCs/>
          <w:color w:val="000000"/>
          <w:sz w:val="24"/>
          <w:szCs w:val="24"/>
        </w:rPr>
        <w:t>中标供应商向采购人缴纳的履约保证金不超过政府采购合同金额的10%。收取履约保证金的，采购人应当允许供应商自主选择以支票、 汇票、 本票、 保函等非现金形式缴纳或提交，并与中标供应商在采购合同中约定履约保证金退还的方式、时间、条件和不予退还的情形，明确逾期退还履约保证金的违约责任。</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（十四）注意事项：</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中标供应商有下列情形之一的，情节严重的，由财政部门将其列入不良行为记录名单，在一至三年内禁止参加政府采购活动，并予以通报：</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（1）中标后无正当理由不与采购人签订合同的；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（2）将中标项目转让给他人，或者在投标文件中未说明，且未经过采购人同意，将中标项目分包给他人的；</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（3）拒绝履行合同义务的。</w:t>
      </w:r>
    </w:p>
    <w:p>
      <w:pPr>
        <w:tabs>
          <w:tab w:val="left" w:pos="945"/>
        </w:tabs>
        <w:spacing w:line="360" w:lineRule="auto"/>
        <w:ind w:firstLine="480" w:firstLineChars="200"/>
        <w:rPr>
          <w:rFonts w:hint="eastAsia" w:ascii="黑体" w:hAnsi="宋体" w:eastAsia="黑体"/>
          <w:bCs/>
          <w:color w:val="000000"/>
          <w:sz w:val="24"/>
          <w:szCs w:val="24"/>
        </w:rPr>
      </w:pPr>
      <w:r>
        <w:rPr>
          <w:rFonts w:hint="eastAsia" w:ascii="黑体" w:hAnsi="宋体" w:eastAsia="黑体"/>
          <w:bCs/>
          <w:color w:val="000000"/>
          <w:sz w:val="24"/>
          <w:szCs w:val="24"/>
        </w:rPr>
        <w:t>（十五）中标服务费：</w:t>
      </w:r>
    </w:p>
    <w:p>
      <w:pPr>
        <w:tabs>
          <w:tab w:val="left" w:pos="94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本次招标，无锡市公共资源交易中心新吴分中心为中标供应商提供免费服务，不收取中标服务费。</w:t>
      </w:r>
    </w:p>
    <w:p>
      <w:pPr>
        <w:pStyle w:val="2"/>
        <w:ind w:left="0" w:leftChars="0" w:firstLine="0" w:firstLineChars="0"/>
        <w:sectPr>
          <w:footerReference r:id="rId9" w:type="first"/>
          <w:footerReference r:id="rId8" w:type="default"/>
          <w:pgSz w:w="11906" w:h="16838"/>
          <w:pgMar w:top="567" w:right="851" w:bottom="567" w:left="1134" w:header="624" w:footer="907" w:gutter="0"/>
          <w:pgNumType w:fmt="decimal" w:start="1"/>
          <w:cols w:space="720" w:num="1"/>
          <w:docGrid w:type="linesAndChars" w:linePitch="312" w:charSpace="0"/>
        </w:sectPr>
      </w:pPr>
    </w:p>
    <w:p/>
    <w:p>
      <w:pPr>
        <w:spacing w:line="360" w:lineRule="auto"/>
        <w:jc w:val="center"/>
        <w:rPr>
          <w:rFonts w:ascii="黑体" w:eastAsia="黑体"/>
          <w:b/>
          <w:sz w:val="30"/>
          <w:szCs w:val="30"/>
        </w:rPr>
      </w:pPr>
      <w:r>
        <w:rPr>
          <w:rFonts w:hint="eastAsia" w:ascii="黑体" w:eastAsia="黑体"/>
          <w:bCs/>
          <w:sz w:val="30"/>
          <w:szCs w:val="30"/>
        </w:rPr>
        <w:t>三．</w:t>
      </w:r>
      <w:r>
        <w:rPr>
          <w:rFonts w:hint="eastAsia" w:ascii="黑体" w:eastAsia="黑体"/>
          <w:b/>
          <w:sz w:val="30"/>
          <w:szCs w:val="30"/>
        </w:rPr>
        <w:t>项目技术要求和有关说明</w:t>
      </w:r>
    </w:p>
    <w:p>
      <w:pPr>
        <w:spacing w:after="5" w:line="360" w:lineRule="auto"/>
        <w:ind w:firstLine="480" w:firstLineChars="200"/>
        <w:rPr>
          <w:rFonts w:ascii="宋体" w:hAnsi="宋体"/>
          <w:bCs/>
          <w:sz w:val="24"/>
        </w:rPr>
      </w:pPr>
      <w:r>
        <w:rPr>
          <w:rFonts w:hint="eastAsia" w:ascii="宋体" w:hAnsi="宋体"/>
          <w:bCs/>
          <w:sz w:val="24"/>
        </w:rPr>
        <w:t>本项目为</w:t>
      </w:r>
      <w:r>
        <w:rPr>
          <w:rFonts w:hint="eastAsia" w:ascii="宋体" w:hAnsi="宋体"/>
          <w:bCs/>
          <w:sz w:val="24"/>
          <w:lang w:eastAsia="zh-CN"/>
        </w:rPr>
        <w:t>无锡市新吴实验中学新校家具采购</w:t>
      </w:r>
      <w:r>
        <w:rPr>
          <w:rFonts w:hint="eastAsia" w:ascii="宋体" w:hAnsi="宋体"/>
          <w:bCs/>
          <w:sz w:val="24"/>
        </w:rPr>
        <w:t>，项目具体要求如下，投标人所投内容必须满足以下要求，不得有负偏离。</w:t>
      </w:r>
    </w:p>
    <w:p>
      <w:pPr>
        <w:spacing w:line="360" w:lineRule="auto"/>
        <w:ind w:firstLine="480" w:firstLineChars="200"/>
        <w:rPr>
          <w:rFonts w:ascii="黑体" w:eastAsia="黑体"/>
          <w:sz w:val="24"/>
          <w:szCs w:val="24"/>
          <w:u w:color="000000"/>
        </w:rPr>
      </w:pPr>
      <w:r>
        <w:rPr>
          <w:rFonts w:hint="eastAsia" w:ascii="宋体"/>
          <w:bCs/>
          <w:sz w:val="24"/>
          <w:szCs w:val="24"/>
        </w:rPr>
        <w:t>本项目中的</w:t>
      </w:r>
      <w:r>
        <w:rPr>
          <w:rFonts w:hint="eastAsia" w:ascii="宋体"/>
          <w:b/>
          <w:bCs w:val="0"/>
          <w:sz w:val="24"/>
          <w:szCs w:val="24"/>
          <w:u w:val="single"/>
        </w:rPr>
        <w:t>课桌椅、礼堂椅、</w:t>
      </w:r>
      <w:r>
        <w:rPr>
          <w:rFonts w:hint="eastAsia" w:ascii="宋体" w:hAnsi="宋体"/>
          <w:b/>
          <w:bCs w:val="0"/>
          <w:sz w:val="24"/>
          <w:szCs w:val="24"/>
          <w:u w:val="single"/>
        </w:rPr>
        <w:t>回弹餐桌</w:t>
      </w:r>
      <w:r>
        <w:rPr>
          <w:rFonts w:hint="eastAsia" w:ascii="宋体"/>
          <w:bCs/>
          <w:sz w:val="24"/>
          <w:szCs w:val="24"/>
        </w:rPr>
        <w:t>为核心产品。</w:t>
      </w:r>
    </w:p>
    <w:p>
      <w:pPr>
        <w:numPr>
          <w:ilvl w:val="0"/>
          <w:numId w:val="2"/>
        </w:numPr>
        <w:spacing w:line="360" w:lineRule="auto"/>
        <w:ind w:firstLine="480" w:firstLineChars="200"/>
        <w:rPr>
          <w:rFonts w:ascii="黑体" w:eastAsia="黑体"/>
          <w:sz w:val="24"/>
          <w:szCs w:val="24"/>
          <w:u w:color="000000"/>
        </w:rPr>
      </w:pPr>
      <w:r>
        <w:rPr>
          <w:rFonts w:hint="eastAsia" w:ascii="黑体" w:eastAsia="黑体"/>
          <w:sz w:val="24"/>
          <w:szCs w:val="24"/>
          <w:u w:color="000000"/>
        </w:rPr>
        <w:t>项目技术要求：</w:t>
      </w:r>
    </w:p>
    <w:p>
      <w:pPr>
        <w:pStyle w:val="2"/>
        <w:ind w:firstLine="480"/>
        <w:rPr>
          <w:rFonts w:ascii="宋体" w:hAnsi="宋体" w:eastAsia="宋体"/>
          <w:sz w:val="24"/>
          <w:szCs w:val="24"/>
        </w:rPr>
      </w:pPr>
      <w:r>
        <w:rPr>
          <w:rFonts w:hint="eastAsia" w:ascii="宋体" w:hAnsi="宋体" w:eastAsia="宋体"/>
          <w:sz w:val="24"/>
          <w:szCs w:val="24"/>
        </w:rPr>
        <w:t xml:space="preserve">整体质保期：本项目整体免费质保期 </w:t>
      </w:r>
      <w:r>
        <w:rPr>
          <w:rFonts w:hint="eastAsia" w:ascii="宋体" w:hAnsi="宋体" w:eastAsia="宋体"/>
          <w:sz w:val="24"/>
          <w:szCs w:val="24"/>
          <w:u w:val="single"/>
        </w:rPr>
        <w:t xml:space="preserve"> 贰 </w:t>
      </w:r>
      <w:r>
        <w:rPr>
          <w:rFonts w:hint="eastAsia" w:ascii="宋体" w:hAnsi="宋体" w:eastAsia="宋体"/>
          <w:sz w:val="24"/>
          <w:szCs w:val="24"/>
        </w:rPr>
        <w:t>年。</w:t>
      </w:r>
    </w:p>
    <w:tbl>
      <w:tblPr>
        <w:tblStyle w:val="23"/>
        <w:tblpPr w:leftFromText="180" w:rightFromText="180" w:vertAnchor="text" w:horzAnchor="page" w:tblpX="937" w:tblpY="483"/>
        <w:tblOverlap w:val="never"/>
        <w:tblW w:w="10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808"/>
        <w:gridCol w:w="1144"/>
        <w:gridCol w:w="3683"/>
        <w:gridCol w:w="582"/>
        <w:gridCol w:w="487"/>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6"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808"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名称</w:t>
            </w:r>
          </w:p>
        </w:tc>
        <w:tc>
          <w:tcPr>
            <w:tcW w:w="1144"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规格/mm</w:t>
            </w:r>
          </w:p>
        </w:tc>
        <w:tc>
          <w:tcPr>
            <w:tcW w:w="3683"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技术参数</w:t>
            </w:r>
          </w:p>
        </w:tc>
        <w:tc>
          <w:tcPr>
            <w:tcW w:w="582"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单位</w:t>
            </w:r>
          </w:p>
        </w:tc>
        <w:tc>
          <w:tcPr>
            <w:tcW w:w="487"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数量</w:t>
            </w:r>
          </w:p>
        </w:tc>
        <w:tc>
          <w:tcPr>
            <w:tcW w:w="3065" w:type="dxa"/>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486"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组合办公桌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1600*1600*1400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桌面板材质说明：面板基层采用防水，防潮,防火,耐高温25mm厚多层板热压成型，贴三聚氰胺饰面纸，耐划，坚固、美观、产品完全符合国家标准，甲醛释放量为零。桌面封边条：采用厚度≥2.0mm耐老化PVC封边条封边，甲醛释放量达到国家环保水平。 柜体基材采用18mm厚度的E1级绿色环保三聚氰胺板，耐划，坚固、美观，具有防火、防潮、耐磨、硬度高、易去污，可长期保持整洁等优点；抽屉抽面：尺寸为398mm*152mm，厚度18mm，材质采用防水，防潮,防火,耐高温多层板热压成型，抽屉抽面安装凹形暗拉手，整体美观、环保、实用,封边条：采用厚度≥2.0mm耐老化PVC封边条封边，甲醛释放量达到国家环保水平。边柜上下门板：厚度18mm，材质采用防水，防潮,防火,耐高温多层板热压成型，抽屉抽面安装弧形拉手，整体美观、环保、实用,采用厚度≥2.0mm耐老化PVC封边条封边，甲醛释放量达到国家环保水平。所有板材均经过防虫、防腐等化学处理，符合国家绿色环保板材要求，达到国际握钉力测试标准；采用不锈钢五金配件；配置三节静音导轨，阻尼铰链。</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222</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-20320</wp:posOffset>
                  </wp:positionH>
                  <wp:positionV relativeFrom="paragraph">
                    <wp:posOffset>474980</wp:posOffset>
                  </wp:positionV>
                  <wp:extent cx="1470660" cy="1284605"/>
                  <wp:effectExtent l="0" t="0" r="15240" b="10795"/>
                  <wp:wrapNone/>
                  <wp:docPr id="66" name="图片_6"/>
                  <wp:cNvGraphicFramePr/>
                  <a:graphic xmlns:a="http://schemas.openxmlformats.org/drawingml/2006/main">
                    <a:graphicData uri="http://schemas.openxmlformats.org/drawingml/2006/picture">
                      <pic:pic xmlns:pic="http://schemas.openxmlformats.org/drawingml/2006/picture">
                        <pic:nvPicPr>
                          <pic:cNvPr id="66" name="图片_6"/>
                          <pic:cNvPicPr/>
                        </pic:nvPicPr>
                        <pic:blipFill>
                          <a:blip r:embed="rId11"/>
                          <a:stretch>
                            <a:fillRect/>
                          </a:stretch>
                        </pic:blipFill>
                        <pic:spPr>
                          <a:xfrm>
                            <a:off x="0" y="0"/>
                            <a:ext cx="1470660" cy="1284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486"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办公椅</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620*530*970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1、规格：620*530*970mm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椅面采用环保网布，网布色泽亮丽、阻燃、防污、耐磨性强；座垫采用高密度、高回弹PU定型发泡海绵，密度≥45kg/cm3,软硬适中，回弹性能好，不变形；座垫依据人体工学原理设计，采用1.5MM夹板八层垫压成成型，成型板材约12MM，板材承受力达150KG，弓型架为实心钢筋。</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371</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438150</wp:posOffset>
                  </wp:positionH>
                  <wp:positionV relativeFrom="paragraph">
                    <wp:posOffset>15875</wp:posOffset>
                  </wp:positionV>
                  <wp:extent cx="659130" cy="898525"/>
                  <wp:effectExtent l="0" t="0" r="7620" b="15875"/>
                  <wp:wrapNone/>
                  <wp:docPr id="67" name="Picture_3"/>
                  <wp:cNvGraphicFramePr/>
                  <a:graphic xmlns:a="http://schemas.openxmlformats.org/drawingml/2006/main">
                    <a:graphicData uri="http://schemas.openxmlformats.org/drawingml/2006/picture">
                      <pic:pic xmlns:pic="http://schemas.openxmlformats.org/drawingml/2006/picture">
                        <pic:nvPicPr>
                          <pic:cNvPr id="67" name="Picture_3"/>
                          <pic:cNvPicPr/>
                        </pic:nvPicPr>
                        <pic:blipFill>
                          <a:blip r:embed="rId12"/>
                          <a:stretch>
                            <a:fillRect/>
                          </a:stretch>
                        </pic:blipFill>
                        <pic:spPr>
                          <a:xfrm>
                            <a:off x="0" y="0"/>
                            <a:ext cx="659130" cy="898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486"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打印机柜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600*400*600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柜体基材采用18mm厚度的E1级绿色环保三聚氰胺板，耐划，坚固、美观，具有防火、防潮、耐磨、硬度高、易去污，可长期保持整洁等优点。所有板材均经过防虫、防腐等化学处理，符合国家绿色环保板材要求，达到国际握钉力测试标准；采用不锈钢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361950</wp:posOffset>
                  </wp:positionH>
                  <wp:positionV relativeFrom="paragraph">
                    <wp:posOffset>133350</wp:posOffset>
                  </wp:positionV>
                  <wp:extent cx="1000760" cy="1102995"/>
                  <wp:effectExtent l="0" t="0" r="8890" b="1905"/>
                  <wp:wrapNone/>
                  <wp:docPr id="68" name="图片_33"/>
                  <wp:cNvGraphicFramePr/>
                  <a:graphic xmlns:a="http://schemas.openxmlformats.org/drawingml/2006/main">
                    <a:graphicData uri="http://schemas.openxmlformats.org/drawingml/2006/picture">
                      <pic:pic xmlns:pic="http://schemas.openxmlformats.org/drawingml/2006/picture">
                        <pic:nvPicPr>
                          <pic:cNvPr id="68" name="图片_33"/>
                          <pic:cNvPicPr/>
                        </pic:nvPicPr>
                        <pic:blipFill>
                          <a:blip r:embed="rId13"/>
                          <a:stretch>
                            <a:fillRect/>
                          </a:stretch>
                        </pic:blipFill>
                        <pic:spPr>
                          <a:xfrm>
                            <a:off x="0" y="0"/>
                            <a:ext cx="1000760" cy="1102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4" w:hRule="atLeast"/>
        </w:trPr>
        <w:tc>
          <w:tcPr>
            <w:tcW w:w="486" w:type="dxa"/>
            <w:vMerge w:val="restart"/>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808" w:type="dxa"/>
            <w:vMerge w:val="restart"/>
            <w:noWrap/>
            <w:vAlign w:val="center"/>
          </w:tcPr>
          <w:p>
            <w:pPr>
              <w:widowControl/>
              <w:jc w:val="left"/>
              <w:textAlignment w:val="center"/>
              <w:rPr>
                <w:rFonts w:hint="eastAsia"/>
                <w:b/>
                <w:bCs/>
                <w:lang w:val="en-US" w:eastAsia="zh-CN"/>
              </w:rPr>
            </w:pPr>
            <w:r>
              <w:rPr>
                <w:rFonts w:hint="eastAsia"/>
                <w:b/>
                <w:bCs/>
                <w:lang w:val="en-US" w:eastAsia="zh-CN"/>
              </w:rPr>
              <w:t>课桌椅</w:t>
            </w:r>
          </w:p>
          <w:p>
            <w:pPr>
              <w:pStyle w:val="2"/>
              <w:ind w:firstLine="540" w:firstLineChars="300"/>
              <w:jc w:val="left"/>
              <w:rPr>
                <w:rFonts w:hint="eastAsia"/>
                <w:lang w:val="en-US" w:eastAsia="zh-CN"/>
              </w:rPr>
            </w:pPr>
            <w:r>
              <w:rPr>
                <w:rFonts w:hint="eastAsia" w:ascii="宋体" w:hAnsi="宋体" w:cs="宋体"/>
                <w:b/>
                <w:bCs/>
                <w:color w:val="000000"/>
                <w:sz w:val="18"/>
                <w:szCs w:val="18"/>
                <w:lang w:val="en-US" w:eastAsia="zh-CN"/>
              </w:rPr>
              <w:t xml:space="preserve"> （核心产品）</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课桌</w:t>
            </w:r>
            <w:r>
              <w:rPr>
                <w:rFonts w:hint="eastAsia" w:ascii="宋体" w:hAnsi="宋体" w:eastAsia="宋体" w:cs="宋体"/>
                <w:color w:val="000000"/>
                <w:kern w:val="0"/>
                <w:sz w:val="18"/>
                <w:szCs w:val="18"/>
                <w:lang w:bidi="ar"/>
              </w:rPr>
              <w:t>650*450*630-780</w:t>
            </w:r>
          </w:p>
        </w:tc>
        <w:tc>
          <w:tcPr>
            <w:tcW w:w="3683" w:type="dxa"/>
            <w:vAlign w:val="center"/>
          </w:tcPr>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A.面板：1、材质：采用符合国家标准的ABS耐冲击新料一体射出成型，通过采用经UV工艺处理的木纹整体包覆使表面具有具有原木色调及花纹，确保表面耐脏、耐磨、光洁美观，四周及底部完全无毛边，光滑安全。</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2、尺寸：650mm*450mm。</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3、功能：</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(A)靠胸前处有一内弧造型设计。</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(B)面板正前方设有一笔槽，</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(C)面板左右有不妨碍手臂之防滑挡条。</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(D)表面纹理处理，不反光。</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4、面板底部有强化承重之设计。镶入不少于两支强化承重方管。</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5、耐冲击强度：平均冲破能力达到15J以上。                         B.书包斗：</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1.材质：采用符合国家标准的PP耐冲击一级新料一体射出成型，强韧而不脆裂；</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2.形状：书包斗呈“凹”字倒置状.中间部位可平放书本，左右两边部位可竖放书本，便于学生将书本分门别类。桌斗下方有ABS材质抽屉设置，便于学生放置橡皮、圆规、计算器等小微物品。</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3.尺寸：外围尺寸550*345*240mm,左右两侧内净高225mm，中间内净高115mm。                                                               4.功能:(1)书包斗底部有排水槽缝，槽缝数量≥28条，每条槽缝长度为55mm。                                                                         C.桌钢架：1、材质及形状：椭圆形钢管。</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2、结构：桌架拆装式，钢管尺寸：37*68*1.2mm；25*54*1.2mm；组装横档采用25.54*1.2mm扁圆管,桌脚采用30*60*1.2mm椭圆管,压弯工艺；采用</w:t>
            </w:r>
            <w:r>
              <w:rPr>
                <w:rStyle w:val="127"/>
                <w:rFonts w:hint="eastAsia" w:ascii="宋体" w:hAnsi="宋体" w:eastAsia="宋体" w:cs="宋体"/>
                <w:lang w:bidi="ar"/>
              </w:rPr>
              <w:t>θ</w:t>
            </w:r>
            <w:r>
              <w:rPr>
                <w:rFonts w:hint="eastAsia" w:ascii="宋体" w:hAnsi="宋体" w:eastAsia="宋体" w:cs="宋体"/>
                <w:sz w:val="18"/>
                <w:szCs w:val="18"/>
                <w:lang w:bidi="ar"/>
              </w:rPr>
              <w:t>16*1.2mm圆管边框，材料为金属网格，网格采用钢丝直径不小于4mm纵向焊接；采用全周满焊焊接而成，结构牢固，长期使用也不会产生摇晃、松散的现象。</w:t>
            </w:r>
          </w:p>
          <w:p>
            <w:pPr>
              <w:widowControl/>
              <w:jc w:val="left"/>
              <w:textAlignment w:val="center"/>
              <w:rPr>
                <w:rFonts w:ascii="宋体" w:hAnsi="宋体" w:eastAsia="宋体" w:cs="宋体"/>
                <w:sz w:val="18"/>
                <w:szCs w:val="18"/>
                <w:lang w:bidi="ar"/>
              </w:rPr>
            </w:pPr>
            <w:r>
              <w:rPr>
                <w:rFonts w:hint="eastAsia" w:ascii="宋体" w:hAnsi="宋体" w:eastAsia="宋体" w:cs="宋体"/>
                <w:sz w:val="18"/>
                <w:szCs w:val="18"/>
                <w:lang w:bidi="ar"/>
              </w:rPr>
              <w:t>3、表面涂装：桌架焊接后，表面须经静电粉末喷涂。长时间使用也不会产生表面漆剥落现象。</w:t>
            </w:r>
          </w:p>
          <w:p>
            <w:pPr>
              <w:widowControl/>
              <w:jc w:val="left"/>
              <w:textAlignment w:val="center"/>
              <w:rPr>
                <w:rFonts w:ascii="宋体" w:hAnsi="宋体" w:eastAsia="宋体" w:cs="宋体"/>
                <w:color w:val="000000"/>
                <w:sz w:val="18"/>
                <w:szCs w:val="18"/>
              </w:rPr>
            </w:pPr>
            <w:r>
              <w:rPr>
                <w:rFonts w:hint="eastAsia" w:ascii="宋体" w:hAnsi="宋体" w:eastAsia="宋体" w:cs="宋体"/>
                <w:sz w:val="18"/>
                <w:szCs w:val="18"/>
                <w:lang w:bidi="ar"/>
              </w:rPr>
              <w:t>4、高度调节：旋钮调节                                                                      D.脚垫：材质：采用环保级PP加耐磨纤维塑料一体射出而成，耐磨抗老化。长期使用不脱落，贴合体型设计。</w:t>
            </w:r>
          </w:p>
        </w:tc>
        <w:tc>
          <w:tcPr>
            <w:tcW w:w="582" w:type="dxa"/>
            <w:vMerge w:val="restart"/>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487" w:type="dxa"/>
            <w:vMerge w:val="restart"/>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1646</w:t>
            </w:r>
          </w:p>
        </w:tc>
        <w:tc>
          <w:tcPr>
            <w:tcW w:w="3065" w:type="dxa"/>
            <w:vMerge w:val="restart"/>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bdr w:val="single" w:color="000000" w:sz="4" w:space="0"/>
              </w:rPr>
              <w:drawing>
                <wp:anchor distT="0" distB="0" distL="114300" distR="114300" simplePos="0" relativeHeight="251664384" behindDoc="0" locked="0" layoutInCell="1" allowOverlap="1">
                  <wp:simplePos x="0" y="0"/>
                  <wp:positionH relativeFrom="column">
                    <wp:posOffset>-10795</wp:posOffset>
                  </wp:positionH>
                  <wp:positionV relativeFrom="paragraph">
                    <wp:posOffset>1281430</wp:posOffset>
                  </wp:positionV>
                  <wp:extent cx="1627505" cy="1463040"/>
                  <wp:effectExtent l="0" t="0" r="10795" b="3810"/>
                  <wp:wrapNone/>
                  <wp:docPr id="64" name="图片_27"/>
                  <wp:cNvGraphicFramePr/>
                  <a:graphic xmlns:a="http://schemas.openxmlformats.org/drawingml/2006/main">
                    <a:graphicData uri="http://schemas.openxmlformats.org/drawingml/2006/picture">
                      <pic:pic xmlns:pic="http://schemas.openxmlformats.org/drawingml/2006/picture">
                        <pic:nvPicPr>
                          <pic:cNvPr id="64" name="图片_27"/>
                          <pic:cNvPicPr/>
                        </pic:nvPicPr>
                        <pic:blipFill>
                          <a:blip r:embed="rId14"/>
                          <a:stretch>
                            <a:fillRect/>
                          </a:stretch>
                        </pic:blipFill>
                        <pic:spPr>
                          <a:xfrm>
                            <a:off x="0" y="0"/>
                            <a:ext cx="1627505" cy="1463040"/>
                          </a:xfrm>
                          <a:prstGeom prst="rect">
                            <a:avLst/>
                          </a:prstGeom>
                          <a:noFill/>
                          <a:ln>
                            <a:noFill/>
                          </a:ln>
                        </pic:spPr>
                      </pic:pic>
                    </a:graphicData>
                  </a:graphic>
                </wp:anchor>
              </w:drawing>
            </w:r>
            <w:r>
              <w:rPr>
                <w:rFonts w:hint="eastAsia" w:ascii="宋体" w:hAnsi="宋体" w:eastAsia="宋体" w:cs="宋体"/>
                <w:color w:val="000000"/>
                <w:kern w:val="0"/>
                <w:sz w:val="16"/>
                <w:szCs w:val="16"/>
                <w:bdr w:val="single" w:color="000000" w:sz="4" w:space="0"/>
              </w:rPr>
              <w:drawing>
                <wp:anchor distT="0" distB="0" distL="114300" distR="114300" simplePos="0" relativeHeight="251665408" behindDoc="0" locked="0" layoutInCell="1" allowOverlap="1">
                  <wp:simplePos x="0" y="0"/>
                  <wp:positionH relativeFrom="column">
                    <wp:posOffset>133350</wp:posOffset>
                  </wp:positionH>
                  <wp:positionV relativeFrom="paragraph">
                    <wp:posOffset>3343275</wp:posOffset>
                  </wp:positionV>
                  <wp:extent cx="1499235" cy="1341120"/>
                  <wp:effectExtent l="0" t="0" r="5715" b="11430"/>
                  <wp:wrapNone/>
                  <wp:docPr id="65" name="图片_12"/>
                  <wp:cNvGraphicFramePr/>
                  <a:graphic xmlns:a="http://schemas.openxmlformats.org/drawingml/2006/main">
                    <a:graphicData uri="http://schemas.openxmlformats.org/drawingml/2006/picture">
                      <pic:pic xmlns:pic="http://schemas.openxmlformats.org/drawingml/2006/picture">
                        <pic:nvPicPr>
                          <pic:cNvPr id="65" name="图片_12"/>
                          <pic:cNvPicPr/>
                        </pic:nvPicPr>
                        <pic:blipFill>
                          <a:blip r:embed="rId15"/>
                          <a:stretch>
                            <a:fillRect/>
                          </a:stretch>
                        </pic:blipFill>
                        <pic:spPr>
                          <a:xfrm>
                            <a:off x="0" y="0"/>
                            <a:ext cx="1499235" cy="1341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1" w:hRule="atLeast"/>
        </w:trPr>
        <w:tc>
          <w:tcPr>
            <w:tcW w:w="486" w:type="dxa"/>
            <w:vMerge w:val="continue"/>
            <w:noWrap/>
            <w:vAlign w:val="center"/>
          </w:tcPr>
          <w:p>
            <w:pPr>
              <w:widowControl/>
              <w:jc w:val="center"/>
              <w:textAlignment w:val="center"/>
              <w:rPr>
                <w:rFonts w:ascii="宋体" w:hAnsi="宋体" w:eastAsia="宋体" w:cs="宋体"/>
                <w:color w:val="000000"/>
                <w:sz w:val="18"/>
                <w:szCs w:val="18"/>
              </w:rPr>
            </w:pPr>
          </w:p>
        </w:tc>
        <w:tc>
          <w:tcPr>
            <w:tcW w:w="808" w:type="dxa"/>
            <w:vMerge w:val="continue"/>
            <w:noWrap/>
            <w:vAlign w:val="center"/>
          </w:tcPr>
          <w:p>
            <w:pPr>
              <w:widowControl/>
              <w:jc w:val="center"/>
              <w:textAlignment w:val="center"/>
              <w:rPr>
                <w:rFonts w:ascii="宋体" w:hAnsi="宋体" w:eastAsia="宋体" w:cs="宋体"/>
                <w:color w:val="000000"/>
                <w:sz w:val="18"/>
                <w:szCs w:val="18"/>
              </w:rPr>
            </w:pPr>
          </w:p>
        </w:tc>
        <w:tc>
          <w:tcPr>
            <w:tcW w:w="1144" w:type="dxa"/>
            <w:noWrap/>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课椅</w:t>
            </w:r>
          </w:p>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430*380*380-460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A.靠背：1、材质采用符合国家标准的PP耐冲击一级新料一体射出成型，通过采用经UV工艺处理的木纹整体包覆使表面具有原木色调及花纹，确保表面耐脏、耐磨、光洁美观；色调与花纹与桌面保持一致。</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2、尺寸：410mm*280mm*60mm。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6"/>
                <w:szCs w:val="16"/>
                <w:bdr w:val="single" w:color="000000" w:sz="4" w:space="0"/>
              </w:rPr>
              <w:drawing>
                <wp:anchor distT="0" distB="0" distL="114300" distR="114300" simplePos="0" relativeHeight="251666432" behindDoc="0" locked="0" layoutInCell="1" allowOverlap="1">
                  <wp:simplePos x="0" y="0"/>
                  <wp:positionH relativeFrom="column">
                    <wp:posOffset>3265170</wp:posOffset>
                  </wp:positionH>
                  <wp:positionV relativeFrom="paragraph">
                    <wp:posOffset>13970</wp:posOffset>
                  </wp:positionV>
                  <wp:extent cx="972185" cy="1245235"/>
                  <wp:effectExtent l="0" t="0" r="18415" b="12065"/>
                  <wp:wrapNone/>
                  <wp:docPr id="96" name="图片_4"/>
                  <wp:cNvGraphicFramePr/>
                  <a:graphic xmlns:a="http://schemas.openxmlformats.org/drawingml/2006/main">
                    <a:graphicData uri="http://schemas.openxmlformats.org/drawingml/2006/picture">
                      <pic:pic xmlns:pic="http://schemas.openxmlformats.org/drawingml/2006/picture">
                        <pic:nvPicPr>
                          <pic:cNvPr id="96" name="图片_4"/>
                          <pic:cNvPicPr/>
                        </pic:nvPicPr>
                        <pic:blipFill>
                          <a:blip r:embed="rId16"/>
                          <a:stretch>
                            <a:fillRect/>
                          </a:stretch>
                        </pic:blipFill>
                        <pic:spPr>
                          <a:xfrm>
                            <a:off x="0" y="0"/>
                            <a:ext cx="972185" cy="1245235"/>
                          </a:xfrm>
                          <a:prstGeom prst="rect">
                            <a:avLst/>
                          </a:prstGeom>
                          <a:noFill/>
                          <a:ln>
                            <a:noFill/>
                          </a:ln>
                        </pic:spPr>
                      </pic:pic>
                    </a:graphicData>
                  </a:graphic>
                </wp:anchor>
              </w:drawing>
            </w:r>
            <w:r>
              <w:rPr>
                <w:rFonts w:hint="eastAsia" w:ascii="宋体" w:hAnsi="宋体" w:eastAsia="宋体" w:cs="宋体"/>
                <w:color w:val="000000"/>
                <w:kern w:val="0"/>
                <w:sz w:val="18"/>
                <w:szCs w:val="18"/>
                <w:lang w:bidi="ar"/>
              </w:rPr>
              <w:t>3、外观：表面麻面或纹理处理，不反光。</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4、与课桌同色。设有通风孔（80mm*6mm）及手提口。</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5、靠背两侧有半镂空设计，模具一体成型，两列半镂空之间距离为300mm。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6、单列半镂空尺寸:27mm*270mm。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6"/>
                <w:szCs w:val="16"/>
                <w:bdr w:val="single" w:color="000000" w:sz="4" w:space="0"/>
              </w:rPr>
              <w:drawing>
                <wp:anchor distT="0" distB="0" distL="114300" distR="114300" simplePos="0" relativeHeight="251667456" behindDoc="0" locked="0" layoutInCell="1" allowOverlap="1">
                  <wp:simplePos x="0" y="0"/>
                  <wp:positionH relativeFrom="column">
                    <wp:posOffset>3274695</wp:posOffset>
                  </wp:positionH>
                  <wp:positionV relativeFrom="paragraph">
                    <wp:posOffset>560705</wp:posOffset>
                  </wp:positionV>
                  <wp:extent cx="920115" cy="810260"/>
                  <wp:effectExtent l="0" t="0" r="13335" b="8890"/>
                  <wp:wrapNone/>
                  <wp:docPr id="91" name="图片_3"/>
                  <wp:cNvGraphicFramePr/>
                  <a:graphic xmlns:a="http://schemas.openxmlformats.org/drawingml/2006/main">
                    <a:graphicData uri="http://schemas.openxmlformats.org/drawingml/2006/picture">
                      <pic:pic xmlns:pic="http://schemas.openxmlformats.org/drawingml/2006/picture">
                        <pic:nvPicPr>
                          <pic:cNvPr id="91" name="图片_3"/>
                          <pic:cNvPicPr/>
                        </pic:nvPicPr>
                        <pic:blipFill>
                          <a:blip r:embed="rId17"/>
                          <a:stretch>
                            <a:fillRect/>
                          </a:stretch>
                        </pic:blipFill>
                        <pic:spPr>
                          <a:xfrm>
                            <a:off x="0" y="0"/>
                            <a:ext cx="920115" cy="810260"/>
                          </a:xfrm>
                          <a:prstGeom prst="rect">
                            <a:avLst/>
                          </a:prstGeom>
                          <a:noFill/>
                          <a:ln>
                            <a:noFill/>
                          </a:ln>
                        </pic:spPr>
                      </pic:pic>
                    </a:graphicData>
                  </a:graphic>
                </wp:anchor>
              </w:drawing>
            </w:r>
            <w:r>
              <w:rPr>
                <w:rFonts w:hint="eastAsia" w:ascii="宋体" w:hAnsi="宋体" w:eastAsia="宋体" w:cs="宋体"/>
                <w:color w:val="000000"/>
                <w:kern w:val="0"/>
                <w:sz w:val="18"/>
                <w:szCs w:val="18"/>
                <w:lang w:bidi="ar"/>
              </w:rPr>
              <w:t>7、单列半镂空由24个间隔组成。                                                 B.坐垫：1、采用符合国家标准的PP耐冲击一级新料一体射出成型，通过采用经UV工艺处理的木纹整体包覆使表面具有原木色调及花纹，确保表面耐脏、耐磨、光洁美观；色调与花纹与桌面保持一致。</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2、尺寸：430mm*380mm*67mm。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3、外观：表面麻面或纹理处理，不反光。</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4、设计：符合人体工程学弧形设计，久坐舒适。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5、与课桌同色。设有15条阵列排布通风孔（80mm*6mm）。                                   C.椅钢架：1、材质及形状：椭圆形管材。</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2、结构：椅架拆装式组，钢管尺寸：37*68*1.2mm；25*54*1.2mm；组装横档采用25.54.1.2扁圆管,椅脚采用30*60*1.2mm椭圆管，压弯成型；采用全周满焊焊接而成，结构牢固，长期使用也不会产生摇晃、松散的现象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3、表面涂装：椅架焊接后，表面须经静电粉末喷涂。长时间使用也不会产生表面漆剥落现象。</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4、高度调节：旋钮调节                                                                      D.脚垫：材质：采用环保级PP加耐磨纤维塑料一体射出而成，耐磨抗老化。长期使用不脱落， 贴合体型设计。</w:t>
            </w:r>
          </w:p>
        </w:tc>
        <w:tc>
          <w:tcPr>
            <w:tcW w:w="582" w:type="dxa"/>
            <w:vMerge w:val="continue"/>
            <w:noWrap/>
            <w:vAlign w:val="center"/>
          </w:tcPr>
          <w:p>
            <w:pPr>
              <w:jc w:val="center"/>
              <w:rPr>
                <w:rFonts w:ascii="宋体" w:hAnsi="宋体" w:eastAsia="宋体" w:cs="宋体"/>
                <w:color w:val="000000"/>
                <w:sz w:val="18"/>
                <w:szCs w:val="18"/>
              </w:rPr>
            </w:pPr>
          </w:p>
        </w:tc>
        <w:tc>
          <w:tcPr>
            <w:tcW w:w="487" w:type="dxa"/>
            <w:vMerge w:val="continue"/>
            <w:noWrap/>
            <w:vAlign w:val="center"/>
          </w:tcPr>
          <w:p>
            <w:pPr>
              <w:jc w:val="center"/>
              <w:rPr>
                <w:rFonts w:ascii="宋体" w:hAnsi="宋体" w:eastAsia="宋体" w:cs="宋体"/>
                <w:color w:val="000000"/>
                <w:sz w:val="18"/>
                <w:szCs w:val="18"/>
              </w:rPr>
            </w:pPr>
          </w:p>
        </w:tc>
        <w:tc>
          <w:tcPr>
            <w:tcW w:w="3065" w:type="dxa"/>
            <w:vMerge w:val="continue"/>
            <w:noWrap/>
            <w:vAlign w:val="center"/>
          </w:tcPr>
          <w:p>
            <w:pPr>
              <w:jc w:val="center"/>
              <w:rPr>
                <w:rFonts w:ascii="宋体" w:hAnsi="宋体" w:eastAsia="宋体" w:cs="宋体"/>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讲台</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1100*750*1100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1：箱体采用复合材料一体成型技术，分体式设计。材料：2—1.2mm冷轧钢板，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  桌面、扶手采用20mm橡木材料表面做防划耐磨处理。</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2：讲台规格：（长）1100*（深）750*（高）*1100 单位：毫米</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3：工艺：讲台采用分体式结构流线型设计美观大方，主要部件采用一次成型技术和组件防刮伤工艺，整体采用激光无痕焊接，柜体边角采用流线圆弧设计，更好保护学生的安全，材料经过酸洗、磷化、除锈、防腐，静电喷涂处。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前、后门使用双卡锁具有极强的抗冲击力提高了设备安全性，LOGO装饰板，独特的开合式前门设计，不用打开前门即可使用计算机光驱播放，柜体内部采用国际英制标准机架设计确保通用性，要求讲台只用一把锁实现全部控制。</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63</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20955</wp:posOffset>
                  </wp:positionH>
                  <wp:positionV relativeFrom="paragraph">
                    <wp:posOffset>408940</wp:posOffset>
                  </wp:positionV>
                  <wp:extent cx="1818005" cy="1539240"/>
                  <wp:effectExtent l="0" t="0" r="10795" b="3810"/>
                  <wp:wrapNone/>
                  <wp:docPr id="97" name="图片_24"/>
                  <wp:cNvGraphicFramePr/>
                  <a:graphic xmlns:a="http://schemas.openxmlformats.org/drawingml/2006/main">
                    <a:graphicData uri="http://schemas.openxmlformats.org/drawingml/2006/picture">
                      <pic:pic xmlns:pic="http://schemas.openxmlformats.org/drawingml/2006/picture">
                        <pic:nvPicPr>
                          <pic:cNvPr id="97" name="图片_24"/>
                          <pic:cNvPicPr/>
                        </pic:nvPicPr>
                        <pic:blipFill>
                          <a:blip r:embed="rId18"/>
                          <a:stretch>
                            <a:fillRect/>
                          </a:stretch>
                        </pic:blipFill>
                        <pic:spPr>
                          <a:xfrm>
                            <a:off x="0" y="0"/>
                            <a:ext cx="1818005" cy="1539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软木板</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4000*1200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软木板，镀锌板十瓦楞纸十K丅板十软木纸十绿麻布。四周边框用豪华型铝边框。包角ABS工程塑料。外框尺寸，4000*1200mm</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块</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47625</wp:posOffset>
                  </wp:positionH>
                  <wp:positionV relativeFrom="paragraph">
                    <wp:posOffset>123825</wp:posOffset>
                  </wp:positionV>
                  <wp:extent cx="1791335" cy="576580"/>
                  <wp:effectExtent l="0" t="0" r="18415" b="13970"/>
                  <wp:wrapNone/>
                  <wp:docPr id="90" name="图片_5"/>
                  <wp:cNvGraphicFramePr/>
                  <a:graphic xmlns:a="http://schemas.openxmlformats.org/drawingml/2006/main">
                    <a:graphicData uri="http://schemas.openxmlformats.org/drawingml/2006/picture">
                      <pic:pic xmlns:pic="http://schemas.openxmlformats.org/drawingml/2006/picture">
                        <pic:nvPicPr>
                          <pic:cNvPr id="90" name="图片_5"/>
                          <pic:cNvPicPr/>
                        </pic:nvPicPr>
                        <pic:blipFill>
                          <a:blip r:embed="rId19"/>
                          <a:stretch>
                            <a:fillRect/>
                          </a:stretch>
                        </pic:blipFill>
                        <pic:spPr>
                          <a:xfrm>
                            <a:off x="0" y="0"/>
                            <a:ext cx="1791335" cy="576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7</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教室地台</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4800*1000*150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台身采用30*30*1.5mm钢管作为骨架，四周及面采用25mm厚橡木板制作，面层采用1.2mm实木复合地板铺置成型，表面抗磨抗压，环保无味，四周边角采用铝合金包边，美观大方。</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0528" behindDoc="0" locked="0" layoutInCell="1" allowOverlap="1">
                  <wp:simplePos x="0" y="0"/>
                  <wp:positionH relativeFrom="column">
                    <wp:posOffset>29210</wp:posOffset>
                  </wp:positionH>
                  <wp:positionV relativeFrom="paragraph">
                    <wp:posOffset>100330</wp:posOffset>
                  </wp:positionV>
                  <wp:extent cx="1809750" cy="767715"/>
                  <wp:effectExtent l="0" t="0" r="0" b="13335"/>
                  <wp:wrapNone/>
                  <wp:docPr id="92" name="图片_23"/>
                  <wp:cNvGraphicFramePr/>
                  <a:graphic xmlns:a="http://schemas.openxmlformats.org/drawingml/2006/main">
                    <a:graphicData uri="http://schemas.openxmlformats.org/drawingml/2006/picture">
                      <pic:pic xmlns:pic="http://schemas.openxmlformats.org/drawingml/2006/picture">
                        <pic:nvPicPr>
                          <pic:cNvPr id="92" name="图片_23"/>
                          <pic:cNvPicPr/>
                        </pic:nvPicPr>
                        <pic:blipFill>
                          <a:blip r:embed="rId20"/>
                          <a:stretch>
                            <a:fillRect/>
                          </a:stretch>
                        </pic:blipFill>
                        <pic:spPr>
                          <a:xfrm>
                            <a:off x="0" y="0"/>
                            <a:ext cx="1809750" cy="767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8</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阅览桌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2400*1000*750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白橡木实木制作，厚度40mm。桌脚尺寸60*60mm，与立水衔接出造型美观可爱、结构稳固结实，为面板提供稳固支撑力，承重实木脚粗细有致，身姿挺拔，提供稳固支撑，同时增添造型美感。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10795</wp:posOffset>
                  </wp:positionH>
                  <wp:positionV relativeFrom="paragraph">
                    <wp:posOffset>66675</wp:posOffset>
                  </wp:positionV>
                  <wp:extent cx="1828165" cy="1240155"/>
                  <wp:effectExtent l="0" t="0" r="635" b="17145"/>
                  <wp:wrapNone/>
                  <wp:docPr id="98" name="图片_25"/>
                  <wp:cNvGraphicFramePr/>
                  <a:graphic xmlns:a="http://schemas.openxmlformats.org/drawingml/2006/main">
                    <a:graphicData uri="http://schemas.openxmlformats.org/drawingml/2006/picture">
                      <pic:pic xmlns:pic="http://schemas.openxmlformats.org/drawingml/2006/picture">
                        <pic:nvPicPr>
                          <pic:cNvPr id="98" name="图片_25"/>
                          <pic:cNvPicPr/>
                        </pic:nvPicPr>
                        <pic:blipFill>
                          <a:blip r:embed="rId21"/>
                          <a:stretch>
                            <a:fillRect/>
                          </a:stretch>
                        </pic:blipFill>
                        <pic:spPr>
                          <a:xfrm>
                            <a:off x="0" y="0"/>
                            <a:ext cx="1828165" cy="1240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9</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阅览椅</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620*530*970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采用白橡木实木制作，全榫卯结构。油漆：木器专用环保聚脂漆，采用自动喷涂线密闭油饰，五底三面，透明度高，附着力强，色泽美观，不变色，光滑耐磨，手感好,漆膜硬度达2H以上，符合GB18581-2009标准。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168</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325120</wp:posOffset>
                  </wp:positionH>
                  <wp:positionV relativeFrom="paragraph">
                    <wp:posOffset>66675</wp:posOffset>
                  </wp:positionV>
                  <wp:extent cx="1050925" cy="1268095"/>
                  <wp:effectExtent l="0" t="0" r="15875" b="8255"/>
                  <wp:wrapNone/>
                  <wp:docPr id="79" name="图片_26"/>
                  <wp:cNvGraphicFramePr/>
                  <a:graphic xmlns:a="http://schemas.openxmlformats.org/drawingml/2006/main">
                    <a:graphicData uri="http://schemas.openxmlformats.org/drawingml/2006/picture">
                      <pic:pic xmlns:pic="http://schemas.openxmlformats.org/drawingml/2006/picture">
                        <pic:nvPicPr>
                          <pic:cNvPr id="79" name="图片_26"/>
                          <pic:cNvPicPr/>
                        </pic:nvPicPr>
                        <pic:blipFill>
                          <a:blip r:embed="rId22"/>
                          <a:stretch>
                            <a:fillRect/>
                          </a:stretch>
                        </pic:blipFill>
                        <pic:spPr>
                          <a:xfrm>
                            <a:off x="0" y="0"/>
                            <a:ext cx="1050925" cy="1268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10</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椅子</w:t>
            </w:r>
          </w:p>
        </w:tc>
        <w:tc>
          <w:tcPr>
            <w:tcW w:w="1144" w:type="dxa"/>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560*437*830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1.材质：采用白橡木实木，榫卯结构，结实牢靠。木质纹理通达清晰，外观鲜明光亮。木蜡油特殊处理，防止虫蛀，腐烂，开裂。                                                    2，高密度回弹海绵填充；</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3.采用棉麻布料。</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3600" behindDoc="0" locked="0" layoutInCell="1" allowOverlap="1">
                  <wp:simplePos x="0" y="0"/>
                  <wp:positionH relativeFrom="column">
                    <wp:posOffset>97155</wp:posOffset>
                  </wp:positionH>
                  <wp:positionV relativeFrom="paragraph">
                    <wp:posOffset>162560</wp:posOffset>
                  </wp:positionV>
                  <wp:extent cx="1439545" cy="1056640"/>
                  <wp:effectExtent l="0" t="0" r="8255" b="10160"/>
                  <wp:wrapNone/>
                  <wp:docPr id="93" name="图片_32"/>
                  <wp:cNvGraphicFramePr/>
                  <a:graphic xmlns:a="http://schemas.openxmlformats.org/drawingml/2006/main">
                    <a:graphicData uri="http://schemas.openxmlformats.org/drawingml/2006/picture">
                      <pic:pic xmlns:pic="http://schemas.openxmlformats.org/drawingml/2006/picture">
                        <pic:nvPicPr>
                          <pic:cNvPr id="93" name="图片_32"/>
                          <pic:cNvPicPr/>
                        </pic:nvPicPr>
                        <pic:blipFill>
                          <a:blip r:embed="rId23"/>
                          <a:stretch>
                            <a:fillRect/>
                          </a:stretch>
                        </pic:blipFill>
                        <pic:spPr>
                          <a:xfrm>
                            <a:off x="0" y="0"/>
                            <a:ext cx="1439545" cy="10566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11</w:t>
            </w:r>
          </w:p>
        </w:tc>
        <w:tc>
          <w:tcPr>
            <w:tcW w:w="808"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会客桌</w:t>
            </w:r>
          </w:p>
        </w:tc>
        <w:tc>
          <w:tcPr>
            <w:tcW w:w="1144"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Φ800*750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1.材质：采用白橡木实木，榫卯结构，结实牢靠。木质纹理通达清晰，外观鲜明光亮。木蜡油特殊处理，防止虫蛀，腐烂，开裂。                                      </w:t>
            </w:r>
          </w:p>
        </w:tc>
        <w:tc>
          <w:tcPr>
            <w:tcW w:w="582"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487"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3065" w:type="dxa"/>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304800</wp:posOffset>
                  </wp:positionH>
                  <wp:positionV relativeFrom="paragraph">
                    <wp:posOffset>66675</wp:posOffset>
                  </wp:positionV>
                  <wp:extent cx="1363980" cy="1590675"/>
                  <wp:effectExtent l="0" t="0" r="7620" b="9525"/>
                  <wp:wrapNone/>
                  <wp:docPr id="94" name="图片_34"/>
                  <wp:cNvGraphicFramePr/>
                  <a:graphic xmlns:a="http://schemas.openxmlformats.org/drawingml/2006/main">
                    <a:graphicData uri="http://schemas.openxmlformats.org/drawingml/2006/picture">
                      <pic:pic xmlns:pic="http://schemas.openxmlformats.org/drawingml/2006/picture">
                        <pic:nvPicPr>
                          <pic:cNvPr id="94" name="图片_34"/>
                          <pic:cNvPicPr/>
                        </pic:nvPicPr>
                        <pic:blipFill>
                          <a:blip r:embed="rId24"/>
                          <a:stretch>
                            <a:fillRect/>
                          </a:stretch>
                        </pic:blipFill>
                        <pic:spPr>
                          <a:xfrm>
                            <a:off x="0" y="0"/>
                            <a:ext cx="1363980" cy="1590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2</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800*800*750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面板：采用橡胶木</w:t>
            </w:r>
            <w:r>
              <w:rPr>
                <w:rFonts w:hint="eastAsia" w:ascii="宋体" w:hAnsi="宋体" w:eastAsia="宋体" w:cs="宋体"/>
                <w:color w:val="000000"/>
                <w:kern w:val="0"/>
                <w:sz w:val="18"/>
                <w:szCs w:val="18"/>
                <w:lang w:val="en-US" w:eastAsia="zh-CN" w:bidi="ar"/>
              </w:rPr>
              <w:t>指接板</w:t>
            </w:r>
            <w:r>
              <w:rPr>
                <w:rFonts w:hint="eastAsia" w:ascii="宋体" w:hAnsi="宋体" w:eastAsia="宋体" w:cs="宋体"/>
                <w:color w:val="000000"/>
                <w:kern w:val="0"/>
                <w:sz w:val="18"/>
                <w:szCs w:val="18"/>
                <w:lang w:bidi="ar"/>
              </w:rPr>
              <w:t>实木制，表面采用白色烤漆制作；                                                木架：采用橡胶木</w:t>
            </w:r>
            <w:r>
              <w:rPr>
                <w:rFonts w:hint="eastAsia" w:ascii="宋体" w:hAnsi="宋体" w:eastAsia="宋体" w:cs="宋体"/>
                <w:color w:val="000000"/>
                <w:kern w:val="0"/>
                <w:sz w:val="18"/>
                <w:szCs w:val="18"/>
                <w:lang w:val="en-US" w:eastAsia="zh-CN" w:bidi="ar"/>
              </w:rPr>
              <w:t>指接板</w:t>
            </w:r>
            <w:r>
              <w:rPr>
                <w:rFonts w:hint="eastAsia" w:ascii="宋体" w:hAnsi="宋体" w:eastAsia="宋体" w:cs="宋体"/>
                <w:color w:val="000000"/>
                <w:kern w:val="0"/>
                <w:sz w:val="18"/>
                <w:szCs w:val="18"/>
                <w:lang w:bidi="ar"/>
              </w:rPr>
              <w:t>实木制，采用</w:t>
            </w:r>
            <w:r>
              <w:rPr>
                <w:rFonts w:hint="eastAsia"/>
                <w:sz w:val="18"/>
                <w:szCs w:val="18"/>
              </w:rPr>
              <w:t>水性漆</w:t>
            </w:r>
            <w:r>
              <w:rPr>
                <w:rFonts w:hint="eastAsia" w:ascii="宋体" w:hAnsi="宋体" w:eastAsia="宋体" w:cs="宋体"/>
                <w:color w:val="000000"/>
                <w:kern w:val="0"/>
                <w:sz w:val="18"/>
                <w:szCs w:val="18"/>
                <w:lang w:bidi="ar"/>
              </w:rPr>
              <w:t>，经五底三面油漆工艺处理。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五金配件：采用五金配件，连接牢靠，经久耐用。</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5648" behindDoc="0" locked="0" layoutInCell="1" allowOverlap="1">
                  <wp:simplePos x="0" y="0"/>
                  <wp:positionH relativeFrom="column">
                    <wp:posOffset>420370</wp:posOffset>
                  </wp:positionH>
                  <wp:positionV relativeFrom="paragraph">
                    <wp:posOffset>128905</wp:posOffset>
                  </wp:positionV>
                  <wp:extent cx="962025" cy="1005205"/>
                  <wp:effectExtent l="0" t="0" r="9525" b="4445"/>
                  <wp:wrapNone/>
                  <wp:docPr id="69" name="图片_31"/>
                  <wp:cNvGraphicFramePr/>
                  <a:graphic xmlns:a="http://schemas.openxmlformats.org/drawingml/2006/main">
                    <a:graphicData uri="http://schemas.openxmlformats.org/drawingml/2006/picture">
                      <pic:pic xmlns:pic="http://schemas.openxmlformats.org/drawingml/2006/picture">
                        <pic:nvPicPr>
                          <pic:cNvPr id="69" name="图片_31"/>
                          <pic:cNvPicPr/>
                        </pic:nvPicPr>
                        <pic:blipFill>
                          <a:blip r:embed="rId25"/>
                          <a:stretch>
                            <a:fillRect/>
                          </a:stretch>
                        </pic:blipFill>
                        <pic:spPr>
                          <a:xfrm>
                            <a:off x="0" y="0"/>
                            <a:ext cx="962025" cy="1005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3</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藤椅</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常规 </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藤编工艺，PE编藤材质，坚韧耐用，韧性强，抗撕裂，防水防嗮，方便清洗。方木铝合金框架，铝合金材质硬度强，古铜色木纹，防水防潮不生锈。底部井字加固承重性强。</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76672" behindDoc="0" locked="0" layoutInCell="1" allowOverlap="1">
                  <wp:simplePos x="0" y="0"/>
                  <wp:positionH relativeFrom="column">
                    <wp:posOffset>361950</wp:posOffset>
                  </wp:positionH>
                  <wp:positionV relativeFrom="paragraph">
                    <wp:posOffset>104775</wp:posOffset>
                  </wp:positionV>
                  <wp:extent cx="1106805" cy="1202055"/>
                  <wp:effectExtent l="0" t="0" r="17145" b="17145"/>
                  <wp:wrapNone/>
                  <wp:docPr id="73" name="图片_29"/>
                  <wp:cNvGraphicFramePr/>
                  <a:graphic xmlns:a="http://schemas.openxmlformats.org/drawingml/2006/main">
                    <a:graphicData uri="http://schemas.openxmlformats.org/drawingml/2006/picture">
                      <pic:pic xmlns:pic="http://schemas.openxmlformats.org/drawingml/2006/picture">
                        <pic:nvPicPr>
                          <pic:cNvPr id="73" name="图片_29"/>
                          <pic:cNvPicPr/>
                        </pic:nvPicPr>
                        <pic:blipFill>
                          <a:blip r:embed="rId26"/>
                          <a:stretch>
                            <a:fillRect/>
                          </a:stretch>
                        </pic:blipFill>
                        <pic:spPr>
                          <a:xfrm>
                            <a:off x="0" y="0"/>
                            <a:ext cx="1106805" cy="1202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4</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直径600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 钢化玻璃桌面，抗压性强，耐高温。桌面四周铝合金包边，不易破碎，易清洗，防嗮、防水、不生锈，耐腐蚀。桌脚为加厚铝合金框架，结构稳固，不易生锈。</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77696" behindDoc="0" locked="0" layoutInCell="1" allowOverlap="1">
                  <wp:simplePos x="0" y="0"/>
                  <wp:positionH relativeFrom="column">
                    <wp:posOffset>381000</wp:posOffset>
                  </wp:positionH>
                  <wp:positionV relativeFrom="paragraph">
                    <wp:posOffset>85725</wp:posOffset>
                  </wp:positionV>
                  <wp:extent cx="1096645" cy="949960"/>
                  <wp:effectExtent l="0" t="0" r="8255" b="2540"/>
                  <wp:wrapNone/>
                  <wp:docPr id="95" name="图片_28"/>
                  <wp:cNvGraphicFramePr/>
                  <a:graphic xmlns:a="http://schemas.openxmlformats.org/drawingml/2006/main">
                    <a:graphicData uri="http://schemas.openxmlformats.org/drawingml/2006/picture">
                      <pic:pic xmlns:pic="http://schemas.openxmlformats.org/drawingml/2006/picture">
                        <pic:nvPicPr>
                          <pic:cNvPr id="95" name="图片_28"/>
                          <pic:cNvPicPr/>
                        </pic:nvPicPr>
                        <pic:blipFill>
                          <a:blip r:embed="rId27"/>
                          <a:stretch>
                            <a:fillRect/>
                          </a:stretch>
                        </pic:blipFill>
                        <pic:spPr>
                          <a:xfrm>
                            <a:off x="0" y="0"/>
                            <a:ext cx="1096645" cy="949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5</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阅览桌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2200*1400*750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白橡木实木制作，厚度40mm。桌脚尺寸60*60mm，与立水衔接出造型美观可爱、结构稳固结实，为面板提供稳固支撑力，承重实木脚粗细有致，身姿挺拔，提供稳固支撑，同时增添造型美感。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678720" behindDoc="0" locked="0" layoutInCell="1" allowOverlap="1">
                  <wp:simplePos x="0" y="0"/>
                  <wp:positionH relativeFrom="column">
                    <wp:posOffset>10795</wp:posOffset>
                  </wp:positionH>
                  <wp:positionV relativeFrom="paragraph">
                    <wp:posOffset>66675</wp:posOffset>
                  </wp:positionV>
                  <wp:extent cx="1828165" cy="1240155"/>
                  <wp:effectExtent l="0" t="0" r="635" b="17145"/>
                  <wp:wrapNone/>
                  <wp:docPr id="84" name="图片_30"/>
                  <wp:cNvGraphicFramePr/>
                  <a:graphic xmlns:a="http://schemas.openxmlformats.org/drawingml/2006/main">
                    <a:graphicData uri="http://schemas.openxmlformats.org/drawingml/2006/picture">
                      <pic:pic xmlns:pic="http://schemas.openxmlformats.org/drawingml/2006/picture">
                        <pic:nvPicPr>
                          <pic:cNvPr id="84" name="图片_30"/>
                          <pic:cNvPicPr/>
                        </pic:nvPicPr>
                        <pic:blipFill>
                          <a:blip r:embed="rId21"/>
                          <a:stretch>
                            <a:fillRect/>
                          </a:stretch>
                        </pic:blipFill>
                        <pic:spPr>
                          <a:xfrm>
                            <a:off x="0" y="0"/>
                            <a:ext cx="1828165" cy="1240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计算机学生桌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1500*600*750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桌面板材质说明：面板基层采用防水，防潮,防火,耐高温25mm厚多层板热压成型，贴三聚氰胺饰面纸，耐划，坚固、美观、产品完全符合国家标准，其甲醛释放量为零。桌面封边条：采用厚度≥2.0mm耐老化PVC封边条封边，甲醛释放量达到国家环保水平。</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桌架：采用铝合金经模具压注成形，壁厚为T3.1mm。其上节为30*325mm椭圆形长方形，下节采用30*400mm长方形,高度30*725mm一次性压注成形，喷涂采用静电喷塑高温固化，使涂层与金属表面的附着力更强，不易腐蚀，不易脱落。烤漆粉经过专业机构检测，符合国家安全标准。具体用料及规格由投标方科学合理设计，结构牢固，协调美观。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桌面支撑杆底部安装防损护套，护套采用ABS工程塑料一次注塑成型，地脚面安装有防损护套，护套采用ABS工程塑料一次注塑成型。</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4.前挡板、旁板材质：采用冷轧钢板冲压星形孔等距离排布，自然冷式散热设计，美观大方。</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5、桌脚垫：前支撑脚脚底均须设置防滑及防噪音的ABS塑料脚。</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116</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79744" behindDoc="0" locked="0" layoutInCell="1" allowOverlap="1">
                  <wp:simplePos x="0" y="0"/>
                  <wp:positionH relativeFrom="column">
                    <wp:posOffset>85090</wp:posOffset>
                  </wp:positionH>
                  <wp:positionV relativeFrom="paragraph">
                    <wp:posOffset>269240</wp:posOffset>
                  </wp:positionV>
                  <wp:extent cx="1710055" cy="1354455"/>
                  <wp:effectExtent l="0" t="0" r="4445" b="17145"/>
                  <wp:wrapNone/>
                  <wp:docPr id="99" name="图片_93"/>
                  <wp:cNvGraphicFramePr/>
                  <a:graphic xmlns:a="http://schemas.openxmlformats.org/drawingml/2006/main">
                    <a:graphicData uri="http://schemas.openxmlformats.org/drawingml/2006/picture">
                      <pic:pic xmlns:pic="http://schemas.openxmlformats.org/drawingml/2006/picture">
                        <pic:nvPicPr>
                          <pic:cNvPr id="99" name="图片_93"/>
                          <pic:cNvPicPr/>
                        </pic:nvPicPr>
                        <pic:blipFill>
                          <a:blip r:embed="rId28"/>
                          <a:stretch>
                            <a:fillRect/>
                          </a:stretch>
                        </pic:blipFill>
                        <pic:spPr>
                          <a:xfrm>
                            <a:off x="0" y="0"/>
                            <a:ext cx="1710055" cy="1354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7</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资料柜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850*390*1850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850*390*1850，材质：采用宝钢冷轧钢板、厚度≥0.8mm，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680768" behindDoc="0" locked="0" layoutInCell="1" allowOverlap="1">
                  <wp:simplePos x="0" y="0"/>
                  <wp:positionH relativeFrom="column">
                    <wp:posOffset>525780</wp:posOffset>
                  </wp:positionH>
                  <wp:positionV relativeFrom="paragraph">
                    <wp:posOffset>76835</wp:posOffset>
                  </wp:positionV>
                  <wp:extent cx="753745" cy="1427480"/>
                  <wp:effectExtent l="0" t="0" r="8255" b="1270"/>
                  <wp:wrapNone/>
                  <wp:docPr id="86" name="Picture_209"/>
                  <wp:cNvGraphicFramePr/>
                  <a:graphic xmlns:a="http://schemas.openxmlformats.org/drawingml/2006/main">
                    <a:graphicData uri="http://schemas.openxmlformats.org/drawingml/2006/picture">
                      <pic:pic xmlns:pic="http://schemas.openxmlformats.org/drawingml/2006/picture">
                        <pic:nvPicPr>
                          <pic:cNvPr id="86" name="Picture_209"/>
                          <pic:cNvPicPr/>
                        </pic:nvPicPr>
                        <pic:blipFill>
                          <a:blip r:embed="rId29"/>
                          <a:stretch>
                            <a:fillRect/>
                          </a:stretch>
                        </pic:blipFill>
                        <pic:spPr>
                          <a:xfrm>
                            <a:off x="0" y="0"/>
                            <a:ext cx="753745" cy="1427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6"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8</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储存架</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1200*450*2000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全钢结构：钢材（钢管、铁板）为主材,主立柱选用80*40*0.8横梁采用60*40*0.8异型钢材，每个器材架设计5层层板，层板采用0.6冷轧板，每层承重200kg，焊接处采用二氧化碳气体保护焊焊接,焊接点平整,无气泡,无虚焊,无脱焊，所有钢制件表面经除油、去锈、磷化（磷化液的磷酸锌含量≥8%）、表面除油、去锈、磷化、环氧树脂粉末(防腐）经过高温固化后，在表面形成一层保护层，环氧树脂保护层具有耐腐蚀，不散发有害气体等特性（环氧树脂涂料抗菌性能为I级，符合抗菌涂料国家标准），喷粉涂层单面厚度70~110um，涂层膜厚度均匀，内外一致，色泽均匀，光滑平整，无流痕、接痕、裂痕、划痕、气泡、色差、杂质。 电喷涂粉末附着力符合要求；硬度（耐磨性）为普通硝基漆的100倍以上，达到GB6739-86标准中的2H要求；耐腐蚀性（盐酸实验）GB1771-91大于500小时整间器材室设计合理排放。</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1792" behindDoc="0" locked="0" layoutInCell="1" allowOverlap="1">
                  <wp:simplePos x="0" y="0"/>
                  <wp:positionH relativeFrom="column">
                    <wp:posOffset>76200</wp:posOffset>
                  </wp:positionH>
                  <wp:positionV relativeFrom="paragraph">
                    <wp:posOffset>628650</wp:posOffset>
                  </wp:positionV>
                  <wp:extent cx="1270635" cy="911225"/>
                  <wp:effectExtent l="0" t="0" r="5715" b="3175"/>
                  <wp:wrapNone/>
                  <wp:docPr id="87" name="图片_70"/>
                  <wp:cNvGraphicFramePr/>
                  <a:graphic xmlns:a="http://schemas.openxmlformats.org/drawingml/2006/main">
                    <a:graphicData uri="http://schemas.openxmlformats.org/drawingml/2006/picture">
                      <pic:pic xmlns:pic="http://schemas.openxmlformats.org/drawingml/2006/picture">
                        <pic:nvPicPr>
                          <pic:cNvPr id="87" name="图片_70"/>
                          <pic:cNvPicPr/>
                        </pic:nvPicPr>
                        <pic:blipFill>
                          <a:blip r:embed="rId30"/>
                          <a:stretch>
                            <a:fillRect/>
                          </a:stretch>
                        </pic:blipFill>
                        <pic:spPr>
                          <a:xfrm>
                            <a:off x="0" y="0"/>
                            <a:ext cx="1270635" cy="911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19</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课桌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1300*500*750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面板材质基层采用25mm厚防水，防潮,防火,耐高温多层板热压成型，产品完全符合国家标准，其甲醛释放量为零。表面采用耐磨、耐高温、耐剐、抗渗透、容易清洁、防潮、不褪色、白板热压。封边条：采用厚度≥2.0mm耐老化PVC封边条封边，甲醛释放量达到国家环保水平。</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2、桌架：采用铝合金经模具压注成形，壁厚为T3.1mm。其上节为30*60mm椭圆形长方形，桌架底座采用50*55mm椭圆形铝合金注压, 立柱跟下底座中间留空，安装自动化固定件 。桌架底座固定4个50MM黑色尼龙脚轮，经过五万次来回阻力疲劳测试无破裂                                                                             3.喷涂采用静电喷塑高温固化，使涂层与金属表面的附着力更强，不易腐蚀，不易脱落。烤漆粉经专业机构检测，符合国家安全标准。具体用料及规格由投标方科学合理设计，结构牢固，协调美观。                                                                                4，功能：当桌面打开使用，黑色尼龙脚轮自动固定锁死，不需要人工固定，当桌面收纳起来，黑色尼龙脚轮自动松开，可以自由推动收纳且收纳并排在一起。</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3065" w:type="dxa"/>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bdr w:val="single" w:color="000000" w:sz="4" w:space="0"/>
              </w:rPr>
              <w:drawing>
                <wp:anchor distT="0" distB="0" distL="114300" distR="114300" simplePos="0" relativeHeight="251682816" behindDoc="0" locked="0" layoutInCell="1" allowOverlap="1">
                  <wp:simplePos x="0" y="0"/>
                  <wp:positionH relativeFrom="column">
                    <wp:posOffset>64770</wp:posOffset>
                  </wp:positionH>
                  <wp:positionV relativeFrom="paragraph">
                    <wp:posOffset>342900</wp:posOffset>
                  </wp:positionV>
                  <wp:extent cx="1574165" cy="1031875"/>
                  <wp:effectExtent l="0" t="0" r="6985" b="15875"/>
                  <wp:wrapNone/>
                  <wp:docPr id="83" name="图片_157"/>
                  <wp:cNvGraphicFramePr/>
                  <a:graphic xmlns:a="http://schemas.openxmlformats.org/drawingml/2006/main">
                    <a:graphicData uri="http://schemas.openxmlformats.org/drawingml/2006/picture">
                      <pic:pic xmlns:pic="http://schemas.openxmlformats.org/drawingml/2006/picture">
                        <pic:nvPicPr>
                          <pic:cNvPr id="83" name="图片_157"/>
                          <pic:cNvPicPr/>
                        </pic:nvPicPr>
                        <pic:blipFill>
                          <a:blip r:embed="rId31"/>
                          <a:stretch>
                            <a:fillRect/>
                          </a:stretch>
                        </pic:blipFill>
                        <pic:spPr>
                          <a:xfrm>
                            <a:off x="0" y="0"/>
                            <a:ext cx="1574165" cy="1031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1"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0</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课椅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440*450*450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椅面：椅座板外形尺寸科学合理设计，符合国家标准。材质采用工程塑料成型，弧曲面设计。椅背板外形尺寸由投标方科学合理设计，符合国家标准，材质采用工程塑料中空吹塑成型，椅背设计提手，方便移动。背板弧度及曲线完全按人体工程学设计，贴合人体背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架：主管采用20*40*1.8mm铝材扁圆管、椅座边管采用20*40*1.8mm铝材扁圆管，下拉撑管采用20*40*1.8mm铝材扁圆管，椅架为“弓”型，平脚设计，与桌架相配套，具体用料及规格由投标方科学合理设计，结构牢固，协调美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椅面尺寸规格，380*403椅靠背430*250</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4、椅脚垫：支撑脚脚底前后（即封头）均须设置防滑及防噪音的ABS 塑料脚垫。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铝架焊接经除油除锈，并符合国家标准；组装桌面板、凳面板、椅面板与钢架组装后，应牢固、可靠；全部采用安全螺帽，安全防挂；材料、工艺、漆膜理化性能、力学性能、安全卫生要求都必须符合国家相关标准。焊接质量达到：(1)无灰渣、气孔、焊瘤；(2)无脱焊、虚焊、焊穿；(3) 精细打磨，光洁平整。</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(1)外观铝材表层处理采用静电喷塑。涂层均匀牢固，无流挂、气泡等；</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(2)铝材喷涂经静电喷塑，高温烘烤，。</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(3)桌椅颜色相配套。</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3840" behindDoc="0" locked="0" layoutInCell="1" allowOverlap="1">
                  <wp:simplePos x="0" y="0"/>
                  <wp:positionH relativeFrom="column">
                    <wp:posOffset>516255</wp:posOffset>
                  </wp:positionH>
                  <wp:positionV relativeFrom="paragraph">
                    <wp:posOffset>333375</wp:posOffset>
                  </wp:positionV>
                  <wp:extent cx="1082040" cy="1499870"/>
                  <wp:effectExtent l="0" t="0" r="3810" b="5080"/>
                  <wp:wrapNone/>
                  <wp:docPr id="100" name="图片_150"/>
                  <wp:cNvGraphicFramePr/>
                  <a:graphic xmlns:a="http://schemas.openxmlformats.org/drawingml/2006/main">
                    <a:graphicData uri="http://schemas.openxmlformats.org/drawingml/2006/picture">
                      <pic:pic xmlns:pic="http://schemas.openxmlformats.org/drawingml/2006/picture">
                        <pic:nvPicPr>
                          <pic:cNvPr id="100" name="图片_150"/>
                          <pic:cNvPicPr/>
                        </pic:nvPicPr>
                        <pic:blipFill>
                          <a:blip r:embed="rId32"/>
                          <a:stretch>
                            <a:fillRect/>
                          </a:stretch>
                        </pic:blipFill>
                        <pic:spPr>
                          <a:xfrm>
                            <a:off x="0" y="0"/>
                            <a:ext cx="1082040" cy="14998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美术桌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D602*W506*H725</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1.尺寸：D602*W506*H725mm；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2.材质：曲木板桌面+铝管；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工艺：桌面采用E1级多层曲木板高频热压而成；面板厚度18mm；前挡板高度280mm；面贴环保防火板；桌腿铝管直径20mm;前横杆直径12mm；可采用电镀工艺，长时间使用也不会产生表面漆剥落现象，前脚垫直径32mm椭圆形PP一体成型，后脚垫62*76mmPA一体成型，调整脚尺寸：直径28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4.功能：时尚简约，面板可水平及倾斜，倾斜时可做画架使用，抽斗采用塑料一体成型结构，抽屉翻转后可做前挡板，是一款多用途桌子。</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0" cy="37465"/>
                  <wp:effectExtent l="0" t="0" r="0" b="0"/>
                  <wp:wrapNone/>
                  <wp:docPr id="89" name="Picture_2"/>
                  <wp:cNvGraphicFramePr/>
                  <a:graphic xmlns:a="http://schemas.openxmlformats.org/drawingml/2006/main">
                    <a:graphicData uri="http://schemas.openxmlformats.org/drawingml/2006/picture">
                      <pic:pic xmlns:pic="http://schemas.openxmlformats.org/drawingml/2006/picture">
                        <pic:nvPicPr>
                          <pic:cNvPr id="89" name="Picture_2"/>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85888" behindDoc="0" locked="0" layoutInCell="1" allowOverlap="1">
                  <wp:simplePos x="0" y="0"/>
                  <wp:positionH relativeFrom="column">
                    <wp:posOffset>123825</wp:posOffset>
                  </wp:positionH>
                  <wp:positionV relativeFrom="paragraph">
                    <wp:posOffset>124460</wp:posOffset>
                  </wp:positionV>
                  <wp:extent cx="861060" cy="723900"/>
                  <wp:effectExtent l="0" t="0" r="15240" b="0"/>
                  <wp:wrapNone/>
                  <wp:docPr id="70" name="图片_154"/>
                  <wp:cNvGraphicFramePr/>
                  <a:graphic xmlns:a="http://schemas.openxmlformats.org/drawingml/2006/main">
                    <a:graphicData uri="http://schemas.openxmlformats.org/drawingml/2006/picture">
                      <pic:pic xmlns:pic="http://schemas.openxmlformats.org/drawingml/2006/picture">
                        <pic:nvPicPr>
                          <pic:cNvPr id="70" name="图片_154"/>
                          <pic:cNvPicPr/>
                        </pic:nvPicPr>
                        <pic:blipFill>
                          <a:blip r:embed="rId34"/>
                          <a:stretch>
                            <a:fillRect/>
                          </a:stretch>
                        </pic:blipFill>
                        <pic:spPr>
                          <a:xfrm>
                            <a:off x="0" y="0"/>
                            <a:ext cx="861060" cy="72390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86912" behindDoc="0" locked="0" layoutInCell="1" allowOverlap="1">
                  <wp:simplePos x="0" y="0"/>
                  <wp:positionH relativeFrom="column">
                    <wp:posOffset>866775</wp:posOffset>
                  </wp:positionH>
                  <wp:positionV relativeFrom="paragraph">
                    <wp:posOffset>0</wp:posOffset>
                  </wp:positionV>
                  <wp:extent cx="0" cy="318135"/>
                  <wp:effectExtent l="0" t="0" r="0" b="0"/>
                  <wp:wrapNone/>
                  <wp:docPr id="71" name="Picture_2_SpCnt_1"/>
                  <wp:cNvGraphicFramePr/>
                  <a:graphic xmlns:a="http://schemas.openxmlformats.org/drawingml/2006/main">
                    <a:graphicData uri="http://schemas.openxmlformats.org/drawingml/2006/picture">
                      <pic:pic xmlns:pic="http://schemas.openxmlformats.org/drawingml/2006/picture">
                        <pic:nvPicPr>
                          <pic:cNvPr id="71" name="Picture_2_SpCnt_1"/>
                          <pic:cNvPicPr/>
                        </pic:nvPicPr>
                        <pic:blipFill>
                          <a:blip r:embed="rId33"/>
                          <a:stretch>
                            <a:fillRect/>
                          </a:stretch>
                        </pic:blipFill>
                        <pic:spPr>
                          <a:xfrm>
                            <a:off x="0" y="0"/>
                            <a:ext cx="0" cy="31813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87936" behindDoc="0" locked="0" layoutInCell="1" allowOverlap="1">
                  <wp:simplePos x="0" y="0"/>
                  <wp:positionH relativeFrom="column">
                    <wp:posOffset>866775</wp:posOffset>
                  </wp:positionH>
                  <wp:positionV relativeFrom="paragraph">
                    <wp:posOffset>0</wp:posOffset>
                  </wp:positionV>
                  <wp:extent cx="0" cy="318135"/>
                  <wp:effectExtent l="0" t="0" r="0" b="0"/>
                  <wp:wrapNone/>
                  <wp:docPr id="72" name="Picture_2_SpCnt_2"/>
                  <wp:cNvGraphicFramePr/>
                  <a:graphic xmlns:a="http://schemas.openxmlformats.org/drawingml/2006/main">
                    <a:graphicData uri="http://schemas.openxmlformats.org/drawingml/2006/picture">
                      <pic:pic xmlns:pic="http://schemas.openxmlformats.org/drawingml/2006/picture">
                        <pic:nvPicPr>
                          <pic:cNvPr id="72" name="Picture_2_SpCnt_2"/>
                          <pic:cNvPicPr/>
                        </pic:nvPicPr>
                        <pic:blipFill>
                          <a:blip r:embed="rId33"/>
                          <a:stretch>
                            <a:fillRect/>
                          </a:stretch>
                        </pic:blipFill>
                        <pic:spPr>
                          <a:xfrm>
                            <a:off x="0" y="0"/>
                            <a:ext cx="0" cy="31813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88960" behindDoc="0" locked="0" layoutInCell="1" allowOverlap="1">
                  <wp:simplePos x="0" y="0"/>
                  <wp:positionH relativeFrom="column">
                    <wp:posOffset>885825</wp:posOffset>
                  </wp:positionH>
                  <wp:positionV relativeFrom="paragraph">
                    <wp:posOffset>167640</wp:posOffset>
                  </wp:positionV>
                  <wp:extent cx="908050" cy="922020"/>
                  <wp:effectExtent l="0" t="0" r="6350" b="11430"/>
                  <wp:wrapNone/>
                  <wp:docPr id="74" name="图片_155"/>
                  <wp:cNvGraphicFramePr/>
                  <a:graphic xmlns:a="http://schemas.openxmlformats.org/drawingml/2006/main">
                    <a:graphicData uri="http://schemas.openxmlformats.org/drawingml/2006/picture">
                      <pic:pic xmlns:pic="http://schemas.openxmlformats.org/drawingml/2006/picture">
                        <pic:nvPicPr>
                          <pic:cNvPr id="74" name="图片_155"/>
                          <pic:cNvPicPr/>
                        </pic:nvPicPr>
                        <pic:blipFill>
                          <a:blip r:embed="rId35"/>
                          <a:stretch>
                            <a:fillRect/>
                          </a:stretch>
                        </pic:blipFill>
                        <pic:spPr>
                          <a:xfrm>
                            <a:off x="0" y="0"/>
                            <a:ext cx="908050" cy="922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美术椅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440*450*450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椅面：椅座板外形尺寸科学合理设计，符合国家标准。材质采用工程塑料成型，弧曲面设计。椅背板外形尺寸由投标方科学合理设计，符合国家标准，材质采用工程塑料中空吹塑成型，椅背设计提手，方便移动。背板弧度及曲线完全按人体工程学设</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计，贴合人体背部。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架：主管采用20*40*1.8mm铝材扁圆管、椅座边管采用20*40*1.8mm铝材扁圆管，下拉撑管采用20*40*1.8mm铝材扁圆管，椅架为“弓”型，平脚设计，与桌架相配套，具体用料及规格由投标方科学合理设计，结构牢固，协调美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椅面尺寸规格，380*403椅靠背430*250</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4、椅脚垫：支撑脚脚底前后（即封头）均须设置防滑及防噪音的ABS 塑料脚垫。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铝架焊接经除油除锈，并符合国家标准；组装桌面板、凳面板、椅面板与钢架组装后，应牢固、可靠；全部采用安全螺帽，安全防挂；材料、工艺、漆膜理化性能、力学性能、安全卫生要求都必须符合国家相关标准。焊接质量达到：(1)无灰渣、气孔、焊瘤；(2)无脱焊、虚焊、焊穿；(3) 精细打磨，光洁平整。</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(1)外观铝材表层处理采用静电喷塑。涂层均匀牢固，无流挂、气泡等；</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(2)铝材喷涂经静电喷塑，高温烘烤，。</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(3)桌椅颜色相配套。</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89984" behindDoc="0" locked="0" layoutInCell="1" allowOverlap="1">
                  <wp:simplePos x="0" y="0"/>
                  <wp:positionH relativeFrom="column">
                    <wp:posOffset>421005</wp:posOffset>
                  </wp:positionH>
                  <wp:positionV relativeFrom="paragraph">
                    <wp:posOffset>95250</wp:posOffset>
                  </wp:positionV>
                  <wp:extent cx="904240" cy="1252855"/>
                  <wp:effectExtent l="0" t="0" r="10160" b="4445"/>
                  <wp:wrapNone/>
                  <wp:docPr id="80" name="图片_156"/>
                  <wp:cNvGraphicFramePr/>
                  <a:graphic xmlns:a="http://schemas.openxmlformats.org/drawingml/2006/main">
                    <a:graphicData uri="http://schemas.openxmlformats.org/drawingml/2006/picture">
                      <pic:pic xmlns:pic="http://schemas.openxmlformats.org/drawingml/2006/picture">
                        <pic:nvPicPr>
                          <pic:cNvPr id="80" name="图片_156"/>
                          <pic:cNvPicPr/>
                        </pic:nvPicPr>
                        <pic:blipFill>
                          <a:blip r:embed="rId36"/>
                          <a:stretch>
                            <a:fillRect/>
                          </a:stretch>
                        </pic:blipFill>
                        <pic:spPr>
                          <a:xfrm>
                            <a:off x="0" y="0"/>
                            <a:ext cx="904240" cy="1252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3</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教师台</w:t>
            </w:r>
          </w:p>
        </w:tc>
        <w:tc>
          <w:tcPr>
            <w:tcW w:w="1144"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1600*700*750mm </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一：材质及技术参数：</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1.整体材质采用水曲柳，木质坚韧抗腐蚀能力强。强度和硬度都比较适中适合用来制作雕刻家具，纹理清晰流畅整体效果简洁大方，采用榫卯结构，结实牢靠，木质纹理通达清晰，外观鲜明光亮；</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油漆处理：底层打磨刷底漆，6遍找平点涂处理，表面经过环保漆仿古喷涂，亚光永不退色。保养处理：经过打蜡特殊处理，防止虫蛀，腐烂，开裂；</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2.结构：采用榫卯结构，由立柱、横梁、顺檩等主要构件建造而成，各个构件之间的结点以榫卯相吻合，构成富有弹性的框架。                                                      3.底部配仿古柜方便多媒体设备放置和穿线。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0" cy="37465"/>
                  <wp:effectExtent l="0" t="0" r="0" b="0"/>
                  <wp:wrapNone/>
                  <wp:docPr id="82" name="Picture_2_SpCnt_3"/>
                  <wp:cNvGraphicFramePr/>
                  <a:graphic xmlns:a="http://schemas.openxmlformats.org/drawingml/2006/main">
                    <a:graphicData uri="http://schemas.openxmlformats.org/drawingml/2006/picture">
                      <pic:pic xmlns:pic="http://schemas.openxmlformats.org/drawingml/2006/picture">
                        <pic:nvPicPr>
                          <pic:cNvPr id="82" name="Picture_2_SpCnt_3"/>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92032" behindDoc="0" locked="0" layoutInCell="1" allowOverlap="1">
                  <wp:simplePos x="0" y="0"/>
                  <wp:positionH relativeFrom="column">
                    <wp:posOffset>104775</wp:posOffset>
                  </wp:positionH>
                  <wp:positionV relativeFrom="paragraph">
                    <wp:posOffset>314325</wp:posOffset>
                  </wp:positionV>
                  <wp:extent cx="1600200" cy="815975"/>
                  <wp:effectExtent l="0" t="0" r="0" b="3175"/>
                  <wp:wrapNone/>
                  <wp:docPr id="75" name="图片_149"/>
                  <wp:cNvGraphicFramePr/>
                  <a:graphic xmlns:a="http://schemas.openxmlformats.org/drawingml/2006/main">
                    <a:graphicData uri="http://schemas.openxmlformats.org/drawingml/2006/picture">
                      <pic:pic xmlns:pic="http://schemas.openxmlformats.org/drawingml/2006/picture">
                        <pic:nvPicPr>
                          <pic:cNvPr id="75" name="图片_149"/>
                          <pic:cNvPicPr/>
                        </pic:nvPicPr>
                        <pic:blipFill>
                          <a:blip r:embed="rId37"/>
                          <a:stretch>
                            <a:fillRect/>
                          </a:stretch>
                        </pic:blipFill>
                        <pic:spPr>
                          <a:xfrm>
                            <a:off x="0" y="0"/>
                            <a:ext cx="1600200" cy="815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官帽椅</w:t>
            </w:r>
          </w:p>
        </w:tc>
        <w:tc>
          <w:tcPr>
            <w:tcW w:w="1144"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600*480*1160mm</w:t>
            </w:r>
          </w:p>
        </w:tc>
        <w:tc>
          <w:tcPr>
            <w:tcW w:w="3683" w:type="dxa"/>
          </w:tcPr>
          <w:p>
            <w:pPr>
              <w:widowControl/>
              <w:jc w:val="left"/>
              <w:textAlignment w:val="top"/>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一：材质及技术参数：</w:t>
            </w:r>
          </w:p>
          <w:p>
            <w:pPr>
              <w:widowControl/>
              <w:jc w:val="left"/>
              <w:textAlignment w:val="top"/>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1.整体材质采用水曲柳，木质坚韧抗腐蚀能力强。强度和硬度都比较适中适合用来制作雕刻家具，纹理清晰流畅整体效果简洁大方，采用榫卯结构，结实牢靠，木质纹理通达清晰，外观鲜明光亮；</w:t>
            </w:r>
          </w:p>
          <w:p>
            <w:pPr>
              <w:widowControl/>
              <w:jc w:val="left"/>
              <w:textAlignment w:val="top"/>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油漆处理：底层打磨刷底漆，6遍找平点涂处理，表面经过环保漆仿古喷涂，亚光永不退色。保养处理：经过打蜡特殊处理，防止虫蛀，腐烂，开裂；</w:t>
            </w:r>
          </w:p>
          <w:p>
            <w:pPr>
              <w:widowControl/>
              <w:jc w:val="left"/>
              <w:textAlignment w:val="top"/>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2.结构：采用榫卯结构，由立柱、横梁、顺檩等主要构件建造而成，各个构件之间的结点以榫卯相吻合，构成富有弹性的框架。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3056" behindDoc="0" locked="0" layoutInCell="1" allowOverlap="1">
                  <wp:simplePos x="0" y="0"/>
                  <wp:positionH relativeFrom="column">
                    <wp:posOffset>676275</wp:posOffset>
                  </wp:positionH>
                  <wp:positionV relativeFrom="paragraph">
                    <wp:posOffset>50800</wp:posOffset>
                  </wp:positionV>
                  <wp:extent cx="702945" cy="1098550"/>
                  <wp:effectExtent l="0" t="0" r="1905" b="6350"/>
                  <wp:wrapNone/>
                  <wp:docPr id="76" name="Picture_7"/>
                  <wp:cNvGraphicFramePr/>
                  <a:graphic xmlns:a="http://schemas.openxmlformats.org/drawingml/2006/main">
                    <a:graphicData uri="http://schemas.openxmlformats.org/drawingml/2006/picture">
                      <pic:pic xmlns:pic="http://schemas.openxmlformats.org/drawingml/2006/picture">
                        <pic:nvPicPr>
                          <pic:cNvPr id="76" name="Picture_7"/>
                          <pic:cNvPicPr/>
                        </pic:nvPicPr>
                        <pic:blipFill>
                          <a:blip r:embed="rId38"/>
                          <a:stretch>
                            <a:fillRect/>
                          </a:stretch>
                        </pic:blipFill>
                        <pic:spPr>
                          <a:xfrm>
                            <a:off x="0" y="0"/>
                            <a:ext cx="702945" cy="1098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25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学生书法桌</w:t>
            </w:r>
          </w:p>
        </w:tc>
        <w:tc>
          <w:tcPr>
            <w:tcW w:w="1144"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1400mm*600mm*760mm</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一：材质及技术参数：</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1.整体材质采用水曲柳，木质坚韧抗腐蚀能力强。强度和硬度都比较适中适合用来制作雕刻家具，纹理清晰流畅整体效果简洁大方，采用榫卯结构，结实牢靠，木质纹理通达清晰，外观鲜明光亮；</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油漆处理：底层打磨刷底漆，6遍找平点涂处理，表面经过环保漆仿古喷涂，亚光永不退色。保养处理：经过打蜡特殊处理，防止虫蛀，腐烂，开裂；</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2.结构：  采用榫卯结构，由立柱、横梁、顺檩等主要构件建造而成，各个构件之间的结点以榫卯相吻合，构成富有弹性的框架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4080" behindDoc="0" locked="0" layoutInCell="1" allowOverlap="1">
                  <wp:simplePos x="0" y="0"/>
                  <wp:positionH relativeFrom="column">
                    <wp:posOffset>304800</wp:posOffset>
                  </wp:positionH>
                  <wp:positionV relativeFrom="paragraph">
                    <wp:posOffset>222250</wp:posOffset>
                  </wp:positionV>
                  <wp:extent cx="1334135" cy="707390"/>
                  <wp:effectExtent l="0" t="0" r="18415" b="16510"/>
                  <wp:wrapNone/>
                  <wp:docPr id="77" name="Picture_3_SpCnt_1"/>
                  <wp:cNvGraphicFramePr/>
                  <a:graphic xmlns:a="http://schemas.openxmlformats.org/drawingml/2006/main">
                    <a:graphicData uri="http://schemas.openxmlformats.org/drawingml/2006/picture">
                      <pic:pic xmlns:pic="http://schemas.openxmlformats.org/drawingml/2006/picture">
                        <pic:nvPicPr>
                          <pic:cNvPr id="77" name="Picture_3_SpCnt_1"/>
                          <pic:cNvPicPr/>
                        </pic:nvPicPr>
                        <pic:blipFill>
                          <a:blip r:embed="rId39"/>
                          <a:stretch>
                            <a:fillRect/>
                          </a:stretch>
                        </pic:blipFill>
                        <pic:spPr>
                          <a:xfrm>
                            <a:off x="0" y="0"/>
                            <a:ext cx="1334135" cy="7073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 xml:space="preserve"> 2</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学生书法凳</w:t>
            </w:r>
          </w:p>
        </w:tc>
        <w:tc>
          <w:tcPr>
            <w:tcW w:w="1144"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360mm*270mm*450mm</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一：材质及技术参数：</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1.整体材质采用水曲柳，木质坚韧抗腐蚀能力强。强度和硬度都比较适中适合用来制作雕刻家具，纹理清晰流畅整体效果简洁大方，采用榫卯结构，结实牢靠，木质纹理通达清晰，外观鲜明光亮；</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油漆处理：底层打磨刷底漆，6遍找平点涂处理，表面经过环保漆仿古喷涂，亚光永不退色。保养处理：经过打蜡特殊处理，防止虫蛀，腐烂，开裂；</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2.结构：  采用榫卯结构，由立柱、横梁、顺檩等主要构件建造而成，各个构件之间的结点以榫卯相吻合，构成富有弹性的框架。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96</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5104" behindDoc="0" locked="0" layoutInCell="1" allowOverlap="1">
                  <wp:simplePos x="0" y="0"/>
                  <wp:positionH relativeFrom="column">
                    <wp:posOffset>438150</wp:posOffset>
                  </wp:positionH>
                  <wp:positionV relativeFrom="paragraph">
                    <wp:posOffset>120650</wp:posOffset>
                  </wp:positionV>
                  <wp:extent cx="1147445" cy="679450"/>
                  <wp:effectExtent l="0" t="0" r="14605" b="6350"/>
                  <wp:wrapNone/>
                  <wp:docPr id="78" name="图片_148"/>
                  <wp:cNvGraphicFramePr/>
                  <a:graphic xmlns:a="http://schemas.openxmlformats.org/drawingml/2006/main">
                    <a:graphicData uri="http://schemas.openxmlformats.org/drawingml/2006/picture">
                      <pic:pic xmlns:pic="http://schemas.openxmlformats.org/drawingml/2006/picture">
                        <pic:nvPicPr>
                          <pic:cNvPr id="78" name="图片_148"/>
                          <pic:cNvPicPr/>
                        </pic:nvPicPr>
                        <pic:blipFill>
                          <a:blip r:embed="rId40"/>
                          <a:stretch>
                            <a:fillRect/>
                          </a:stretch>
                        </pic:blipFill>
                        <pic:spPr>
                          <a:xfrm>
                            <a:off x="0" y="0"/>
                            <a:ext cx="1147445" cy="679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1"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7</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美术椅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440*450*450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、靠背要求：                                                                                                                            1.材质：采用PP耐冲击塑料一级材料一体注塑成型，四周及底部完全无毛边，光滑安全，光洁美观.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2.尺寸≥220*425mm。靠背支撑钢管：32*2.0mm圆钢管。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3.重点保护脊椎仿生人体工学设计：椅背中间有内凹式曲线弧度设计，能很好的支撑着正背部脊椎，使其免于侧弯，起到重点保护座者脊椎的作用。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4.椅背设计多孔设计，有利使用者背部空气流通，提高使用舒适感。                                                                                5.椅背上方正中设有≥85*30mm椭圆形内孔，起到方便使用者提拎椅子的作用。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二、坐垫要求：1.材质：采用PP耐冲击塑料一级材料一体注塑成型，四周及底部完全无毛边，光滑安全，光洁美观.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2.尺寸≥425*380mm。座垫支撑钢管：32*2.0mm圆钢管。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3.椅面采用人体工程学设计，坐垫中间有内凹式设计，坐垫前端设计有圆弧设计，能让臀部自动与座垫完美舒适结合，借此有效分解自身动力，减缓久坐疲劳。                                                                                                                                 4.坐垫设计多孔设计，有利使用者臀部空气流通，提高使用舒适感。</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三、脚架：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1.规格：升降上管32*2.0mm圆铝管;升降下管38*2.0mm圆铝管，升降下管用20*4.*1.2mm椭圆管经二氧化碳保护焊焊接，上下管之间采用PP材质中承衬套过渡连接。靠背管32*2.0mm圆铝管。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2.表面涂装：铝管架满焊接完成后，喷塑后高温烘烤。</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四、脚垫要求采用PP材料。                                                                                                                五.可升降，螺丝调节,螺丝调节位设置在升降下管38*2.0mm圆铝管上方位置。</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6128" behindDoc="0" locked="0" layoutInCell="1" allowOverlap="1">
                  <wp:simplePos x="0" y="0"/>
                  <wp:positionH relativeFrom="column">
                    <wp:posOffset>71120</wp:posOffset>
                  </wp:positionH>
                  <wp:positionV relativeFrom="paragraph">
                    <wp:posOffset>1356995</wp:posOffset>
                  </wp:positionV>
                  <wp:extent cx="1662430" cy="802005"/>
                  <wp:effectExtent l="0" t="0" r="13970" b="17145"/>
                  <wp:wrapNone/>
                  <wp:docPr id="81" name="图片_153"/>
                  <wp:cNvGraphicFramePr/>
                  <a:graphic xmlns:a="http://schemas.openxmlformats.org/drawingml/2006/main">
                    <a:graphicData uri="http://schemas.openxmlformats.org/drawingml/2006/picture">
                      <pic:pic xmlns:pic="http://schemas.openxmlformats.org/drawingml/2006/picture">
                        <pic:nvPicPr>
                          <pic:cNvPr id="81" name="图片_153"/>
                          <pic:cNvPicPr/>
                        </pic:nvPicPr>
                        <pic:blipFill>
                          <a:blip r:embed="rId41"/>
                          <a:stretch>
                            <a:fillRect/>
                          </a:stretch>
                        </pic:blipFill>
                        <pic:spPr>
                          <a:xfrm>
                            <a:off x="0" y="0"/>
                            <a:ext cx="1662430" cy="8020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697152" behindDoc="0" locked="0" layoutInCell="1" allowOverlap="1">
                  <wp:simplePos x="0" y="0"/>
                  <wp:positionH relativeFrom="column">
                    <wp:posOffset>866775</wp:posOffset>
                  </wp:positionH>
                  <wp:positionV relativeFrom="paragraph">
                    <wp:posOffset>0</wp:posOffset>
                  </wp:positionV>
                  <wp:extent cx="0" cy="319405"/>
                  <wp:effectExtent l="0" t="0" r="0" b="0"/>
                  <wp:wrapNone/>
                  <wp:docPr id="85" name="Picture_2_SpCnt_4"/>
                  <wp:cNvGraphicFramePr/>
                  <a:graphic xmlns:a="http://schemas.openxmlformats.org/drawingml/2006/main">
                    <a:graphicData uri="http://schemas.openxmlformats.org/drawingml/2006/picture">
                      <pic:pic xmlns:pic="http://schemas.openxmlformats.org/drawingml/2006/picture">
                        <pic:nvPicPr>
                          <pic:cNvPr id="85" name="Picture_2_SpCnt_4"/>
                          <pic:cNvPicPr/>
                        </pic:nvPicPr>
                        <pic:blipFill>
                          <a:blip r:embed="rId33"/>
                          <a:stretch>
                            <a:fillRect/>
                          </a:stretch>
                        </pic:blipFill>
                        <pic:spPr>
                          <a:xfrm>
                            <a:off x="0" y="0"/>
                            <a:ext cx="0" cy="3194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28</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操作台</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2400*1000*750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桌面50MM                                                                               1：板材质说明：采用E1级绿色环保型三聚氰胺板，经过防虫防腐处理，纹理清晰，自然美枫色，密度700KG/M3,甲醛释放量为零，贴三聚氰胺饰面纸，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698176" behindDoc="0" locked="0" layoutInCell="1" allowOverlap="1">
                  <wp:simplePos x="0" y="0"/>
                  <wp:positionH relativeFrom="column">
                    <wp:posOffset>109220</wp:posOffset>
                  </wp:positionH>
                  <wp:positionV relativeFrom="paragraph">
                    <wp:posOffset>347345</wp:posOffset>
                  </wp:positionV>
                  <wp:extent cx="1672590" cy="908685"/>
                  <wp:effectExtent l="0" t="0" r="3810" b="5715"/>
                  <wp:wrapNone/>
                  <wp:docPr id="88" name="图片_94"/>
                  <wp:cNvGraphicFramePr/>
                  <a:graphic xmlns:a="http://schemas.openxmlformats.org/drawingml/2006/main">
                    <a:graphicData uri="http://schemas.openxmlformats.org/drawingml/2006/picture">
                      <pic:pic xmlns:pic="http://schemas.openxmlformats.org/drawingml/2006/picture">
                        <pic:nvPicPr>
                          <pic:cNvPr id="88" name="图片_94"/>
                          <pic:cNvPicPr/>
                        </pic:nvPicPr>
                        <pic:blipFill>
                          <a:blip r:embed="rId42"/>
                          <a:stretch>
                            <a:fillRect/>
                          </a:stretch>
                        </pic:blipFill>
                        <pic:spPr>
                          <a:xfrm>
                            <a:off x="0" y="0"/>
                            <a:ext cx="1672590" cy="9086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29</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展示柜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1000*450*2000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材质：：采用E1级板，厚度18mm,基材采用环保实木多层板，贴三聚氰胺饰面纸，耐划，坚固、美观、产品完全符合国家标准，其甲醛释放量为零，pvc封边制作。五金件采用液压铰链，缓冲效果是普通铰链的五倍；</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2.功能：内置置物抽屉方便物品分类收纳，采用玻璃柜门，收纳物件清晰明了，可调节层板，方便于各类大小物件的摆放，适合大小规格器材收纳。</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699200" behindDoc="0" locked="0" layoutInCell="1" allowOverlap="1">
                  <wp:simplePos x="0" y="0"/>
                  <wp:positionH relativeFrom="column">
                    <wp:posOffset>76200</wp:posOffset>
                  </wp:positionH>
                  <wp:positionV relativeFrom="paragraph">
                    <wp:posOffset>212090</wp:posOffset>
                  </wp:positionV>
                  <wp:extent cx="1524000" cy="939165"/>
                  <wp:effectExtent l="0" t="0" r="0" b="13335"/>
                  <wp:wrapNone/>
                  <wp:docPr id="107" name="图片_145"/>
                  <wp:cNvGraphicFramePr/>
                  <a:graphic xmlns:a="http://schemas.openxmlformats.org/drawingml/2006/main">
                    <a:graphicData uri="http://schemas.openxmlformats.org/drawingml/2006/picture">
                      <pic:pic xmlns:pic="http://schemas.openxmlformats.org/drawingml/2006/picture">
                        <pic:nvPicPr>
                          <pic:cNvPr id="107" name="图片_145"/>
                          <pic:cNvPicPr/>
                        </pic:nvPicPr>
                        <pic:blipFill>
                          <a:blip r:embed="rId43"/>
                          <a:stretch>
                            <a:fillRect/>
                          </a:stretch>
                        </pic:blipFill>
                        <pic:spPr>
                          <a:xfrm>
                            <a:off x="0" y="0"/>
                            <a:ext cx="1524000" cy="939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0</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器材柜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1000*450*2000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材质：：采用E1级板，厚度18mm,基材采用实木多层板，贴三聚氰胺饰面纸，耐划，坚固、美观、产品完全符合国家标准，其甲醛释放量为零，pvc封边制作。五金件采用液压铰链，缓冲效果是普通铰链的五倍；</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2.功能：内置置物抽屉方便物品分类收纳，采用玻璃柜门，收纳物件清晰明了，可调节层板，方便于各类大小物件的摆放，适合大小规格器材收纳。</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00224" behindDoc="0" locked="0" layoutInCell="1" allowOverlap="1">
                  <wp:simplePos x="0" y="0"/>
                  <wp:positionH relativeFrom="column">
                    <wp:posOffset>344170</wp:posOffset>
                  </wp:positionH>
                  <wp:positionV relativeFrom="paragraph">
                    <wp:posOffset>199390</wp:posOffset>
                  </wp:positionV>
                  <wp:extent cx="1129030" cy="1145540"/>
                  <wp:effectExtent l="0" t="0" r="13970" b="16510"/>
                  <wp:wrapNone/>
                  <wp:docPr id="108" name="图片_146"/>
                  <wp:cNvGraphicFramePr/>
                  <a:graphic xmlns:a="http://schemas.openxmlformats.org/drawingml/2006/main">
                    <a:graphicData uri="http://schemas.openxmlformats.org/drawingml/2006/picture">
                      <pic:pic xmlns:pic="http://schemas.openxmlformats.org/drawingml/2006/picture">
                        <pic:nvPicPr>
                          <pic:cNvPr id="108" name="图片_146"/>
                          <pic:cNvPicPr/>
                        </pic:nvPicPr>
                        <pic:blipFill>
                          <a:blip r:embed="rId44"/>
                          <a:stretch>
                            <a:fillRect/>
                          </a:stretch>
                        </pic:blipFill>
                        <pic:spPr>
                          <a:xfrm>
                            <a:off x="0" y="0"/>
                            <a:ext cx="1129030" cy="1145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晾画架</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460*340*970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1.材质及形状：圆型钢管。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2.框架采用Φ30MM，厚度1.5MM,采用满焊焊接而成，结构牢固,长期使用也不会产生摇晃、松散的现象。层架采用4MM折弯而成。每一层内部都预留有小弹簧，保护不会损坏画作，每一层可以折叠。层数为25层。</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3.表面塗裝：焊接完成之钢管架，经高温粉体烤漆。长时间使用也不会产生表面漆剥落现象。                                                                                        4.脚轮采用尼龙材料，承重量大。直径50㎜。带刹车自动装置，可锁住轮子防止滑动。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01248" behindDoc="0" locked="0" layoutInCell="1" allowOverlap="1">
                  <wp:simplePos x="0" y="0"/>
                  <wp:positionH relativeFrom="column">
                    <wp:posOffset>542925</wp:posOffset>
                  </wp:positionH>
                  <wp:positionV relativeFrom="paragraph">
                    <wp:posOffset>43815</wp:posOffset>
                  </wp:positionV>
                  <wp:extent cx="704850" cy="982980"/>
                  <wp:effectExtent l="0" t="0" r="0" b="7620"/>
                  <wp:wrapNone/>
                  <wp:docPr id="101" name="图片_116"/>
                  <wp:cNvGraphicFramePr/>
                  <a:graphic xmlns:a="http://schemas.openxmlformats.org/drawingml/2006/main">
                    <a:graphicData uri="http://schemas.openxmlformats.org/drawingml/2006/picture">
                      <pic:pic xmlns:pic="http://schemas.openxmlformats.org/drawingml/2006/picture">
                        <pic:nvPicPr>
                          <pic:cNvPr id="101" name="图片_116"/>
                          <pic:cNvPicPr/>
                        </pic:nvPicPr>
                        <pic:blipFill>
                          <a:blip r:embed="rId45"/>
                          <a:stretch>
                            <a:fillRect/>
                          </a:stretch>
                        </pic:blipFill>
                        <pic:spPr>
                          <a:xfrm>
                            <a:off x="0" y="0"/>
                            <a:ext cx="704850" cy="9829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2272"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09" name="Picture_2_SpCnt_5"/>
                  <wp:cNvGraphicFramePr/>
                  <a:graphic xmlns:a="http://schemas.openxmlformats.org/drawingml/2006/main">
                    <a:graphicData uri="http://schemas.openxmlformats.org/drawingml/2006/picture">
                      <pic:pic xmlns:pic="http://schemas.openxmlformats.org/drawingml/2006/picture">
                        <pic:nvPicPr>
                          <pic:cNvPr id="109" name="Picture_2_SpCnt_5"/>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3296"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9" name="Picture_2_SpCnt_6"/>
                  <wp:cNvGraphicFramePr/>
                  <a:graphic xmlns:a="http://schemas.openxmlformats.org/drawingml/2006/main">
                    <a:graphicData uri="http://schemas.openxmlformats.org/drawingml/2006/picture">
                      <pic:pic xmlns:pic="http://schemas.openxmlformats.org/drawingml/2006/picture">
                        <pic:nvPicPr>
                          <pic:cNvPr id="129" name="Picture_2_SpCnt_6"/>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4320"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7" name="Picture_2_SpCnt_7"/>
                  <wp:cNvGraphicFramePr/>
                  <a:graphic xmlns:a="http://schemas.openxmlformats.org/drawingml/2006/main">
                    <a:graphicData uri="http://schemas.openxmlformats.org/drawingml/2006/picture">
                      <pic:pic xmlns:pic="http://schemas.openxmlformats.org/drawingml/2006/picture">
                        <pic:nvPicPr>
                          <pic:cNvPr id="127" name="Picture_2_SpCnt_7"/>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5344"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2" name="Picture_2_SpCnt_8"/>
                  <wp:cNvGraphicFramePr/>
                  <a:graphic xmlns:a="http://schemas.openxmlformats.org/drawingml/2006/main">
                    <a:graphicData uri="http://schemas.openxmlformats.org/drawingml/2006/picture">
                      <pic:pic xmlns:pic="http://schemas.openxmlformats.org/drawingml/2006/picture">
                        <pic:nvPicPr>
                          <pic:cNvPr id="122" name="Picture_2_SpCnt_8"/>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6368"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5" name="Picture_2_SpCnt_9"/>
                  <wp:cNvGraphicFramePr/>
                  <a:graphic xmlns:a="http://schemas.openxmlformats.org/drawingml/2006/main">
                    <a:graphicData uri="http://schemas.openxmlformats.org/drawingml/2006/picture">
                      <pic:pic xmlns:pic="http://schemas.openxmlformats.org/drawingml/2006/picture">
                        <pic:nvPicPr>
                          <pic:cNvPr id="125" name="Picture_2_SpCnt_9"/>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7392"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4" name="Picture_2_SpCnt_10"/>
                  <wp:cNvGraphicFramePr/>
                  <a:graphic xmlns:a="http://schemas.openxmlformats.org/drawingml/2006/main">
                    <a:graphicData uri="http://schemas.openxmlformats.org/drawingml/2006/picture">
                      <pic:pic xmlns:pic="http://schemas.openxmlformats.org/drawingml/2006/picture">
                        <pic:nvPicPr>
                          <pic:cNvPr id="124" name="Picture_2_SpCnt_10"/>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8416"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02" name="Picture_2_SpCnt_11"/>
                  <wp:cNvGraphicFramePr/>
                  <a:graphic xmlns:a="http://schemas.openxmlformats.org/drawingml/2006/main">
                    <a:graphicData uri="http://schemas.openxmlformats.org/drawingml/2006/picture">
                      <pic:pic xmlns:pic="http://schemas.openxmlformats.org/drawingml/2006/picture">
                        <pic:nvPicPr>
                          <pic:cNvPr id="102" name="Picture_2_SpCnt_11"/>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09440"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10" name="Picture_2_SpCnt_12"/>
                  <wp:cNvGraphicFramePr/>
                  <a:graphic xmlns:a="http://schemas.openxmlformats.org/drawingml/2006/main">
                    <a:graphicData uri="http://schemas.openxmlformats.org/drawingml/2006/picture">
                      <pic:pic xmlns:pic="http://schemas.openxmlformats.org/drawingml/2006/picture">
                        <pic:nvPicPr>
                          <pic:cNvPr id="110" name="Picture_2_SpCnt_12"/>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0464"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1" name="Picture_2_SpCnt_13"/>
                  <wp:cNvGraphicFramePr/>
                  <a:graphic xmlns:a="http://schemas.openxmlformats.org/drawingml/2006/main">
                    <a:graphicData uri="http://schemas.openxmlformats.org/drawingml/2006/picture">
                      <pic:pic xmlns:pic="http://schemas.openxmlformats.org/drawingml/2006/picture">
                        <pic:nvPicPr>
                          <pic:cNvPr id="121" name="Picture_2_SpCnt_13"/>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1488"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3" name="Picture_2_SpCnt_14"/>
                  <wp:cNvGraphicFramePr/>
                  <a:graphic xmlns:a="http://schemas.openxmlformats.org/drawingml/2006/main">
                    <a:graphicData uri="http://schemas.openxmlformats.org/drawingml/2006/picture">
                      <pic:pic xmlns:pic="http://schemas.openxmlformats.org/drawingml/2006/picture">
                        <pic:nvPicPr>
                          <pic:cNvPr id="123" name="Picture_2_SpCnt_14"/>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2512"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26" name="Picture_2_SpCnt_15"/>
                  <wp:cNvGraphicFramePr/>
                  <a:graphic xmlns:a="http://schemas.openxmlformats.org/drawingml/2006/main">
                    <a:graphicData uri="http://schemas.openxmlformats.org/drawingml/2006/picture">
                      <pic:pic xmlns:pic="http://schemas.openxmlformats.org/drawingml/2006/picture">
                        <pic:nvPicPr>
                          <pic:cNvPr id="126" name="Picture_2_SpCnt_15"/>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3536"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32" name="Picture_2_SpCnt_16"/>
                  <wp:cNvGraphicFramePr/>
                  <a:graphic xmlns:a="http://schemas.openxmlformats.org/drawingml/2006/main">
                    <a:graphicData uri="http://schemas.openxmlformats.org/drawingml/2006/picture">
                      <pic:pic xmlns:pic="http://schemas.openxmlformats.org/drawingml/2006/picture">
                        <pic:nvPicPr>
                          <pic:cNvPr id="132" name="Picture_2_SpCnt_16"/>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4560" behindDoc="0" locked="0" layoutInCell="1" allowOverlap="1">
                  <wp:simplePos x="0" y="0"/>
                  <wp:positionH relativeFrom="column">
                    <wp:posOffset>866775</wp:posOffset>
                  </wp:positionH>
                  <wp:positionV relativeFrom="paragraph">
                    <wp:posOffset>0</wp:posOffset>
                  </wp:positionV>
                  <wp:extent cx="0" cy="1037590"/>
                  <wp:effectExtent l="0" t="0" r="0" b="0"/>
                  <wp:wrapNone/>
                  <wp:docPr id="103" name="Picture_2_SpCnt_17"/>
                  <wp:cNvGraphicFramePr/>
                  <a:graphic xmlns:a="http://schemas.openxmlformats.org/drawingml/2006/main">
                    <a:graphicData uri="http://schemas.openxmlformats.org/drawingml/2006/picture">
                      <pic:pic xmlns:pic="http://schemas.openxmlformats.org/drawingml/2006/picture">
                        <pic:nvPicPr>
                          <pic:cNvPr id="103" name="Picture_2_SpCnt_17"/>
                          <pic:cNvPicPr/>
                        </pic:nvPicPr>
                        <pic:blipFill>
                          <a:blip r:embed="rId33"/>
                          <a:stretch>
                            <a:fillRect/>
                          </a:stretch>
                        </pic:blipFill>
                        <pic:spPr>
                          <a:xfrm>
                            <a:off x="0" y="0"/>
                            <a:ext cx="0" cy="10375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5584" behindDoc="0" locked="0" layoutInCell="1" allowOverlap="1">
                  <wp:simplePos x="0" y="0"/>
                  <wp:positionH relativeFrom="column">
                    <wp:posOffset>866775</wp:posOffset>
                  </wp:positionH>
                  <wp:positionV relativeFrom="paragraph">
                    <wp:posOffset>0</wp:posOffset>
                  </wp:positionV>
                  <wp:extent cx="0" cy="1178560"/>
                  <wp:effectExtent l="0" t="0" r="0" b="0"/>
                  <wp:wrapNone/>
                  <wp:docPr id="118" name="Picture_2_SpCnt_18"/>
                  <wp:cNvGraphicFramePr/>
                  <a:graphic xmlns:a="http://schemas.openxmlformats.org/drawingml/2006/main">
                    <a:graphicData uri="http://schemas.openxmlformats.org/drawingml/2006/picture">
                      <pic:pic xmlns:pic="http://schemas.openxmlformats.org/drawingml/2006/picture">
                        <pic:nvPicPr>
                          <pic:cNvPr id="118" name="Picture_2_SpCnt_18"/>
                          <pic:cNvPicPr/>
                        </pic:nvPicPr>
                        <pic:blipFill>
                          <a:blip r:embed="rId33"/>
                          <a:stretch>
                            <a:fillRect/>
                          </a:stretch>
                        </pic:blipFill>
                        <pic:spPr>
                          <a:xfrm>
                            <a:off x="0" y="0"/>
                            <a:ext cx="0" cy="117856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6608" behindDoc="0" locked="0" layoutInCell="1" allowOverlap="1">
                  <wp:simplePos x="0" y="0"/>
                  <wp:positionH relativeFrom="column">
                    <wp:posOffset>866775</wp:posOffset>
                  </wp:positionH>
                  <wp:positionV relativeFrom="paragraph">
                    <wp:posOffset>0</wp:posOffset>
                  </wp:positionV>
                  <wp:extent cx="0" cy="1179195"/>
                  <wp:effectExtent l="0" t="0" r="0" b="0"/>
                  <wp:wrapNone/>
                  <wp:docPr id="104" name="Picture_2_SpCnt_19"/>
                  <wp:cNvGraphicFramePr/>
                  <a:graphic xmlns:a="http://schemas.openxmlformats.org/drawingml/2006/main">
                    <a:graphicData uri="http://schemas.openxmlformats.org/drawingml/2006/picture">
                      <pic:pic xmlns:pic="http://schemas.openxmlformats.org/drawingml/2006/picture">
                        <pic:nvPicPr>
                          <pic:cNvPr id="104" name="Picture_2_SpCnt_19"/>
                          <pic:cNvPicPr/>
                        </pic:nvPicPr>
                        <pic:blipFill>
                          <a:blip r:embed="rId33"/>
                          <a:stretch>
                            <a:fillRect/>
                          </a:stretch>
                        </pic:blipFill>
                        <pic:spPr>
                          <a:xfrm>
                            <a:off x="0" y="0"/>
                            <a:ext cx="0" cy="117919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17632" behindDoc="0" locked="0" layoutInCell="1" allowOverlap="1">
                  <wp:simplePos x="0" y="0"/>
                  <wp:positionH relativeFrom="column">
                    <wp:posOffset>866775</wp:posOffset>
                  </wp:positionH>
                  <wp:positionV relativeFrom="paragraph">
                    <wp:posOffset>0</wp:posOffset>
                  </wp:positionV>
                  <wp:extent cx="0" cy="1179195"/>
                  <wp:effectExtent l="0" t="0" r="0" b="0"/>
                  <wp:wrapNone/>
                  <wp:docPr id="128" name="Picture_2_SpCnt_20"/>
                  <wp:cNvGraphicFramePr/>
                  <a:graphic xmlns:a="http://schemas.openxmlformats.org/drawingml/2006/main">
                    <a:graphicData uri="http://schemas.openxmlformats.org/drawingml/2006/picture">
                      <pic:pic xmlns:pic="http://schemas.openxmlformats.org/drawingml/2006/picture">
                        <pic:nvPicPr>
                          <pic:cNvPr id="128" name="Picture_2_SpCnt_20"/>
                          <pic:cNvPicPr/>
                        </pic:nvPicPr>
                        <pic:blipFill>
                          <a:blip r:embed="rId33"/>
                          <a:stretch>
                            <a:fillRect/>
                          </a:stretch>
                        </pic:blipFill>
                        <pic:spPr>
                          <a:xfrm>
                            <a:off x="0" y="0"/>
                            <a:ext cx="0" cy="1179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讲台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1450*600*1012</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1.尺寸：1450*600*1012mm;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2.材质：18mm厚实木多层板+钢制柜体</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工艺：柜体采用三维立体激光微缝切割，柜体一体成型，箱体精密度和牢固度强，经高温粉体烤漆，长时间使用也不会产生表面漆剥落现象。面板基层采用防水，防潮,防火,耐高温25mm厚多层板热压成型，贴三聚氰胺饰面纸，耐划，坚固、美观、产品完全符合国家标准，其甲醛释放量为零。桌面封边条：采用厚度≥2.0mm耐老化PVC封边条封边，甲醛释放量达到国家环保水平。</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4.功能：桌面角度可调整，柜体预留智能信息终端设备孔位及空间，底部配置轮子，方便移动。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719680" behindDoc="0" locked="0" layoutInCell="1" allowOverlap="1">
                  <wp:simplePos x="0" y="0"/>
                  <wp:positionH relativeFrom="column">
                    <wp:posOffset>172720</wp:posOffset>
                  </wp:positionH>
                  <wp:positionV relativeFrom="paragraph">
                    <wp:posOffset>619125</wp:posOffset>
                  </wp:positionV>
                  <wp:extent cx="1427480" cy="1212850"/>
                  <wp:effectExtent l="0" t="0" r="1270" b="6350"/>
                  <wp:wrapNone/>
                  <wp:docPr id="130" name="图片_147"/>
                  <wp:cNvGraphicFramePr/>
                  <a:graphic xmlns:a="http://schemas.openxmlformats.org/drawingml/2006/main">
                    <a:graphicData uri="http://schemas.openxmlformats.org/drawingml/2006/picture">
                      <pic:pic xmlns:pic="http://schemas.openxmlformats.org/drawingml/2006/picture">
                        <pic:nvPicPr>
                          <pic:cNvPr id="130" name="图片_147"/>
                          <pic:cNvPicPr/>
                        </pic:nvPicPr>
                        <pic:blipFill>
                          <a:blip r:embed="rId46"/>
                          <a:stretch>
                            <a:fillRect/>
                          </a:stretch>
                        </pic:blipFill>
                        <pic:spPr>
                          <a:xfrm>
                            <a:off x="0" y="0"/>
                            <a:ext cx="1427480" cy="1212850"/>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0" cy="37465"/>
                  <wp:effectExtent l="0" t="0" r="0" b="0"/>
                  <wp:wrapNone/>
                  <wp:docPr id="131" name="Picture_2_SpCnt_21"/>
                  <wp:cNvGraphicFramePr/>
                  <a:graphic xmlns:a="http://schemas.openxmlformats.org/drawingml/2006/main">
                    <a:graphicData uri="http://schemas.openxmlformats.org/drawingml/2006/picture">
                      <pic:pic xmlns:pic="http://schemas.openxmlformats.org/drawingml/2006/picture">
                        <pic:nvPicPr>
                          <pic:cNvPr id="131" name="Picture_2_SpCnt_21"/>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0704"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05" name="Picture_2_SpCnt_22"/>
                  <wp:cNvGraphicFramePr/>
                  <a:graphic xmlns:a="http://schemas.openxmlformats.org/drawingml/2006/main">
                    <a:graphicData uri="http://schemas.openxmlformats.org/drawingml/2006/picture">
                      <pic:pic xmlns:pic="http://schemas.openxmlformats.org/drawingml/2006/picture">
                        <pic:nvPicPr>
                          <pic:cNvPr id="105" name="Picture_2_SpCnt_22"/>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1728"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1" name="Picture_2_SpCnt_23"/>
                  <wp:cNvGraphicFramePr/>
                  <a:graphic xmlns:a="http://schemas.openxmlformats.org/drawingml/2006/main">
                    <a:graphicData uri="http://schemas.openxmlformats.org/drawingml/2006/picture">
                      <pic:pic xmlns:pic="http://schemas.openxmlformats.org/drawingml/2006/picture">
                        <pic:nvPicPr>
                          <pic:cNvPr id="111" name="Picture_2_SpCnt_23"/>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2752"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3" name="Picture_2_SpCnt_24"/>
                  <wp:cNvGraphicFramePr/>
                  <a:graphic xmlns:a="http://schemas.openxmlformats.org/drawingml/2006/main">
                    <a:graphicData uri="http://schemas.openxmlformats.org/drawingml/2006/picture">
                      <pic:pic xmlns:pic="http://schemas.openxmlformats.org/drawingml/2006/picture">
                        <pic:nvPicPr>
                          <pic:cNvPr id="113" name="Picture_2_SpCnt_24"/>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3776"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06" name="Picture_2_SpCnt_25"/>
                  <wp:cNvGraphicFramePr/>
                  <a:graphic xmlns:a="http://schemas.openxmlformats.org/drawingml/2006/main">
                    <a:graphicData uri="http://schemas.openxmlformats.org/drawingml/2006/picture">
                      <pic:pic xmlns:pic="http://schemas.openxmlformats.org/drawingml/2006/picture">
                        <pic:nvPicPr>
                          <pic:cNvPr id="106" name="Picture_2_SpCnt_25"/>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4800"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4" name="Picture_2_SpCnt_26"/>
                  <wp:cNvGraphicFramePr/>
                  <a:graphic xmlns:a="http://schemas.openxmlformats.org/drawingml/2006/main">
                    <a:graphicData uri="http://schemas.openxmlformats.org/drawingml/2006/picture">
                      <pic:pic xmlns:pic="http://schemas.openxmlformats.org/drawingml/2006/picture">
                        <pic:nvPicPr>
                          <pic:cNvPr id="114" name="Picture_2_SpCnt_26"/>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5824"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2" name="Picture_2_SpCnt_27"/>
                  <wp:cNvGraphicFramePr/>
                  <a:graphic xmlns:a="http://schemas.openxmlformats.org/drawingml/2006/main">
                    <a:graphicData uri="http://schemas.openxmlformats.org/drawingml/2006/picture">
                      <pic:pic xmlns:pic="http://schemas.openxmlformats.org/drawingml/2006/picture">
                        <pic:nvPicPr>
                          <pic:cNvPr id="112" name="Picture_2_SpCnt_27"/>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6848"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6" name="Picture_2_SpCnt_28"/>
                  <wp:cNvGraphicFramePr/>
                  <a:graphic xmlns:a="http://schemas.openxmlformats.org/drawingml/2006/main">
                    <a:graphicData uri="http://schemas.openxmlformats.org/drawingml/2006/picture">
                      <pic:pic xmlns:pic="http://schemas.openxmlformats.org/drawingml/2006/picture">
                        <pic:nvPicPr>
                          <pic:cNvPr id="116" name="Picture_2_SpCnt_28"/>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7872"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5" name="Picture_2_SpCnt_29"/>
                  <wp:cNvGraphicFramePr/>
                  <a:graphic xmlns:a="http://schemas.openxmlformats.org/drawingml/2006/main">
                    <a:graphicData uri="http://schemas.openxmlformats.org/drawingml/2006/picture">
                      <pic:pic xmlns:pic="http://schemas.openxmlformats.org/drawingml/2006/picture">
                        <pic:nvPicPr>
                          <pic:cNvPr id="115" name="Picture_2_SpCnt_29"/>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8896"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7" name="Picture_2_SpCnt_30"/>
                  <wp:cNvGraphicFramePr/>
                  <a:graphic xmlns:a="http://schemas.openxmlformats.org/drawingml/2006/main">
                    <a:graphicData uri="http://schemas.openxmlformats.org/drawingml/2006/picture">
                      <pic:pic xmlns:pic="http://schemas.openxmlformats.org/drawingml/2006/picture">
                        <pic:nvPicPr>
                          <pic:cNvPr id="117" name="Picture_2_SpCnt_30"/>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29920"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19" name="Picture_2_SpCnt_31"/>
                  <wp:cNvGraphicFramePr/>
                  <a:graphic xmlns:a="http://schemas.openxmlformats.org/drawingml/2006/main">
                    <a:graphicData uri="http://schemas.openxmlformats.org/drawingml/2006/picture">
                      <pic:pic xmlns:pic="http://schemas.openxmlformats.org/drawingml/2006/picture">
                        <pic:nvPicPr>
                          <pic:cNvPr id="119" name="Picture_2_SpCnt_31"/>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30944"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20" name="Picture_2_SpCnt_32"/>
                  <wp:cNvGraphicFramePr/>
                  <a:graphic xmlns:a="http://schemas.openxmlformats.org/drawingml/2006/main">
                    <a:graphicData uri="http://schemas.openxmlformats.org/drawingml/2006/picture">
                      <pic:pic xmlns:pic="http://schemas.openxmlformats.org/drawingml/2006/picture">
                        <pic:nvPicPr>
                          <pic:cNvPr id="120" name="Picture_2_SpCnt_32"/>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31968"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64" name="Picture_2_SpCnt_33"/>
                  <wp:cNvGraphicFramePr/>
                  <a:graphic xmlns:a="http://schemas.openxmlformats.org/drawingml/2006/main">
                    <a:graphicData uri="http://schemas.openxmlformats.org/drawingml/2006/picture">
                      <pic:pic xmlns:pic="http://schemas.openxmlformats.org/drawingml/2006/picture">
                        <pic:nvPicPr>
                          <pic:cNvPr id="164" name="Picture_2_SpCnt_33"/>
                          <pic:cNvPicPr/>
                        </pic:nvPicPr>
                        <pic:blipFill>
                          <a:blip r:embed="rId33"/>
                          <a:stretch>
                            <a:fillRect/>
                          </a:stretch>
                        </pic:blipFill>
                        <pic:spPr>
                          <a:xfrm>
                            <a:off x="0" y="0"/>
                            <a:ext cx="0" cy="118046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32992" behindDoc="0" locked="0" layoutInCell="1" allowOverlap="1">
                  <wp:simplePos x="0" y="0"/>
                  <wp:positionH relativeFrom="column">
                    <wp:posOffset>866775</wp:posOffset>
                  </wp:positionH>
                  <wp:positionV relativeFrom="paragraph">
                    <wp:posOffset>0</wp:posOffset>
                  </wp:positionV>
                  <wp:extent cx="0" cy="1180465"/>
                  <wp:effectExtent l="0" t="0" r="0" b="0"/>
                  <wp:wrapNone/>
                  <wp:docPr id="157" name="Picture_2_SpCnt_34"/>
                  <wp:cNvGraphicFramePr/>
                  <a:graphic xmlns:a="http://schemas.openxmlformats.org/drawingml/2006/main">
                    <a:graphicData uri="http://schemas.openxmlformats.org/drawingml/2006/picture">
                      <pic:pic xmlns:pic="http://schemas.openxmlformats.org/drawingml/2006/picture">
                        <pic:nvPicPr>
                          <pic:cNvPr id="157" name="Picture_2_SpCnt_34"/>
                          <pic:cNvPicPr/>
                        </pic:nvPicPr>
                        <pic:blipFill>
                          <a:blip r:embed="rId33"/>
                          <a:stretch>
                            <a:fillRect/>
                          </a:stretch>
                        </pic:blipFill>
                        <pic:spPr>
                          <a:xfrm>
                            <a:off x="0" y="0"/>
                            <a:ext cx="0" cy="1180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7"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3</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学生椅</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450*550*735</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A. 椅背：</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1.材质：采用PP塑料一体射出成型，不得采用回收料生产。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2.椅背套钢管整体尺寸：长450mm×宽195mm。椅背中间拉手尺寸375mm*125MM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3.功能：靠背曲线得需契合人体脊柱的弯曲度，可承托背部。同时椅背整体拉手部分必须是圆弧形，方便提拉时不伤到手。</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B. 坐垫：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1.材质：采用PP塑料一体射出成型。不得采用回收料生产。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2.尺寸：395mm×405mm。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功能：坐垫宽阔厚实，弧形塑臀，坐垫整体得需采用边凹内陷设计，座垫下预留多个透气孔，座垫可拆卸，可以在坐垫上随时增加软坐垫，一款多用型，塑料座垫方便整理打扫，软垫增加弹性保持舒适度，坐垫后端采用一弧形凸块设计。托住人体尾椎部分，尾椎不承受空的支撑，座面可翻动，方便水平叠放，节省空间。可调节的个人化工作桌面，PP塑料写字板，写字板尺寸300*420MM,方便培训A3纸时使用，开放式的座位设计，提供便捷的带挂包功能扶手，写字板可360度旋转，疲劳，完成符合人体工程学设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C.椅架钢架：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1.材质及形状：采圆钢管，一次弯管成型，结构得需牢固，长时间使用不得产生摇晃、松散的现象。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2.尺寸：钢管为&amp;22×厚2.5mm；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表面涂装：钢管管采用高温烤漆工艺；坐垫底部支撑铁管焊接完成后的钢管架，表面需经酸洗、脱脂、磷化处理。外表采一级颗粒粉末，经高温粉体烤漆，不得有刮伤货脱漆现象。涂层需无漏喷、锈蚀；涂层需光滑均匀，色泽一致，需无流挂、疙瘩、皱皮、飞漆等缺陷。涂层需平整光滑、清晰，需无明显粒子、涨边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功能：坐垫座面可翻动，方便水平叠放，节省空间。可调节的个人化工作桌面，坐垫下跟钢架连接处预留塑料垫片，垫片尺寸135*20MM,方便坐垫翻下钢架不跟椅架相碰，避免椅架油漆脱落。椅架采用前小后宽设计，方便水平插接，节省收纳空间。椅架后架装有软性塑料，避免椅架收起时碰到油漆，尺寸45*25MM.方便。简洁。 不带轮子 （见下图收合后造型图）。</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D管套：</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1.材质：采PP塑料一级新料一体射出成型，不得采用回收料生产。</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156</w:t>
            </w:r>
          </w:p>
        </w:tc>
        <w:tc>
          <w:tcPr>
            <w:tcW w:w="3065" w:type="dxa"/>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736064" behindDoc="0" locked="0" layoutInCell="1" allowOverlap="1">
                  <wp:simplePos x="0" y="0"/>
                  <wp:positionH relativeFrom="column">
                    <wp:posOffset>139700</wp:posOffset>
                  </wp:positionH>
                  <wp:positionV relativeFrom="paragraph">
                    <wp:posOffset>2214245</wp:posOffset>
                  </wp:positionV>
                  <wp:extent cx="1431925" cy="2893060"/>
                  <wp:effectExtent l="0" t="0" r="15875" b="2540"/>
                  <wp:wrapNone/>
                  <wp:docPr id="154" name="图片_151"/>
                  <wp:cNvGraphicFramePr/>
                  <a:graphic xmlns:a="http://schemas.openxmlformats.org/drawingml/2006/main">
                    <a:graphicData uri="http://schemas.openxmlformats.org/drawingml/2006/picture">
                      <pic:pic xmlns:pic="http://schemas.openxmlformats.org/drawingml/2006/picture">
                        <pic:nvPicPr>
                          <pic:cNvPr id="154" name="图片_151"/>
                          <pic:cNvPicPr/>
                        </pic:nvPicPr>
                        <pic:blipFill>
                          <a:blip r:embed="rId47"/>
                          <a:stretch>
                            <a:fillRect/>
                          </a:stretch>
                        </pic:blipFill>
                        <pic:spPr>
                          <a:xfrm>
                            <a:off x="0" y="0"/>
                            <a:ext cx="1431925" cy="2893060"/>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17855" cy="0"/>
                  <wp:effectExtent l="0" t="0" r="0" b="0"/>
                  <wp:wrapNone/>
                  <wp:docPr id="146" name="Picture_2_SpCnt_35"/>
                  <wp:cNvGraphicFramePr/>
                  <a:graphic xmlns:a="http://schemas.openxmlformats.org/drawingml/2006/main">
                    <a:graphicData uri="http://schemas.openxmlformats.org/drawingml/2006/picture">
                      <pic:pic xmlns:pic="http://schemas.openxmlformats.org/drawingml/2006/picture">
                        <pic:nvPicPr>
                          <pic:cNvPr id="146" name="Picture_2_SpCnt_35"/>
                          <pic:cNvPicPr/>
                        </pic:nvPicPr>
                        <pic:blipFill>
                          <a:blip r:embed="rId33"/>
                          <a:stretch>
                            <a:fillRect/>
                          </a:stretch>
                        </pic:blipFill>
                        <pic:spPr>
                          <a:xfrm>
                            <a:off x="0" y="0"/>
                            <a:ext cx="617855" cy="0"/>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0" cy="37465"/>
                  <wp:effectExtent l="0" t="0" r="0" b="0"/>
                  <wp:wrapNone/>
                  <wp:docPr id="135" name="Picture_2_SpCnt_36"/>
                  <wp:cNvGraphicFramePr/>
                  <a:graphic xmlns:a="http://schemas.openxmlformats.org/drawingml/2006/main">
                    <a:graphicData uri="http://schemas.openxmlformats.org/drawingml/2006/picture">
                      <pic:pic xmlns:pic="http://schemas.openxmlformats.org/drawingml/2006/picture">
                        <pic:nvPicPr>
                          <pic:cNvPr id="135" name="Picture_2_SpCnt_36"/>
                          <pic:cNvPicPr/>
                        </pic:nvPicPr>
                        <pic:blipFill>
                          <a:blip r:embed="rId33"/>
                          <a:stretch>
                            <a:fillRect/>
                          </a:stretch>
                        </pic:blipFill>
                        <pic:spPr>
                          <a:xfrm>
                            <a:off x="0" y="0"/>
                            <a:ext cx="0" cy="37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4</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合唱台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D1220*W1150*H610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1.尺寸：三层尺寸D1220*W1150*H610mm；每层台阶款宽380mm，高200mm；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2.材质：高密度PE；</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3.工艺：吹塑制作，材质轻，耐磨抗压，抗氧化功能强，长期使用也不会产生开裂现象，硬度和强度高，吸水性小，优良的电绝缘性，耐寒；</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4.功能：合唱台台阶可翻转设计，可调整为两层合唱台也可以变为一个整体的小舞台，侧面轮子设计方便推移。</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737088" behindDoc="0" locked="0" layoutInCell="1" allowOverlap="1">
                  <wp:simplePos x="0" y="0"/>
                  <wp:positionH relativeFrom="column">
                    <wp:posOffset>230505</wp:posOffset>
                  </wp:positionH>
                  <wp:positionV relativeFrom="paragraph">
                    <wp:posOffset>188595</wp:posOffset>
                  </wp:positionV>
                  <wp:extent cx="1330960" cy="969645"/>
                  <wp:effectExtent l="0" t="0" r="2540" b="1905"/>
                  <wp:wrapNone/>
                  <wp:docPr id="136" name="图片_123"/>
                  <wp:cNvGraphicFramePr/>
                  <a:graphic xmlns:a="http://schemas.openxmlformats.org/drawingml/2006/main">
                    <a:graphicData uri="http://schemas.openxmlformats.org/drawingml/2006/picture">
                      <pic:pic xmlns:pic="http://schemas.openxmlformats.org/drawingml/2006/picture">
                        <pic:nvPicPr>
                          <pic:cNvPr id="136" name="图片_123"/>
                          <pic:cNvPicPr/>
                        </pic:nvPicPr>
                        <pic:blipFill>
                          <a:blip r:embed="rId48"/>
                          <a:stretch>
                            <a:fillRect/>
                          </a:stretch>
                        </pic:blipFill>
                        <pic:spPr>
                          <a:xfrm>
                            <a:off x="0" y="0"/>
                            <a:ext cx="1330960" cy="96964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38112" behindDoc="0" locked="0" layoutInCell="1" allowOverlap="1">
                  <wp:simplePos x="0" y="0"/>
                  <wp:positionH relativeFrom="column">
                    <wp:posOffset>866775</wp:posOffset>
                  </wp:positionH>
                  <wp:positionV relativeFrom="paragraph">
                    <wp:posOffset>0</wp:posOffset>
                  </wp:positionV>
                  <wp:extent cx="0" cy="318135"/>
                  <wp:effectExtent l="0" t="0" r="0" b="0"/>
                  <wp:wrapNone/>
                  <wp:docPr id="153" name="Picture_2_SpCnt_37"/>
                  <wp:cNvGraphicFramePr/>
                  <a:graphic xmlns:a="http://schemas.openxmlformats.org/drawingml/2006/main">
                    <a:graphicData uri="http://schemas.openxmlformats.org/drawingml/2006/picture">
                      <pic:pic xmlns:pic="http://schemas.openxmlformats.org/drawingml/2006/picture">
                        <pic:nvPicPr>
                          <pic:cNvPr id="153" name="Picture_2_SpCnt_37"/>
                          <pic:cNvPicPr/>
                        </pic:nvPicPr>
                        <pic:blipFill>
                          <a:blip r:embed="rId33"/>
                          <a:stretch>
                            <a:fillRect/>
                          </a:stretch>
                        </pic:blipFill>
                        <pic:spPr>
                          <a:xfrm>
                            <a:off x="0" y="0"/>
                            <a:ext cx="0" cy="318135"/>
                          </a:xfrm>
                          <a:prstGeom prst="rect">
                            <a:avLst/>
                          </a:prstGeom>
                          <a:noFill/>
                          <a:ln>
                            <a:noFill/>
                          </a:ln>
                        </pic:spPr>
                      </pic:pic>
                    </a:graphicData>
                  </a:graphic>
                </wp:anchor>
              </w:drawing>
            </w:r>
            <w:r>
              <w:rPr>
                <w:rFonts w:hint="eastAsia" w:ascii="宋体" w:hAnsi="宋体" w:eastAsia="宋体" w:cs="宋体"/>
                <w:b/>
                <w:bCs/>
                <w:color w:val="000000"/>
                <w:kern w:val="0"/>
                <w:sz w:val="18"/>
                <w:szCs w:val="18"/>
                <w:bdr w:val="single" w:color="000000" w:sz="4" w:space="0"/>
              </w:rPr>
              <w:drawing>
                <wp:anchor distT="0" distB="0" distL="114300" distR="114300" simplePos="0" relativeHeight="251739136" behindDoc="0" locked="0" layoutInCell="1" allowOverlap="1">
                  <wp:simplePos x="0" y="0"/>
                  <wp:positionH relativeFrom="column">
                    <wp:posOffset>866775</wp:posOffset>
                  </wp:positionH>
                  <wp:positionV relativeFrom="paragraph">
                    <wp:posOffset>0</wp:posOffset>
                  </wp:positionV>
                  <wp:extent cx="0" cy="318135"/>
                  <wp:effectExtent l="0" t="0" r="0" b="0"/>
                  <wp:wrapNone/>
                  <wp:docPr id="155" name="Picture_2_SpCnt_38"/>
                  <wp:cNvGraphicFramePr/>
                  <a:graphic xmlns:a="http://schemas.openxmlformats.org/drawingml/2006/main">
                    <a:graphicData uri="http://schemas.openxmlformats.org/drawingml/2006/picture">
                      <pic:pic xmlns:pic="http://schemas.openxmlformats.org/drawingml/2006/picture">
                        <pic:nvPicPr>
                          <pic:cNvPr id="155" name="Picture_2_SpCnt_38"/>
                          <pic:cNvPicPr/>
                        </pic:nvPicPr>
                        <pic:blipFill>
                          <a:blip r:embed="rId33"/>
                          <a:stretch>
                            <a:fillRect/>
                          </a:stretch>
                        </pic:blipFill>
                        <pic:spPr>
                          <a:xfrm>
                            <a:off x="0" y="0"/>
                            <a:ext cx="0" cy="318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5</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鞋柜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4100*400*600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柜面板材质说明：面板基层采用防水，防潮,防火,耐高温25mm厚多层板热压成型，贴三聚氰胺饰面纸，耐划，坚固、美观、产品完全符合国家标准，其甲醛释放量为零。封边条：采用厚度≥2.0mm耐老化PVC封边条封边，甲醛释放量达到国家环保水平。                柜体采用18mm厚度的环保E1级绿色环保三聚氰胺板，耐划，坚固、美观，具有防火、防潮、耐磨、硬度高、易去污，可长期保持整洁等优点；所有板材均经过防虫、防腐等化学处理，符合国家绿色环保板材要求，达到国际握钉力测试标准；采用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40160" behindDoc="0" locked="0" layoutInCell="1" allowOverlap="1">
                  <wp:simplePos x="0" y="0"/>
                  <wp:positionH relativeFrom="column">
                    <wp:posOffset>190500</wp:posOffset>
                  </wp:positionH>
                  <wp:positionV relativeFrom="paragraph">
                    <wp:posOffset>781050</wp:posOffset>
                  </wp:positionV>
                  <wp:extent cx="1452245" cy="683895"/>
                  <wp:effectExtent l="0" t="0" r="14605" b="1905"/>
                  <wp:wrapNone/>
                  <wp:docPr id="158" name="图片_92"/>
                  <wp:cNvGraphicFramePr/>
                  <a:graphic xmlns:a="http://schemas.openxmlformats.org/drawingml/2006/main">
                    <a:graphicData uri="http://schemas.openxmlformats.org/drawingml/2006/picture">
                      <pic:pic xmlns:pic="http://schemas.openxmlformats.org/drawingml/2006/picture">
                        <pic:nvPicPr>
                          <pic:cNvPr id="158" name="图片_92"/>
                          <pic:cNvPicPr/>
                        </pic:nvPicPr>
                        <pic:blipFill>
                          <a:blip r:embed="rId49"/>
                          <a:stretch>
                            <a:fillRect/>
                          </a:stretch>
                        </pic:blipFill>
                        <pic:spPr>
                          <a:xfrm>
                            <a:off x="0" y="0"/>
                            <a:ext cx="1452245" cy="68389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41184"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41" name="Picture_2_SpCnt_39"/>
                  <wp:cNvGraphicFramePr/>
                  <a:graphic xmlns:a="http://schemas.openxmlformats.org/drawingml/2006/main">
                    <a:graphicData uri="http://schemas.openxmlformats.org/drawingml/2006/picture">
                      <pic:pic xmlns:pic="http://schemas.openxmlformats.org/drawingml/2006/picture">
                        <pic:nvPicPr>
                          <pic:cNvPr id="141" name="Picture_2_SpCnt_39"/>
                          <pic:cNvPicPr/>
                        </pic:nvPicPr>
                        <pic:blipFill>
                          <a:blip r:embed="rId33"/>
                          <a:stretch>
                            <a:fillRect/>
                          </a:stretch>
                        </pic:blipFill>
                        <pic:spPr>
                          <a:xfrm>
                            <a:off x="0" y="0"/>
                            <a:ext cx="0" cy="22498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42208"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56" name="Picture_2_SpCnt_40"/>
                  <wp:cNvGraphicFramePr/>
                  <a:graphic xmlns:a="http://schemas.openxmlformats.org/drawingml/2006/main">
                    <a:graphicData uri="http://schemas.openxmlformats.org/drawingml/2006/picture">
                      <pic:pic xmlns:pic="http://schemas.openxmlformats.org/drawingml/2006/picture">
                        <pic:nvPicPr>
                          <pic:cNvPr id="156" name="Picture_2_SpCnt_40"/>
                          <pic:cNvPicPr/>
                        </pic:nvPicPr>
                        <pic:blipFill>
                          <a:blip r:embed="rId33"/>
                          <a:stretch>
                            <a:fillRect/>
                          </a:stretch>
                        </pic:blipFill>
                        <pic:spPr>
                          <a:xfrm>
                            <a:off x="0" y="0"/>
                            <a:ext cx="0" cy="22498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43232"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59" name="Picture_2_SpCnt_41"/>
                  <wp:cNvGraphicFramePr/>
                  <a:graphic xmlns:a="http://schemas.openxmlformats.org/drawingml/2006/main">
                    <a:graphicData uri="http://schemas.openxmlformats.org/drawingml/2006/picture">
                      <pic:pic xmlns:pic="http://schemas.openxmlformats.org/drawingml/2006/picture">
                        <pic:nvPicPr>
                          <pic:cNvPr id="159" name="Picture_2_SpCnt_41"/>
                          <pic:cNvPicPr/>
                        </pic:nvPicPr>
                        <pic:blipFill>
                          <a:blip r:embed="rId33"/>
                          <a:stretch>
                            <a:fillRect/>
                          </a:stretch>
                        </pic:blipFill>
                        <pic:spPr>
                          <a:xfrm>
                            <a:off x="0" y="0"/>
                            <a:ext cx="0" cy="22498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44256"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47" name="Picture_2_SpCnt_42"/>
                  <wp:cNvGraphicFramePr/>
                  <a:graphic xmlns:a="http://schemas.openxmlformats.org/drawingml/2006/main">
                    <a:graphicData uri="http://schemas.openxmlformats.org/drawingml/2006/picture">
                      <pic:pic xmlns:pic="http://schemas.openxmlformats.org/drawingml/2006/picture">
                        <pic:nvPicPr>
                          <pic:cNvPr id="147" name="Picture_2_SpCnt_42"/>
                          <pic:cNvPicPr/>
                        </pic:nvPicPr>
                        <pic:blipFill>
                          <a:blip r:embed="rId33"/>
                          <a:stretch>
                            <a:fillRect/>
                          </a:stretch>
                        </pic:blipFill>
                        <pic:spPr>
                          <a:xfrm>
                            <a:off x="0" y="0"/>
                            <a:ext cx="0" cy="2249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6</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衣柜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1600*500*2000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材质：：采用E1级板，厚度18mm,基材采用实木多层板，贴三聚氰胺饰面纸，耐划，坚固、美观、产品完全符合国家标准，其甲醛释放量为零，pvc封边制作。五金件采用</w:t>
            </w:r>
            <w:r>
              <w:rPr>
                <w:rFonts w:hint="eastAsia"/>
              </w:rPr>
              <w:t>不锈钢</w:t>
            </w:r>
            <w:r>
              <w:rPr>
                <w:rFonts w:hint="eastAsia" w:ascii="宋体" w:hAnsi="宋体" w:eastAsia="宋体" w:cs="宋体"/>
                <w:color w:val="000000"/>
                <w:kern w:val="0"/>
                <w:sz w:val="18"/>
                <w:szCs w:val="18"/>
                <w:lang w:bidi="ar"/>
              </w:rPr>
              <w:t>液压铰链，缓冲效果是普通铰链的五倍；</w:t>
            </w:r>
          </w:p>
        </w:tc>
        <w:tc>
          <w:tcPr>
            <w:tcW w:w="582"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45280" behindDoc="0" locked="0" layoutInCell="1" allowOverlap="1">
                  <wp:simplePos x="0" y="0"/>
                  <wp:positionH relativeFrom="column">
                    <wp:posOffset>228600</wp:posOffset>
                  </wp:positionH>
                  <wp:positionV relativeFrom="paragraph">
                    <wp:posOffset>66675</wp:posOffset>
                  </wp:positionV>
                  <wp:extent cx="1583690" cy="1809750"/>
                  <wp:effectExtent l="0" t="0" r="16510" b="0"/>
                  <wp:wrapNone/>
                  <wp:docPr id="142" name="图片_152"/>
                  <wp:cNvGraphicFramePr/>
                  <a:graphic xmlns:a="http://schemas.openxmlformats.org/drawingml/2006/main">
                    <a:graphicData uri="http://schemas.openxmlformats.org/drawingml/2006/picture">
                      <pic:pic xmlns:pic="http://schemas.openxmlformats.org/drawingml/2006/picture">
                        <pic:nvPicPr>
                          <pic:cNvPr id="142" name="图片_152"/>
                          <pic:cNvPicPr/>
                        </pic:nvPicPr>
                        <pic:blipFill>
                          <a:blip r:embed="rId50"/>
                          <a:stretch>
                            <a:fillRect/>
                          </a:stretch>
                        </pic:blipFill>
                        <pic:spPr>
                          <a:xfrm>
                            <a:off x="0" y="0"/>
                            <a:ext cx="1583690" cy="180975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46304"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60" name="Picture_2_SpCnt_43"/>
                  <wp:cNvGraphicFramePr/>
                  <a:graphic xmlns:a="http://schemas.openxmlformats.org/drawingml/2006/main">
                    <a:graphicData uri="http://schemas.openxmlformats.org/drawingml/2006/picture">
                      <pic:pic xmlns:pic="http://schemas.openxmlformats.org/drawingml/2006/picture">
                        <pic:nvPicPr>
                          <pic:cNvPr id="160" name="Picture_2_SpCnt_43"/>
                          <pic:cNvPicPr/>
                        </pic:nvPicPr>
                        <pic:blipFill>
                          <a:blip r:embed="rId33"/>
                          <a:stretch>
                            <a:fillRect/>
                          </a:stretch>
                        </pic:blipFill>
                        <pic:spPr>
                          <a:xfrm>
                            <a:off x="0" y="0"/>
                            <a:ext cx="0" cy="22498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47328" behindDoc="0" locked="0" layoutInCell="1" allowOverlap="1">
                  <wp:simplePos x="0" y="0"/>
                  <wp:positionH relativeFrom="column">
                    <wp:posOffset>866775</wp:posOffset>
                  </wp:positionH>
                  <wp:positionV relativeFrom="paragraph">
                    <wp:posOffset>0</wp:posOffset>
                  </wp:positionV>
                  <wp:extent cx="0" cy="2249805"/>
                  <wp:effectExtent l="0" t="0" r="0" b="0"/>
                  <wp:wrapNone/>
                  <wp:docPr id="145" name="Picture_2_SpCnt_44"/>
                  <wp:cNvGraphicFramePr/>
                  <a:graphic xmlns:a="http://schemas.openxmlformats.org/drawingml/2006/main">
                    <a:graphicData uri="http://schemas.openxmlformats.org/drawingml/2006/picture">
                      <pic:pic xmlns:pic="http://schemas.openxmlformats.org/drawingml/2006/picture">
                        <pic:nvPicPr>
                          <pic:cNvPr id="145" name="Picture_2_SpCnt_44"/>
                          <pic:cNvPicPr/>
                        </pic:nvPicPr>
                        <pic:blipFill>
                          <a:blip r:embed="rId33"/>
                          <a:stretch>
                            <a:fillRect/>
                          </a:stretch>
                        </pic:blipFill>
                        <pic:spPr>
                          <a:xfrm>
                            <a:off x="0" y="0"/>
                            <a:ext cx="0" cy="22498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48352" behindDoc="0" locked="0" layoutInCell="1" allowOverlap="1">
                  <wp:simplePos x="0" y="0"/>
                  <wp:positionH relativeFrom="column">
                    <wp:posOffset>1046480</wp:posOffset>
                  </wp:positionH>
                  <wp:positionV relativeFrom="paragraph">
                    <wp:posOffset>0</wp:posOffset>
                  </wp:positionV>
                  <wp:extent cx="1002030" cy="1270"/>
                  <wp:effectExtent l="0" t="0" r="0" b="0"/>
                  <wp:wrapNone/>
                  <wp:docPr id="162" name="图片_1"/>
                  <wp:cNvGraphicFramePr/>
                  <a:graphic xmlns:a="http://schemas.openxmlformats.org/drawingml/2006/main">
                    <a:graphicData uri="http://schemas.openxmlformats.org/drawingml/2006/picture">
                      <pic:pic xmlns:pic="http://schemas.openxmlformats.org/drawingml/2006/picture">
                        <pic:nvPicPr>
                          <pic:cNvPr id="162" name="图片_1"/>
                          <pic:cNvPicPr/>
                        </pic:nvPicPr>
                        <pic:blipFill>
                          <a:blip r:embed="rId51"/>
                          <a:stretch>
                            <a:fillRect/>
                          </a:stretch>
                        </pic:blipFill>
                        <pic:spPr>
                          <a:xfrm>
                            <a:off x="0" y="0"/>
                            <a:ext cx="1002030" cy="1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7</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挂衣柜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1000*500*2000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柜体采用铝合金圆管做支架，横杆采用铝合金挂衣杆，两边配搭扣，方便挂杆悬扣，四周配挂帘，挂帘采用无纺布，布艺顺畅自然，不褶皱，不起球，易清洁。</w:t>
            </w:r>
          </w:p>
        </w:tc>
        <w:tc>
          <w:tcPr>
            <w:tcW w:w="582"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49376" behindDoc="0" locked="0" layoutInCell="1" allowOverlap="1">
                  <wp:simplePos x="0" y="0"/>
                  <wp:positionH relativeFrom="column">
                    <wp:posOffset>208915</wp:posOffset>
                  </wp:positionH>
                  <wp:positionV relativeFrom="paragraph">
                    <wp:posOffset>114300</wp:posOffset>
                  </wp:positionV>
                  <wp:extent cx="1525270" cy="1320165"/>
                  <wp:effectExtent l="0" t="0" r="17780" b="13335"/>
                  <wp:wrapNone/>
                  <wp:docPr id="143" name="图片_158"/>
                  <wp:cNvGraphicFramePr/>
                  <a:graphic xmlns:a="http://schemas.openxmlformats.org/drawingml/2006/main">
                    <a:graphicData uri="http://schemas.openxmlformats.org/drawingml/2006/picture">
                      <pic:pic xmlns:pic="http://schemas.openxmlformats.org/drawingml/2006/picture">
                        <pic:nvPicPr>
                          <pic:cNvPr id="143" name="图片_158"/>
                          <pic:cNvPicPr/>
                        </pic:nvPicPr>
                        <pic:blipFill>
                          <a:blip r:embed="rId52"/>
                          <a:stretch>
                            <a:fillRect/>
                          </a:stretch>
                        </pic:blipFill>
                        <pic:spPr>
                          <a:xfrm>
                            <a:off x="0" y="0"/>
                            <a:ext cx="1525270" cy="1320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8</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边台</w:t>
            </w:r>
          </w:p>
        </w:tc>
        <w:tc>
          <w:tcPr>
            <w:tcW w:w="1144"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3500*600*800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板材质说明：采用E1级绿色环保型三聚氰胺板，经过防虫防腐处理，纹理清晰，自然美枫色，密度700KG/M3,甲醛释放量为零，贴三聚氰胺饰面纸，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50400" behindDoc="0" locked="0" layoutInCell="1" allowOverlap="1">
                  <wp:simplePos x="0" y="0"/>
                  <wp:positionH relativeFrom="column">
                    <wp:posOffset>57150</wp:posOffset>
                  </wp:positionH>
                  <wp:positionV relativeFrom="paragraph">
                    <wp:posOffset>885825</wp:posOffset>
                  </wp:positionV>
                  <wp:extent cx="1718310" cy="952500"/>
                  <wp:effectExtent l="0" t="0" r="15240" b="0"/>
                  <wp:wrapNone/>
                  <wp:docPr id="134" name="图片_159"/>
                  <wp:cNvGraphicFramePr/>
                  <a:graphic xmlns:a="http://schemas.openxmlformats.org/drawingml/2006/main">
                    <a:graphicData uri="http://schemas.openxmlformats.org/drawingml/2006/picture">
                      <pic:pic xmlns:pic="http://schemas.openxmlformats.org/drawingml/2006/picture">
                        <pic:nvPicPr>
                          <pic:cNvPr id="134" name="图片_159"/>
                          <pic:cNvPicPr/>
                        </pic:nvPicPr>
                        <pic:blipFill>
                          <a:blip r:embed="rId53"/>
                          <a:stretch>
                            <a:fillRect/>
                          </a:stretch>
                        </pic:blipFill>
                        <pic:spPr>
                          <a:xfrm>
                            <a:off x="0" y="0"/>
                            <a:ext cx="1718310" cy="95250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51424" behindDoc="0" locked="0" layoutInCell="1" allowOverlap="1">
                  <wp:simplePos x="0" y="0"/>
                  <wp:positionH relativeFrom="column">
                    <wp:posOffset>866775</wp:posOffset>
                  </wp:positionH>
                  <wp:positionV relativeFrom="paragraph">
                    <wp:posOffset>57150</wp:posOffset>
                  </wp:positionV>
                  <wp:extent cx="0" cy="1178560"/>
                  <wp:effectExtent l="0" t="0" r="0" b="0"/>
                  <wp:wrapNone/>
                  <wp:docPr id="161" name="Picture_2_SpCnt_45"/>
                  <wp:cNvGraphicFramePr/>
                  <a:graphic xmlns:a="http://schemas.openxmlformats.org/drawingml/2006/main">
                    <a:graphicData uri="http://schemas.openxmlformats.org/drawingml/2006/picture">
                      <pic:pic xmlns:pic="http://schemas.openxmlformats.org/drawingml/2006/picture">
                        <pic:nvPicPr>
                          <pic:cNvPr id="161" name="Picture_2_SpCnt_45"/>
                          <pic:cNvPicPr/>
                        </pic:nvPicPr>
                        <pic:blipFill>
                          <a:blip r:embed="rId33"/>
                          <a:stretch>
                            <a:fillRect/>
                          </a:stretch>
                        </pic:blipFill>
                        <pic:spPr>
                          <a:xfrm>
                            <a:off x="0" y="0"/>
                            <a:ext cx="0" cy="117856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52448" behindDoc="0" locked="0" layoutInCell="1" allowOverlap="1">
                  <wp:simplePos x="0" y="0"/>
                  <wp:positionH relativeFrom="column">
                    <wp:posOffset>866775</wp:posOffset>
                  </wp:positionH>
                  <wp:positionV relativeFrom="paragraph">
                    <wp:posOffset>0</wp:posOffset>
                  </wp:positionV>
                  <wp:extent cx="0" cy="1178560"/>
                  <wp:effectExtent l="0" t="0" r="0" b="0"/>
                  <wp:wrapNone/>
                  <wp:docPr id="138" name="Picture_2_SpCnt_46"/>
                  <wp:cNvGraphicFramePr/>
                  <a:graphic xmlns:a="http://schemas.openxmlformats.org/drawingml/2006/main">
                    <a:graphicData uri="http://schemas.openxmlformats.org/drawingml/2006/picture">
                      <pic:pic xmlns:pic="http://schemas.openxmlformats.org/drawingml/2006/picture">
                        <pic:nvPicPr>
                          <pic:cNvPr id="138" name="Picture_2_SpCnt_46"/>
                          <pic:cNvPicPr/>
                        </pic:nvPicPr>
                        <pic:blipFill>
                          <a:blip r:embed="rId33"/>
                          <a:stretch>
                            <a:fillRect/>
                          </a:stretch>
                        </pic:blipFill>
                        <pic:spPr>
                          <a:xfrm>
                            <a:off x="0" y="0"/>
                            <a:ext cx="0" cy="1178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39</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边台</w:t>
            </w:r>
          </w:p>
        </w:tc>
        <w:tc>
          <w:tcPr>
            <w:tcW w:w="1144"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3800*600*800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板材质说明：采用E1级绿色环保型三聚氰胺板，经过防虫防腐处理，纹理清晰，自然美枫色，密度700KG/M3,甲醛释放量为零，贴三聚氰胺饰面纸，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53472" behindDoc="0" locked="0" layoutInCell="1" allowOverlap="1">
                  <wp:simplePos x="0" y="0"/>
                  <wp:positionH relativeFrom="column">
                    <wp:posOffset>47625</wp:posOffset>
                  </wp:positionH>
                  <wp:positionV relativeFrom="paragraph">
                    <wp:posOffset>400050</wp:posOffset>
                  </wp:positionV>
                  <wp:extent cx="1718310" cy="955040"/>
                  <wp:effectExtent l="0" t="0" r="15240" b="16510"/>
                  <wp:wrapNone/>
                  <wp:docPr id="151" name="图片_160"/>
                  <wp:cNvGraphicFramePr/>
                  <a:graphic xmlns:a="http://schemas.openxmlformats.org/drawingml/2006/main">
                    <a:graphicData uri="http://schemas.openxmlformats.org/drawingml/2006/picture">
                      <pic:pic xmlns:pic="http://schemas.openxmlformats.org/drawingml/2006/picture">
                        <pic:nvPicPr>
                          <pic:cNvPr id="151" name="图片_160"/>
                          <pic:cNvPicPr/>
                        </pic:nvPicPr>
                        <pic:blipFill>
                          <a:blip r:embed="rId54"/>
                          <a:stretch>
                            <a:fillRect/>
                          </a:stretch>
                        </pic:blipFill>
                        <pic:spPr>
                          <a:xfrm>
                            <a:off x="0" y="0"/>
                            <a:ext cx="1718310" cy="955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0</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边台</w:t>
            </w:r>
          </w:p>
        </w:tc>
        <w:tc>
          <w:tcPr>
            <w:tcW w:w="1144"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4200*600*800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板材质说明：采用E1级绿色环保型三聚氰胺板，经过防虫防腐处理，纹理清晰，自然美枫色，密度700KG/M3,甲醛释放量为零，贴三聚氰胺饰面纸，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54496" behindDoc="0" locked="0" layoutInCell="1" allowOverlap="1">
                  <wp:simplePos x="0" y="0"/>
                  <wp:positionH relativeFrom="column">
                    <wp:posOffset>104775</wp:posOffset>
                  </wp:positionH>
                  <wp:positionV relativeFrom="paragraph">
                    <wp:posOffset>1257300</wp:posOffset>
                  </wp:positionV>
                  <wp:extent cx="1553210" cy="1123950"/>
                  <wp:effectExtent l="0" t="0" r="8890" b="0"/>
                  <wp:wrapNone/>
                  <wp:docPr id="163" name="图片_161"/>
                  <wp:cNvGraphicFramePr/>
                  <a:graphic xmlns:a="http://schemas.openxmlformats.org/drawingml/2006/main">
                    <a:graphicData uri="http://schemas.openxmlformats.org/drawingml/2006/picture">
                      <pic:pic xmlns:pic="http://schemas.openxmlformats.org/drawingml/2006/picture">
                        <pic:nvPicPr>
                          <pic:cNvPr id="163" name="图片_161"/>
                          <pic:cNvPicPr/>
                        </pic:nvPicPr>
                        <pic:blipFill>
                          <a:blip r:embed="rId55"/>
                          <a:stretch>
                            <a:fillRect/>
                          </a:stretch>
                        </pic:blipFill>
                        <pic:spPr>
                          <a:xfrm>
                            <a:off x="0" y="0"/>
                            <a:ext cx="1553210" cy="112395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55520" behindDoc="0" locked="0" layoutInCell="1" allowOverlap="1">
                  <wp:simplePos x="0" y="0"/>
                  <wp:positionH relativeFrom="column">
                    <wp:posOffset>866775</wp:posOffset>
                  </wp:positionH>
                  <wp:positionV relativeFrom="paragraph">
                    <wp:posOffset>0</wp:posOffset>
                  </wp:positionV>
                  <wp:extent cx="0" cy="1178560"/>
                  <wp:effectExtent l="0" t="0" r="0" b="0"/>
                  <wp:wrapNone/>
                  <wp:docPr id="144" name="Picture_2_SpCnt_47"/>
                  <wp:cNvGraphicFramePr/>
                  <a:graphic xmlns:a="http://schemas.openxmlformats.org/drawingml/2006/main">
                    <a:graphicData uri="http://schemas.openxmlformats.org/drawingml/2006/picture">
                      <pic:pic xmlns:pic="http://schemas.openxmlformats.org/drawingml/2006/picture">
                        <pic:nvPicPr>
                          <pic:cNvPr id="144" name="Picture_2_SpCnt_47"/>
                          <pic:cNvPicPr/>
                        </pic:nvPicPr>
                        <pic:blipFill>
                          <a:blip r:embed="rId33"/>
                          <a:stretch>
                            <a:fillRect/>
                          </a:stretch>
                        </pic:blipFill>
                        <pic:spPr>
                          <a:xfrm>
                            <a:off x="0" y="0"/>
                            <a:ext cx="0" cy="117856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56544" behindDoc="0" locked="0" layoutInCell="1" allowOverlap="1">
                  <wp:simplePos x="0" y="0"/>
                  <wp:positionH relativeFrom="column">
                    <wp:posOffset>866775</wp:posOffset>
                  </wp:positionH>
                  <wp:positionV relativeFrom="paragraph">
                    <wp:posOffset>0</wp:posOffset>
                  </wp:positionV>
                  <wp:extent cx="0" cy="1178560"/>
                  <wp:effectExtent l="0" t="0" r="0" b="0"/>
                  <wp:wrapNone/>
                  <wp:docPr id="148" name="Picture_2_SpCnt_48"/>
                  <wp:cNvGraphicFramePr/>
                  <a:graphic xmlns:a="http://schemas.openxmlformats.org/drawingml/2006/main">
                    <a:graphicData uri="http://schemas.openxmlformats.org/drawingml/2006/picture">
                      <pic:pic xmlns:pic="http://schemas.openxmlformats.org/drawingml/2006/picture">
                        <pic:nvPicPr>
                          <pic:cNvPr id="148" name="Picture_2_SpCnt_48"/>
                          <pic:cNvPicPr/>
                        </pic:nvPicPr>
                        <pic:blipFill>
                          <a:blip r:embed="rId33"/>
                          <a:stretch>
                            <a:fillRect/>
                          </a:stretch>
                        </pic:blipFill>
                        <pic:spPr>
                          <a:xfrm>
                            <a:off x="0" y="0"/>
                            <a:ext cx="0" cy="1178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储存架</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1200*450*2000</w:t>
            </w:r>
          </w:p>
        </w:tc>
        <w:tc>
          <w:tcPr>
            <w:tcW w:w="3683" w:type="dxa"/>
            <w:shd w:val="clear" w:color="auto" w:fill="auto"/>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1.货架原材料为环保钢材</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 框架由立柱、拉杆及底座组成；框架高度为2000mm，货深度为450mm，最大承重为1.1吨。  立柱采用厚度为2mm的环保钢材，经辊轧成C型材，共有13个折弯面，截面尺寸为90*71，在折弯边上每隔50mm有冲压孔立柱正面的每隔75mm的扇形孔用以支臂与龙门梁的连接（立柱截面见立柱附图）。 横梁与立柱的连接均采用卡扣连接。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3.每一层有2块层板，厚度为0.8mm，每一块层板有4根加强筋，确定每一块层板的承重。</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规格尺寸：1200*450*2000mm</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57568" behindDoc="0" locked="0" layoutInCell="1" allowOverlap="1">
                  <wp:simplePos x="0" y="0"/>
                  <wp:positionH relativeFrom="column">
                    <wp:posOffset>266700</wp:posOffset>
                  </wp:positionH>
                  <wp:positionV relativeFrom="paragraph">
                    <wp:posOffset>314325</wp:posOffset>
                  </wp:positionV>
                  <wp:extent cx="911860" cy="1113155"/>
                  <wp:effectExtent l="0" t="0" r="2540" b="10795"/>
                  <wp:wrapNone/>
                  <wp:docPr id="133" name="Picture_5"/>
                  <wp:cNvGraphicFramePr/>
                  <a:graphic xmlns:a="http://schemas.openxmlformats.org/drawingml/2006/main">
                    <a:graphicData uri="http://schemas.openxmlformats.org/drawingml/2006/picture">
                      <pic:pic xmlns:pic="http://schemas.openxmlformats.org/drawingml/2006/picture">
                        <pic:nvPicPr>
                          <pic:cNvPr id="133" name="Picture_5"/>
                          <pic:cNvPicPr/>
                        </pic:nvPicPr>
                        <pic:blipFill>
                          <a:blip r:embed="rId56"/>
                          <a:stretch>
                            <a:fillRect/>
                          </a:stretch>
                        </pic:blipFill>
                        <pic:spPr>
                          <a:xfrm>
                            <a:off x="0" y="0"/>
                            <a:ext cx="911860" cy="1113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货柜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758592" behindDoc="0" locked="0" layoutInCell="1" allowOverlap="1">
                  <wp:simplePos x="0" y="0"/>
                  <wp:positionH relativeFrom="column">
                    <wp:posOffset>412750</wp:posOffset>
                  </wp:positionH>
                  <wp:positionV relativeFrom="paragraph">
                    <wp:posOffset>157480</wp:posOffset>
                  </wp:positionV>
                  <wp:extent cx="656590" cy="1054735"/>
                  <wp:effectExtent l="0" t="0" r="10160" b="12065"/>
                  <wp:wrapNone/>
                  <wp:docPr id="137" name="图片_163"/>
                  <wp:cNvGraphicFramePr/>
                  <a:graphic xmlns:a="http://schemas.openxmlformats.org/drawingml/2006/main">
                    <a:graphicData uri="http://schemas.openxmlformats.org/drawingml/2006/picture">
                      <pic:pic xmlns:pic="http://schemas.openxmlformats.org/drawingml/2006/picture">
                        <pic:nvPicPr>
                          <pic:cNvPr id="137" name="图片_163"/>
                          <pic:cNvPicPr/>
                        </pic:nvPicPr>
                        <pic:blipFill>
                          <a:blip r:embed="rId57"/>
                          <a:stretch>
                            <a:fillRect/>
                          </a:stretch>
                        </pic:blipFill>
                        <pic:spPr>
                          <a:xfrm>
                            <a:off x="0" y="0"/>
                            <a:ext cx="656590" cy="1054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3</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三人位沙发</w:t>
            </w:r>
          </w:p>
        </w:tc>
        <w:tc>
          <w:tcPr>
            <w:tcW w:w="1144"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2000*900*700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1、饰面：选用头层牛皮，色泽均匀、自然富有光泽</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2、海棉：采用一次性环保成型高密度海绵，压膜量达到国家现行阻燃标准</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3、椅架：采用橡胶木</w:t>
            </w:r>
            <w:r>
              <w:rPr>
                <w:rFonts w:hint="eastAsia" w:ascii="宋体" w:hAnsi="宋体" w:eastAsia="宋体" w:cs="宋体"/>
                <w:color w:val="000000"/>
                <w:kern w:val="0"/>
                <w:sz w:val="18"/>
                <w:szCs w:val="18"/>
                <w:lang w:val="en-US" w:eastAsia="zh-CN" w:bidi="ar"/>
              </w:rPr>
              <w:t>实木</w:t>
            </w:r>
            <w:r>
              <w:rPr>
                <w:rFonts w:hint="eastAsia" w:ascii="宋体" w:hAnsi="宋体" w:eastAsia="宋体" w:cs="宋体"/>
                <w:color w:val="000000"/>
                <w:kern w:val="0"/>
                <w:sz w:val="18"/>
                <w:szCs w:val="18"/>
                <w:lang w:bidi="ar"/>
              </w:rPr>
              <w:t>，木材含水率要达到10%以内,预防今后变型、开裂；所有材料均经过防虫、防腐、烘干等处理</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4、油漆：采用环保油漆，面漆为（PU）双成份聚氨酯漆，底漆为（PE）不饱和聚酯漆。漆膜硬度达2H~3H之间。色泽美观光滑耐磨、手感好。</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5、油漆工艺：底着色油漆工艺，经五底三面磨退工艺处理</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59616" behindDoc="0" locked="0" layoutInCell="1" allowOverlap="1">
                  <wp:simplePos x="0" y="0"/>
                  <wp:positionH relativeFrom="column">
                    <wp:posOffset>57150</wp:posOffset>
                  </wp:positionH>
                  <wp:positionV relativeFrom="paragraph">
                    <wp:posOffset>1009650</wp:posOffset>
                  </wp:positionV>
                  <wp:extent cx="1447800" cy="650240"/>
                  <wp:effectExtent l="0" t="0" r="0" b="16510"/>
                  <wp:wrapNone/>
                  <wp:docPr id="139" name="图片_108"/>
                  <wp:cNvGraphicFramePr/>
                  <a:graphic xmlns:a="http://schemas.openxmlformats.org/drawingml/2006/main">
                    <a:graphicData uri="http://schemas.openxmlformats.org/drawingml/2006/picture">
                      <pic:pic xmlns:pic="http://schemas.openxmlformats.org/drawingml/2006/picture">
                        <pic:nvPicPr>
                          <pic:cNvPr id="139" name="图片_108"/>
                          <pic:cNvPicPr/>
                        </pic:nvPicPr>
                        <pic:blipFill>
                          <a:blip r:embed="rId58"/>
                          <a:stretch>
                            <a:fillRect/>
                          </a:stretch>
                        </pic:blipFill>
                        <pic:spPr>
                          <a:xfrm>
                            <a:off x="0" y="0"/>
                            <a:ext cx="14478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44</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会议椅</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500*560*820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A. 椅背：</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1.材质：采用ABS一体成型，不得采用回收料生产。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2.椅背支撑采用铝合金管。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3.功能：靠背曲线得需契合人体脊柱的弯曲度，可承托背部。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B. 坐垫：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1.材质：采用ABS一体成型，不得采用回收料生产。</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2.椅架及坐垫底盘采用铝合金管支撑。                                                                        3.功能：坐垫宽阔厚实，弧形塑臀，可以在坐垫上随时增加软坐垫，一款多用型，塑料座垫方便整理打扫，软垫增加弹性保持舒适度。托住人体尾椎部分，尾椎不承受空的支撑，座面可翻动，方便水平叠放，节省空间。</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把</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1664" behindDoc="0" locked="0" layoutInCell="1" allowOverlap="1">
                  <wp:simplePos x="0" y="0"/>
                  <wp:positionH relativeFrom="column">
                    <wp:posOffset>260985</wp:posOffset>
                  </wp:positionH>
                  <wp:positionV relativeFrom="paragraph">
                    <wp:posOffset>643255</wp:posOffset>
                  </wp:positionV>
                  <wp:extent cx="1022985" cy="1367155"/>
                  <wp:effectExtent l="0" t="0" r="5715" b="4445"/>
                  <wp:wrapNone/>
                  <wp:docPr id="149" name="图片_250"/>
                  <wp:cNvGraphicFramePr/>
                  <a:graphic xmlns:a="http://schemas.openxmlformats.org/drawingml/2006/main">
                    <a:graphicData uri="http://schemas.openxmlformats.org/drawingml/2006/picture">
                      <pic:pic xmlns:pic="http://schemas.openxmlformats.org/drawingml/2006/picture">
                        <pic:nvPicPr>
                          <pic:cNvPr id="149" name="图片_250"/>
                          <pic:cNvPicPr/>
                        </pic:nvPicPr>
                        <pic:blipFill>
                          <a:blip r:embed="rId59"/>
                          <a:stretch>
                            <a:fillRect/>
                          </a:stretch>
                        </pic:blipFill>
                        <pic:spPr>
                          <a:xfrm>
                            <a:off x="0" y="0"/>
                            <a:ext cx="1022985" cy="136715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60640" behindDoc="0" locked="0" layoutInCell="1" allowOverlap="1">
                  <wp:simplePos x="0" y="0"/>
                  <wp:positionH relativeFrom="column">
                    <wp:posOffset>163830</wp:posOffset>
                  </wp:positionH>
                  <wp:positionV relativeFrom="paragraph">
                    <wp:posOffset>0</wp:posOffset>
                  </wp:positionV>
                  <wp:extent cx="918210" cy="3810"/>
                  <wp:effectExtent l="0" t="0" r="0" b="0"/>
                  <wp:wrapNone/>
                  <wp:docPr id="140" name="图片_230"/>
                  <wp:cNvGraphicFramePr/>
                  <a:graphic xmlns:a="http://schemas.openxmlformats.org/drawingml/2006/main">
                    <a:graphicData uri="http://schemas.openxmlformats.org/drawingml/2006/picture">
                      <pic:pic xmlns:pic="http://schemas.openxmlformats.org/drawingml/2006/picture">
                        <pic:nvPicPr>
                          <pic:cNvPr id="140" name="图片_230"/>
                          <pic:cNvPicPr/>
                        </pic:nvPicPr>
                        <pic:blipFill>
                          <a:blip r:embed="rId60"/>
                          <a:stretch>
                            <a:fillRect/>
                          </a:stretch>
                        </pic:blipFill>
                        <pic:spPr>
                          <a:xfrm>
                            <a:off x="0" y="0"/>
                            <a:ext cx="918210" cy="3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5</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就诊凳</w:t>
            </w:r>
          </w:p>
        </w:tc>
        <w:tc>
          <w:tcPr>
            <w:tcW w:w="1144" w:type="dxa"/>
            <w:noWrap/>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常规</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1、凳面为ABS材质。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2、凳面尺寸：30cm×2.5cm。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3、五个万向轮。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2688" behindDoc="0" locked="0" layoutInCell="1" allowOverlap="1">
                  <wp:simplePos x="0" y="0"/>
                  <wp:positionH relativeFrom="column">
                    <wp:posOffset>337185</wp:posOffset>
                  </wp:positionH>
                  <wp:positionV relativeFrom="paragraph">
                    <wp:posOffset>57150</wp:posOffset>
                  </wp:positionV>
                  <wp:extent cx="716280" cy="735330"/>
                  <wp:effectExtent l="0" t="0" r="7620" b="7620"/>
                  <wp:wrapNone/>
                  <wp:docPr id="150" name="图片_164"/>
                  <wp:cNvGraphicFramePr/>
                  <a:graphic xmlns:a="http://schemas.openxmlformats.org/drawingml/2006/main">
                    <a:graphicData uri="http://schemas.openxmlformats.org/drawingml/2006/picture">
                      <pic:pic xmlns:pic="http://schemas.openxmlformats.org/drawingml/2006/picture">
                        <pic:nvPicPr>
                          <pic:cNvPr id="150" name="图片_164"/>
                          <pic:cNvPicPr/>
                        </pic:nvPicPr>
                        <pic:blipFill>
                          <a:blip r:embed="rId61"/>
                          <a:stretch>
                            <a:fillRect/>
                          </a:stretch>
                        </pic:blipFill>
                        <pic:spPr>
                          <a:xfrm>
                            <a:off x="0" y="0"/>
                            <a:ext cx="716280" cy="7353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6</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接待沙发</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1900*800*880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内框架：实木白橡木框架；                                                                                                                                                                           海绵：靠背为35密度高回弹切割新棉，坐垫为45密度高回弹切割新棉 ，承重弹力结构：靠背装钉环保多条橡筋，坐垫为标准间距蛇形簧+平衡环保橡筋+面布；                                                                                                                         面料：采用棉布面料； 易清洁，不易变形。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3712" behindDoc="0" locked="0" layoutInCell="1" allowOverlap="1">
                  <wp:simplePos x="0" y="0"/>
                  <wp:positionH relativeFrom="column">
                    <wp:posOffset>81280</wp:posOffset>
                  </wp:positionH>
                  <wp:positionV relativeFrom="paragraph">
                    <wp:posOffset>349250</wp:posOffset>
                  </wp:positionV>
                  <wp:extent cx="1605915" cy="645795"/>
                  <wp:effectExtent l="0" t="0" r="13335" b="1905"/>
                  <wp:wrapNone/>
                  <wp:docPr id="152" name="图片_252"/>
                  <wp:cNvGraphicFramePr/>
                  <a:graphic xmlns:a="http://schemas.openxmlformats.org/drawingml/2006/main">
                    <a:graphicData uri="http://schemas.openxmlformats.org/drawingml/2006/picture">
                      <pic:pic xmlns:pic="http://schemas.openxmlformats.org/drawingml/2006/picture">
                        <pic:nvPicPr>
                          <pic:cNvPr id="152" name="图片_252"/>
                          <pic:cNvPicPr/>
                        </pic:nvPicPr>
                        <pic:blipFill>
                          <a:blip r:embed="rId62"/>
                          <a:stretch>
                            <a:fillRect/>
                          </a:stretch>
                        </pic:blipFill>
                        <pic:spPr>
                          <a:xfrm>
                            <a:off x="0" y="0"/>
                            <a:ext cx="1605915" cy="645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1"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7</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医务柜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1000*500*2000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 PP材质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 柜体：侧板、顶底板采用改性PP材料增加强度，注塑模一次性成型，表面沙面和光面相结合处理,保证柜体之坚固及密封性，耐腐蚀性强。</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下储物柜门：内框采用改性PP材质注塑模一次成型, 外嵌4.6mm厚钢化烤漆玻璃</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 上柜视窗们：内框采用改性PP材质注塑模一次成型, 外嵌4.6mm厚钢化烤漆玻璃，中间烤漆镂空制作。</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 门把手：采用经过改性PP材质注塑模一次成型，与柜门平行，开启方便。</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 门铰链：采用经过射出成型的PP材料制成，耐腐蚀性好。</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 螺丝：PP材质，可选不锈钢304材质</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 备注 ：可以用于各种腐蚀性化学品的储存，如硫酸、盐酸、硝酸、乙酸、硫磺酸等</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4736" behindDoc="0" locked="0" layoutInCell="1" allowOverlap="1">
                  <wp:simplePos x="0" y="0"/>
                  <wp:positionH relativeFrom="column">
                    <wp:posOffset>111125</wp:posOffset>
                  </wp:positionH>
                  <wp:positionV relativeFrom="paragraph">
                    <wp:posOffset>438150</wp:posOffset>
                  </wp:positionV>
                  <wp:extent cx="918845" cy="1756410"/>
                  <wp:effectExtent l="0" t="0" r="15240" b="0"/>
                  <wp:wrapNone/>
                  <wp:docPr id="195" name="图片_168"/>
                  <wp:cNvGraphicFramePr/>
                  <a:graphic xmlns:a="http://schemas.openxmlformats.org/drawingml/2006/main">
                    <a:graphicData uri="http://schemas.openxmlformats.org/drawingml/2006/picture">
                      <pic:pic xmlns:pic="http://schemas.openxmlformats.org/drawingml/2006/picture">
                        <pic:nvPicPr>
                          <pic:cNvPr id="195" name="图片_168"/>
                          <pic:cNvPicPr/>
                        </pic:nvPicPr>
                        <pic:blipFill>
                          <a:blip r:embed="rId63"/>
                          <a:stretch>
                            <a:fillRect/>
                          </a:stretch>
                        </pic:blipFill>
                        <pic:spPr>
                          <a:xfrm>
                            <a:off x="0" y="0"/>
                            <a:ext cx="918845" cy="175641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65760" behindDoc="0" locked="0" layoutInCell="1" allowOverlap="1">
                  <wp:simplePos x="0" y="0"/>
                  <wp:positionH relativeFrom="column">
                    <wp:posOffset>866775</wp:posOffset>
                  </wp:positionH>
                  <wp:positionV relativeFrom="paragraph">
                    <wp:posOffset>0</wp:posOffset>
                  </wp:positionV>
                  <wp:extent cx="0" cy="1179195"/>
                  <wp:effectExtent l="0" t="0" r="0" b="0"/>
                  <wp:wrapNone/>
                  <wp:docPr id="166" name="Picture_2_SpCnt_49"/>
                  <wp:cNvGraphicFramePr/>
                  <a:graphic xmlns:a="http://schemas.openxmlformats.org/drawingml/2006/main">
                    <a:graphicData uri="http://schemas.openxmlformats.org/drawingml/2006/picture">
                      <pic:pic xmlns:pic="http://schemas.openxmlformats.org/drawingml/2006/picture">
                        <pic:nvPicPr>
                          <pic:cNvPr id="166" name="Picture_2_SpCnt_49"/>
                          <pic:cNvPicPr/>
                        </pic:nvPicPr>
                        <pic:blipFill>
                          <a:blip r:embed="rId33"/>
                          <a:stretch>
                            <a:fillRect/>
                          </a:stretch>
                        </pic:blipFill>
                        <pic:spPr>
                          <a:xfrm>
                            <a:off x="0" y="0"/>
                            <a:ext cx="0" cy="1179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8</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医疗床</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2000*900*500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床体尺寸：2000*900*500mm；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材质：床头床尾采用塑料一体成型，保证安全性。铝合金扶栏，可以折叠，方便人上下床。</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坐垫：海绵采用一次成型高弹力定型原生海棉，密度60KG/M6；采用抗氧透气高纤皮。底板采用E1级松木板面板。</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6784" behindDoc="0" locked="0" layoutInCell="1" allowOverlap="1">
                  <wp:simplePos x="0" y="0"/>
                  <wp:positionH relativeFrom="column">
                    <wp:posOffset>165100</wp:posOffset>
                  </wp:positionH>
                  <wp:positionV relativeFrom="paragraph">
                    <wp:posOffset>95250</wp:posOffset>
                  </wp:positionV>
                  <wp:extent cx="1266825" cy="924560"/>
                  <wp:effectExtent l="0" t="0" r="9525" b="8890"/>
                  <wp:wrapNone/>
                  <wp:docPr id="178" name="图片_166"/>
                  <wp:cNvGraphicFramePr/>
                  <a:graphic xmlns:a="http://schemas.openxmlformats.org/drawingml/2006/main">
                    <a:graphicData uri="http://schemas.openxmlformats.org/drawingml/2006/picture">
                      <pic:pic xmlns:pic="http://schemas.openxmlformats.org/drawingml/2006/picture">
                        <pic:nvPicPr>
                          <pic:cNvPr id="178" name="图片_166"/>
                          <pic:cNvPicPr/>
                        </pic:nvPicPr>
                        <pic:blipFill>
                          <a:blip r:embed="rId64"/>
                          <a:stretch>
                            <a:fillRect/>
                          </a:stretch>
                        </pic:blipFill>
                        <pic:spPr>
                          <a:xfrm>
                            <a:off x="0" y="0"/>
                            <a:ext cx="1266825" cy="924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49</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医用屏风隔断</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宽2000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四扇，展开2米宽。高度1米8。全不锈钢框架不易腐蚀、损坏，屏风布为涤纶加棉防水布，采用魔术贴贴合，安装简易，拆洗方便透气性强，万向轮设计，推动灵活，移动方便，</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扇</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7808" behindDoc="0" locked="0" layoutInCell="1" allowOverlap="1">
                  <wp:simplePos x="0" y="0"/>
                  <wp:positionH relativeFrom="column">
                    <wp:posOffset>111760</wp:posOffset>
                  </wp:positionH>
                  <wp:positionV relativeFrom="paragraph">
                    <wp:posOffset>76200</wp:posOffset>
                  </wp:positionV>
                  <wp:extent cx="1322070" cy="944245"/>
                  <wp:effectExtent l="0" t="0" r="11430" b="8255"/>
                  <wp:wrapNone/>
                  <wp:docPr id="173" name="图片_165"/>
                  <wp:cNvGraphicFramePr/>
                  <a:graphic xmlns:a="http://schemas.openxmlformats.org/drawingml/2006/main">
                    <a:graphicData uri="http://schemas.openxmlformats.org/drawingml/2006/picture">
                      <pic:pic xmlns:pic="http://schemas.openxmlformats.org/drawingml/2006/picture">
                        <pic:nvPicPr>
                          <pic:cNvPr id="173" name="图片_165"/>
                          <pic:cNvPicPr/>
                        </pic:nvPicPr>
                        <pic:blipFill>
                          <a:blip r:embed="rId65"/>
                          <a:stretch>
                            <a:fillRect/>
                          </a:stretch>
                        </pic:blipFill>
                        <pic:spPr>
                          <a:xfrm>
                            <a:off x="0" y="0"/>
                            <a:ext cx="1322070" cy="944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50</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文件柜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768832" behindDoc="0" locked="0" layoutInCell="1" allowOverlap="1">
                  <wp:simplePos x="0" y="0"/>
                  <wp:positionH relativeFrom="column">
                    <wp:posOffset>353695</wp:posOffset>
                  </wp:positionH>
                  <wp:positionV relativeFrom="paragraph">
                    <wp:posOffset>33020</wp:posOffset>
                  </wp:positionV>
                  <wp:extent cx="562610" cy="1060450"/>
                  <wp:effectExtent l="0" t="0" r="8890" b="6350"/>
                  <wp:wrapNone/>
                  <wp:docPr id="167" name="Picture_209_SpCnt_1"/>
                  <wp:cNvGraphicFramePr/>
                  <a:graphic xmlns:a="http://schemas.openxmlformats.org/drawingml/2006/main">
                    <a:graphicData uri="http://schemas.openxmlformats.org/drawingml/2006/picture">
                      <pic:pic xmlns:pic="http://schemas.openxmlformats.org/drawingml/2006/picture">
                        <pic:nvPicPr>
                          <pic:cNvPr id="167" name="Picture_209_SpCnt_1"/>
                          <pic:cNvPicPr/>
                        </pic:nvPicPr>
                        <pic:blipFill>
                          <a:blip r:embed="rId66"/>
                          <a:stretch>
                            <a:fillRect/>
                          </a:stretch>
                        </pic:blipFill>
                        <pic:spPr>
                          <a:xfrm>
                            <a:off x="0" y="0"/>
                            <a:ext cx="562610" cy="1060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51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密集架</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900*570*2400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基材：采用2.0-3.0mm钢板经冲压、折弯而成。配上传动装置，表面高温静电粉沫喷塑。配有手摇转盘，安全锁、总锁，目录标示牌等。配置安全电脑板。   立柱：1.5mm ，面板：1.2mm，挂板、隔板、，架板、顶板、门板：0.8mm 底架： 3.0cm   底盘、轨道座5mm、防倾斜装置2.0-3.0mm，立板、搁板、分隔板、门框、门板、侧面板、顶板防尘板等0.8mm   链条破断力≥1800kg   精密度高，万向灵活，材料质量好，耐压与耐磨性能好   铸铁，经加工成型。</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立方</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69856" behindDoc="0" locked="0" layoutInCell="1" allowOverlap="1">
                  <wp:simplePos x="0" y="0"/>
                  <wp:positionH relativeFrom="column">
                    <wp:posOffset>133985</wp:posOffset>
                  </wp:positionH>
                  <wp:positionV relativeFrom="paragraph">
                    <wp:posOffset>347345</wp:posOffset>
                  </wp:positionV>
                  <wp:extent cx="1372870" cy="1123315"/>
                  <wp:effectExtent l="0" t="0" r="17780" b="635"/>
                  <wp:wrapNone/>
                  <wp:docPr id="174" name="图片_180"/>
                  <wp:cNvGraphicFramePr/>
                  <a:graphic xmlns:a="http://schemas.openxmlformats.org/drawingml/2006/main">
                    <a:graphicData uri="http://schemas.openxmlformats.org/drawingml/2006/picture">
                      <pic:pic xmlns:pic="http://schemas.openxmlformats.org/drawingml/2006/picture">
                        <pic:nvPicPr>
                          <pic:cNvPr id="174" name="图片_180"/>
                          <pic:cNvPicPr/>
                        </pic:nvPicPr>
                        <pic:blipFill>
                          <a:blip r:embed="rId67"/>
                          <a:stretch>
                            <a:fillRect/>
                          </a:stretch>
                        </pic:blipFill>
                        <pic:spPr>
                          <a:xfrm>
                            <a:off x="0" y="0"/>
                            <a:ext cx="1372870" cy="11233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2</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办公桌</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1400*700*750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板材质说明：采用E1级绿色环保型三聚氰胺板，经过防虫防腐处理，纹理清晰，自然美枫色，密度700KG/M3,甲醛释放量为零，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70880" behindDoc="0" locked="0" layoutInCell="1" allowOverlap="1">
                  <wp:simplePos x="0" y="0"/>
                  <wp:positionH relativeFrom="column">
                    <wp:posOffset>271145</wp:posOffset>
                  </wp:positionH>
                  <wp:positionV relativeFrom="paragraph">
                    <wp:posOffset>781050</wp:posOffset>
                  </wp:positionV>
                  <wp:extent cx="1339215" cy="1005840"/>
                  <wp:effectExtent l="0" t="0" r="13335" b="3810"/>
                  <wp:wrapNone/>
                  <wp:docPr id="171" name="图片_244"/>
                  <wp:cNvGraphicFramePr/>
                  <a:graphic xmlns:a="http://schemas.openxmlformats.org/drawingml/2006/main">
                    <a:graphicData uri="http://schemas.openxmlformats.org/drawingml/2006/picture">
                      <pic:pic xmlns:pic="http://schemas.openxmlformats.org/drawingml/2006/picture">
                        <pic:nvPicPr>
                          <pic:cNvPr id="171" name="图片_244"/>
                          <pic:cNvPicPr/>
                        </pic:nvPicPr>
                        <pic:blipFill>
                          <a:blip r:embed="rId68"/>
                          <a:stretch>
                            <a:fillRect/>
                          </a:stretch>
                        </pic:blipFill>
                        <pic:spPr>
                          <a:xfrm>
                            <a:off x="0" y="0"/>
                            <a:ext cx="1339215" cy="1005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3</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发言台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650x650x1200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650x650x1200mm                                                                    面材：采用</w:t>
            </w:r>
            <w:r>
              <w:rPr>
                <w:rFonts w:hint="eastAsia"/>
              </w:rPr>
              <w:t>E1级</w:t>
            </w:r>
            <w:r>
              <w:rPr>
                <w:rFonts w:hint="eastAsia" w:ascii="宋体" w:hAnsi="宋体" w:eastAsia="宋体" w:cs="宋体"/>
                <w:color w:val="000000"/>
                <w:kern w:val="0"/>
                <w:sz w:val="18"/>
                <w:szCs w:val="18"/>
                <w:lang w:bidi="ar"/>
              </w:rPr>
              <w:t>胡桃木皮，木皮厚≥0.6mm，面板厚度25mm，竖片、横板厚度25mm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基材：采用E1级多层板。甲醛含量≤0.6mg/L。</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1904" behindDoc="0" locked="0" layoutInCell="1" allowOverlap="1">
                  <wp:simplePos x="0" y="0"/>
                  <wp:positionH relativeFrom="column">
                    <wp:posOffset>200025</wp:posOffset>
                  </wp:positionH>
                  <wp:positionV relativeFrom="paragraph">
                    <wp:posOffset>123190</wp:posOffset>
                  </wp:positionV>
                  <wp:extent cx="523875" cy="723900"/>
                  <wp:effectExtent l="0" t="0" r="9525" b="0"/>
                  <wp:wrapNone/>
                  <wp:docPr id="194" name="Picture_19"/>
                  <wp:cNvGraphicFramePr/>
                  <a:graphic xmlns:a="http://schemas.openxmlformats.org/drawingml/2006/main">
                    <a:graphicData uri="http://schemas.openxmlformats.org/drawingml/2006/picture">
                      <pic:pic xmlns:pic="http://schemas.openxmlformats.org/drawingml/2006/picture">
                        <pic:nvPicPr>
                          <pic:cNvPr id="194" name="Picture_19"/>
                          <pic:cNvPicPr/>
                        </pic:nvPicPr>
                        <pic:blipFill>
                          <a:blip r:embed="rId69"/>
                          <a:stretch>
                            <a:fillRect/>
                          </a:stretch>
                        </pic:blipFill>
                        <pic:spPr>
                          <a:xfrm>
                            <a:off x="0" y="0"/>
                            <a:ext cx="523875"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1800*400*760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面板材质基层采用25mm厚防水，防潮,防火,耐高温多层板热压成型，产品完全符合国家标准，其甲醛释放量为零。表面采用耐磨、耐高温、耐剐、抗渗透、容易清洁、防潮、不褪色、白板热压。桌面封边条：采用厚度≥2.0mm耐老化PVC封边条封边，甲醛释放量达到国家环保水平。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2、桌架：采用铝合金经模具压注成形，壁厚为T3.1mm。其上节为30*60mm椭圆形长方形，桌架底座采用50*55mm椭圆形铝合金注压, 立柱跟下底座中间留空，安装自动化固定件 。桌架底座固定4个50mm黑色尼龙脚轮，经过五万次来回阻力疲劳测试无破裂                                                                             3.喷涂采用静电喷塑高温固化，使涂层与金属表面的附着力更强，不易腐蚀，不易脱落。烤漆粉经专业检测，符合国家安全标准。具体用料及规格由投标方科学合理设计，结构牢固，协调美观。                                                                     4.前挡板采用符合国家标准的PE耐冲击新料一体射出成型，                                                                        5，功能：当桌面打开使用，黑色尼龙脚轮自动固定锁死，不需要人工固定，当桌面收纳起来，黑色尼龙脚轮自动松开，可以自由推动收纳且收纳并排在一起，不可采用脚采的轮子固定方式。</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2928" behindDoc="0" locked="0" layoutInCell="1" allowOverlap="1">
                  <wp:simplePos x="0" y="0"/>
                  <wp:positionH relativeFrom="column">
                    <wp:posOffset>114300</wp:posOffset>
                  </wp:positionH>
                  <wp:positionV relativeFrom="paragraph">
                    <wp:posOffset>1781175</wp:posOffset>
                  </wp:positionV>
                  <wp:extent cx="1449070" cy="819150"/>
                  <wp:effectExtent l="0" t="0" r="17780" b="0"/>
                  <wp:wrapNone/>
                  <wp:docPr id="196" name="图片_209"/>
                  <wp:cNvGraphicFramePr/>
                  <a:graphic xmlns:a="http://schemas.openxmlformats.org/drawingml/2006/main">
                    <a:graphicData uri="http://schemas.openxmlformats.org/drawingml/2006/picture">
                      <pic:pic xmlns:pic="http://schemas.openxmlformats.org/drawingml/2006/picture">
                        <pic:nvPicPr>
                          <pic:cNvPr id="196" name="图片_209"/>
                          <pic:cNvPicPr/>
                        </pic:nvPicPr>
                        <pic:blipFill>
                          <a:blip r:embed="rId70"/>
                          <a:stretch>
                            <a:fillRect/>
                          </a:stretch>
                        </pic:blipFill>
                        <pic:spPr>
                          <a:xfrm>
                            <a:off x="0" y="0"/>
                            <a:ext cx="1449070"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1"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阶梯椅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450*520*750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1、规格：中心距：520mm、座高：450mm、台面板高度：750mm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站脚：采用铝合金一体压铸成型，表面作防氧化处理后，经高温喷涂处理，附着力强、抗冲击、耐腐蚀、不反锈、不褪色、经久耐用，站脚高度910mm，站脚宽度50mm，可适应150mm以下阶梯，使写字台桌面板的固定高度范围更大，更符合人体工程学；全包围式地脚钉孔，内藏式地脚螺丝，前后2个站脚安装孔与扶手在同一直线，站脚底部长度不小于340mm，站脚固定安装孔距不小于285mm，两个安装孔更利于通道顺畅，确保椅子安全稳固的固定于地面，巧妙把的固定螺丝隐藏于之下；固定螺丝可根据地面情况特定长度，外覆环保2个PP螺丝盖, 防尘、安全、美观。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椅背：框架上下采用1.5mm环保冷轧钢冲压成型，侧面2mm环保冷轧钢包边处理，经二氧化碳焊接成型，并经打磨、抛光、除锈磷化静电喷粉高温焗炉等工序处理，面板用不小于9mm多层旋切木皮双面压防火板，采用环保油漆和环保胶粘接，防潮、耐用、不褪色；根据人体曲线设计，保证坐感舒服。</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4、椅座：采用不小于15mm多层旋切木皮经模具热压成型并双面压防火板，采用环保油漆和环保胶粘接，防潮、耐用、不褪色；座板与铝合金一体压铸成型角码采用穿透方式连接，采用8mm圆柱头六角螺丝2个/角码。</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5、写字板：固定台面板采用高密度刨花板双面压防火板，正面做半圆边处理（与普通封直边工艺设计相比，双手长时间保持枕于桌板姿势时更加舒适），其他三面采用全自动封边机， 涂进口热溶胶，桌面宽度300mm，桌面厚度25mm，可伸缩回弹。</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6、回复机构：采用铝合金一体压铸成型座角码，角码表面作防氧化处理后，高温喷涂处理，附着力强、抗冲击、耐腐蚀、不生锈、不褪色、经久耐用，静音处理重力回复机构，坚固耐用，防夹手功能。</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210</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3952" behindDoc="0" locked="0" layoutInCell="1" allowOverlap="1">
                  <wp:simplePos x="0" y="0"/>
                  <wp:positionH relativeFrom="column">
                    <wp:posOffset>64135</wp:posOffset>
                  </wp:positionH>
                  <wp:positionV relativeFrom="paragraph">
                    <wp:posOffset>1200150</wp:posOffset>
                  </wp:positionV>
                  <wp:extent cx="1564640" cy="848360"/>
                  <wp:effectExtent l="0" t="0" r="16510" b="8890"/>
                  <wp:wrapNone/>
                  <wp:docPr id="187" name="图片_260"/>
                  <wp:cNvGraphicFramePr/>
                  <a:graphic xmlns:a="http://schemas.openxmlformats.org/drawingml/2006/main">
                    <a:graphicData uri="http://schemas.openxmlformats.org/drawingml/2006/picture">
                      <pic:pic xmlns:pic="http://schemas.openxmlformats.org/drawingml/2006/picture">
                        <pic:nvPicPr>
                          <pic:cNvPr id="187" name="图片_260"/>
                          <pic:cNvPicPr/>
                        </pic:nvPicPr>
                        <pic:blipFill>
                          <a:blip r:embed="rId71"/>
                          <a:stretch>
                            <a:fillRect/>
                          </a:stretch>
                        </pic:blipFill>
                        <pic:spPr>
                          <a:xfrm>
                            <a:off x="0" y="0"/>
                            <a:ext cx="1564640" cy="848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双面书架</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900*450*2000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1.材质：侧面挡板采用EO级18mm生态免漆板，四边到圆角，层板及立柱采用冷轧钢板。 规格尺寸：450*2000mm*16mm(厚度）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2.尺寸：底框厚度2.0mm,立柱厚度2.0mm,立横撑厚度1.5mm,挂板厚度1.2mm，隔板厚度1.2mm，档书条厚度1.2mm，冲压成型。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3.经高温粉体烤漆。烤漆粉得须经质量监督部门检测，铅、镉、汞等含量＜5mg/kg。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4976" behindDoc="0" locked="0" layoutInCell="1" allowOverlap="1">
                  <wp:simplePos x="0" y="0"/>
                  <wp:positionH relativeFrom="column">
                    <wp:posOffset>53340</wp:posOffset>
                  </wp:positionH>
                  <wp:positionV relativeFrom="paragraph">
                    <wp:posOffset>81915</wp:posOffset>
                  </wp:positionV>
                  <wp:extent cx="1289685" cy="1071245"/>
                  <wp:effectExtent l="0" t="0" r="5715" b="14605"/>
                  <wp:wrapNone/>
                  <wp:docPr id="165" name="图片_170"/>
                  <wp:cNvGraphicFramePr/>
                  <a:graphic xmlns:a="http://schemas.openxmlformats.org/drawingml/2006/main">
                    <a:graphicData uri="http://schemas.openxmlformats.org/drawingml/2006/picture">
                      <pic:pic xmlns:pic="http://schemas.openxmlformats.org/drawingml/2006/picture">
                        <pic:nvPicPr>
                          <pic:cNvPr id="165" name="图片_170"/>
                          <pic:cNvPicPr/>
                        </pic:nvPicPr>
                        <pic:blipFill>
                          <a:blip r:embed="rId72"/>
                          <a:stretch>
                            <a:fillRect/>
                          </a:stretch>
                        </pic:blipFill>
                        <pic:spPr>
                          <a:xfrm>
                            <a:off x="0" y="0"/>
                            <a:ext cx="1289685" cy="1071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57</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双面矮书架</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900*450*1200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1.材质：侧面挡板采用EO级18mm生态免漆板，四边到圆角，层板及立柱采用冷轧钢板。 规格尺寸：450*2000mm*16mm(厚度）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2.尺寸：底框厚度2.0mm,立柱厚度2.0mm,立横撑厚度1.5mm,挂板厚度1.2mm，隔板厚度1.2mm，档书条厚度1.2mm，冲压成型。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3.经高温粉体烤漆。烤漆粉得须经质量监督部门检测，铅、镉、汞等含量＜5mg/kg。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6000" behindDoc="0" locked="0" layoutInCell="1" allowOverlap="1">
                  <wp:simplePos x="0" y="0"/>
                  <wp:positionH relativeFrom="column">
                    <wp:posOffset>18415</wp:posOffset>
                  </wp:positionH>
                  <wp:positionV relativeFrom="paragraph">
                    <wp:posOffset>299720</wp:posOffset>
                  </wp:positionV>
                  <wp:extent cx="1581150" cy="744855"/>
                  <wp:effectExtent l="0" t="0" r="0" b="17145"/>
                  <wp:wrapNone/>
                  <wp:docPr id="168" name="图片_171"/>
                  <wp:cNvGraphicFramePr/>
                  <a:graphic xmlns:a="http://schemas.openxmlformats.org/drawingml/2006/main">
                    <a:graphicData uri="http://schemas.openxmlformats.org/drawingml/2006/picture">
                      <pic:pic xmlns:pic="http://schemas.openxmlformats.org/drawingml/2006/picture">
                        <pic:nvPicPr>
                          <pic:cNvPr id="168" name="图片_171"/>
                          <pic:cNvPicPr/>
                        </pic:nvPicPr>
                        <pic:blipFill>
                          <a:blip r:embed="rId73"/>
                          <a:stretch>
                            <a:fillRect/>
                          </a:stretch>
                        </pic:blipFill>
                        <pic:spPr>
                          <a:xfrm>
                            <a:off x="0" y="0"/>
                            <a:ext cx="1581150" cy="744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58</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学生阅览桌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1400*700*750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面板厚度40mm，底脚为50*50mm方木脚，材质为榉木实木，构架卯榫结构，稳定性强，文理清晰。</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9 </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7024" behindDoc="0" locked="0" layoutInCell="1" allowOverlap="1">
                  <wp:simplePos x="0" y="0"/>
                  <wp:positionH relativeFrom="column">
                    <wp:posOffset>228600</wp:posOffset>
                  </wp:positionH>
                  <wp:positionV relativeFrom="paragraph">
                    <wp:posOffset>66040</wp:posOffset>
                  </wp:positionV>
                  <wp:extent cx="1381760" cy="1438275"/>
                  <wp:effectExtent l="0" t="0" r="8890" b="9525"/>
                  <wp:wrapNone/>
                  <wp:docPr id="177" name="图片_268"/>
                  <wp:cNvGraphicFramePr/>
                  <a:graphic xmlns:a="http://schemas.openxmlformats.org/drawingml/2006/main">
                    <a:graphicData uri="http://schemas.openxmlformats.org/drawingml/2006/picture">
                      <pic:pic xmlns:pic="http://schemas.openxmlformats.org/drawingml/2006/picture">
                        <pic:nvPicPr>
                          <pic:cNvPr id="177" name="图片_268"/>
                          <pic:cNvPicPr/>
                        </pic:nvPicPr>
                        <pic:blipFill>
                          <a:blip r:embed="rId74"/>
                          <a:stretch>
                            <a:fillRect/>
                          </a:stretch>
                        </pic:blipFill>
                        <pic:spPr>
                          <a:xfrm>
                            <a:off x="0" y="0"/>
                            <a:ext cx="1381760" cy="1438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59</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阅览凳</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 常规</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材质及技术参数：</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主材：材质为榉木实木，构架卯榫结构，稳定性强，文理清晰。</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36 </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8048" behindDoc="0" locked="0" layoutInCell="1" allowOverlap="1">
                  <wp:simplePos x="0" y="0"/>
                  <wp:positionH relativeFrom="column">
                    <wp:posOffset>511810</wp:posOffset>
                  </wp:positionH>
                  <wp:positionV relativeFrom="paragraph">
                    <wp:posOffset>184150</wp:posOffset>
                  </wp:positionV>
                  <wp:extent cx="923290" cy="1130300"/>
                  <wp:effectExtent l="0" t="0" r="10160" b="12700"/>
                  <wp:wrapNone/>
                  <wp:docPr id="169" name="图片_249"/>
                  <wp:cNvGraphicFramePr/>
                  <a:graphic xmlns:a="http://schemas.openxmlformats.org/drawingml/2006/main">
                    <a:graphicData uri="http://schemas.openxmlformats.org/drawingml/2006/picture">
                      <pic:pic xmlns:pic="http://schemas.openxmlformats.org/drawingml/2006/picture">
                        <pic:nvPicPr>
                          <pic:cNvPr id="169" name="图片_249"/>
                          <pic:cNvPicPr/>
                        </pic:nvPicPr>
                        <pic:blipFill>
                          <a:blip r:embed="rId75"/>
                          <a:stretch>
                            <a:fillRect/>
                          </a:stretch>
                        </pic:blipFill>
                        <pic:spPr>
                          <a:xfrm>
                            <a:off x="0" y="0"/>
                            <a:ext cx="923290" cy="1130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0</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环形沙发</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3000*2500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内框架：采用1.2mm厚304不锈钢钢管氩弧焊焊接成型，无毛刺无焊点；                                         海绵：靠背为35密度高回弹切割新棉，坐垫为45密度高回弹切割新棉；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承重弹力结构：靠背装钉多条橡筋，坐垫为标准间距蛇形簧+平衡环保橡筋+面布；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面料：采用羊绒布艺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沙发脚：黑色塑料防滑脚垫</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79072" behindDoc="0" locked="0" layoutInCell="1" allowOverlap="1">
                  <wp:simplePos x="0" y="0"/>
                  <wp:positionH relativeFrom="column">
                    <wp:posOffset>109220</wp:posOffset>
                  </wp:positionH>
                  <wp:positionV relativeFrom="paragraph">
                    <wp:posOffset>1162050</wp:posOffset>
                  </wp:positionV>
                  <wp:extent cx="1487170" cy="790575"/>
                  <wp:effectExtent l="0" t="0" r="17780" b="9525"/>
                  <wp:wrapNone/>
                  <wp:docPr id="170" name="图片_239"/>
                  <wp:cNvGraphicFramePr/>
                  <a:graphic xmlns:a="http://schemas.openxmlformats.org/drawingml/2006/main">
                    <a:graphicData uri="http://schemas.openxmlformats.org/drawingml/2006/picture">
                      <pic:pic xmlns:pic="http://schemas.openxmlformats.org/drawingml/2006/picture">
                        <pic:nvPicPr>
                          <pic:cNvPr id="170" name="图片_239"/>
                          <pic:cNvPicPr/>
                        </pic:nvPicPr>
                        <pic:blipFill>
                          <a:blip r:embed="rId76"/>
                          <a:stretch>
                            <a:fillRect/>
                          </a:stretch>
                        </pic:blipFill>
                        <pic:spPr>
                          <a:xfrm>
                            <a:off x="0" y="0"/>
                            <a:ext cx="1487170" cy="79057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80096" behindDoc="0" locked="0" layoutInCell="1" allowOverlap="1">
                  <wp:simplePos x="0" y="0"/>
                  <wp:positionH relativeFrom="column">
                    <wp:posOffset>147320</wp:posOffset>
                  </wp:positionH>
                  <wp:positionV relativeFrom="paragraph">
                    <wp:posOffset>190500</wp:posOffset>
                  </wp:positionV>
                  <wp:extent cx="1414145" cy="847725"/>
                  <wp:effectExtent l="0" t="0" r="14605" b="9525"/>
                  <wp:wrapNone/>
                  <wp:docPr id="172" name="图片_238"/>
                  <wp:cNvGraphicFramePr/>
                  <a:graphic xmlns:a="http://schemas.openxmlformats.org/drawingml/2006/main">
                    <a:graphicData uri="http://schemas.openxmlformats.org/drawingml/2006/picture">
                      <pic:pic xmlns:pic="http://schemas.openxmlformats.org/drawingml/2006/picture">
                        <pic:nvPicPr>
                          <pic:cNvPr id="172" name="图片_238"/>
                          <pic:cNvPicPr/>
                        </pic:nvPicPr>
                        <pic:blipFill>
                          <a:blip r:embed="rId77"/>
                          <a:stretch>
                            <a:fillRect/>
                          </a:stretch>
                        </pic:blipFill>
                        <pic:spPr>
                          <a:xfrm>
                            <a:off x="0" y="0"/>
                            <a:ext cx="1414145"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D600*850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台面采用25mm厚实木多层板制作，底脚采用0.8mm厚304不锈钢材质</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规格尺寸：D600*850mm</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把</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1120" behindDoc="0" locked="0" layoutInCell="1" allowOverlap="1">
                  <wp:simplePos x="0" y="0"/>
                  <wp:positionH relativeFrom="column">
                    <wp:posOffset>628650</wp:posOffset>
                  </wp:positionH>
                  <wp:positionV relativeFrom="paragraph">
                    <wp:posOffset>28575</wp:posOffset>
                  </wp:positionV>
                  <wp:extent cx="886460" cy="1093470"/>
                  <wp:effectExtent l="0" t="0" r="8890" b="11430"/>
                  <wp:wrapNone/>
                  <wp:docPr id="175" name="图片_241"/>
                  <wp:cNvGraphicFramePr/>
                  <a:graphic xmlns:a="http://schemas.openxmlformats.org/drawingml/2006/main">
                    <a:graphicData uri="http://schemas.openxmlformats.org/drawingml/2006/picture">
                      <pic:pic xmlns:pic="http://schemas.openxmlformats.org/drawingml/2006/picture">
                        <pic:nvPicPr>
                          <pic:cNvPr id="175" name="图片_241"/>
                          <pic:cNvPicPr/>
                        </pic:nvPicPr>
                        <pic:blipFill>
                          <a:blip r:embed="rId78"/>
                          <a:stretch>
                            <a:fillRect/>
                          </a:stretch>
                        </pic:blipFill>
                        <pic:spPr>
                          <a:xfrm>
                            <a:off x="0" y="0"/>
                            <a:ext cx="886460" cy="1093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树形书架</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2400*2400*2600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采用上乘桃花心木实木制作，全榫卯结构，白橡木生长在干旱、高寒的高山环境，形成紧致结实的质地，防蛀防霉更耐用。面层采用环保彩色烤漆，美观大方。</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2144" behindDoc="0" locked="0" layoutInCell="1" allowOverlap="1">
                  <wp:simplePos x="0" y="0"/>
                  <wp:positionH relativeFrom="column">
                    <wp:posOffset>441325</wp:posOffset>
                  </wp:positionH>
                  <wp:positionV relativeFrom="paragraph">
                    <wp:posOffset>142875</wp:posOffset>
                  </wp:positionV>
                  <wp:extent cx="947420" cy="1073150"/>
                  <wp:effectExtent l="0" t="0" r="5080" b="12700"/>
                  <wp:wrapNone/>
                  <wp:docPr id="189" name="图片_242"/>
                  <wp:cNvGraphicFramePr/>
                  <a:graphic xmlns:a="http://schemas.openxmlformats.org/drawingml/2006/main">
                    <a:graphicData uri="http://schemas.openxmlformats.org/drawingml/2006/picture">
                      <pic:pic xmlns:pic="http://schemas.openxmlformats.org/drawingml/2006/picture">
                        <pic:nvPicPr>
                          <pic:cNvPr id="189" name="图片_242"/>
                          <pic:cNvPicPr/>
                        </pic:nvPicPr>
                        <pic:blipFill>
                          <a:blip r:embed="rId79"/>
                          <a:stretch>
                            <a:fillRect/>
                          </a:stretch>
                        </pic:blipFill>
                        <pic:spPr>
                          <a:xfrm>
                            <a:off x="0" y="0"/>
                            <a:ext cx="947420" cy="1073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3"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3</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电子阅览桌1</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1600*1600*750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1.桌面材质：基层采用防水，防潮,防火,耐高温多层板热压成型，产品完全 符合国家标准，其甲醛释放量为零。表面采用耐磨、耐高温、耐剐、抗渗透、容易清洁、防潮、不褪色、防火板。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1.2.桌面封边条：封边采用相当于或高于国标2mm一级PVC同色封边条全自动化封边，不变形，手感光滑，甲醛释放量为零。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1.3.铝合金脚材资跟规格：采用环保铝合金经模具压注成形，壁厚为T3.9mm。表面塗裝：采用静电喷塑高温固化，使涂层与金属表面的附着力更强，不易腐蚀，不易脱落。烤漆粉经专业机构检测，符合国家安全标准。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2.铝合金脚规格：上节60x40mm椭圆形长方形，下节采用∅28mm圆管。一次性压注成形，结构牢固,长期使用也不会产生摇晃、生锈，松散的现象。铝合金脚的线槽盖板采用ABS一级新料，一体成型，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3.规格：1600*1600*750。</w:t>
            </w:r>
          </w:p>
        </w:tc>
        <w:tc>
          <w:tcPr>
            <w:tcW w:w="582"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83168" behindDoc="0" locked="0" layoutInCell="1" allowOverlap="1">
                  <wp:simplePos x="0" y="0"/>
                  <wp:positionH relativeFrom="column">
                    <wp:posOffset>240030</wp:posOffset>
                  </wp:positionH>
                  <wp:positionV relativeFrom="paragraph">
                    <wp:posOffset>361950</wp:posOffset>
                  </wp:positionV>
                  <wp:extent cx="1451610" cy="1139825"/>
                  <wp:effectExtent l="0" t="0" r="15240" b="3175"/>
                  <wp:wrapNone/>
                  <wp:docPr id="180" name="图片_182"/>
                  <wp:cNvGraphicFramePr/>
                  <a:graphic xmlns:a="http://schemas.openxmlformats.org/drawingml/2006/main">
                    <a:graphicData uri="http://schemas.openxmlformats.org/drawingml/2006/picture">
                      <pic:pic xmlns:pic="http://schemas.openxmlformats.org/drawingml/2006/picture">
                        <pic:nvPicPr>
                          <pic:cNvPr id="180" name="图片_182"/>
                          <pic:cNvPicPr/>
                        </pic:nvPicPr>
                        <pic:blipFill>
                          <a:blip r:embed="rId80"/>
                          <a:stretch>
                            <a:fillRect/>
                          </a:stretch>
                        </pic:blipFill>
                        <pic:spPr>
                          <a:xfrm>
                            <a:off x="0" y="0"/>
                            <a:ext cx="1451610" cy="1139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电子阅览桌2</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2400*1000*750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2400*1000*750，1.台面面板基层采用防水，防潮,防火,耐高温25mm厚多层板热压成型，产品完全 符合国家标准，其甲醛释放量为零。表面采用耐磨、耐高温、耐剐、抗渗透、容易清洁、防潮、不褪色、防火板热压。桌面封边条：封边采用相当于或高于国标2mm一级PVC同色封边条全自动化封边，不变形，手感光滑，甲醛释放量为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所有底柜正面应为平装嵌入式结构设计，所有钣金的表面接缝均应满焊，焊接处均应打磨平整以保持为连续的平滑表面。</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柜体：主框架采用50*50*1.5mm方管、焊接制作，表面经磷化处理、环氧树脂静电粉末涂装处理（涂装厚度为0.75mm）。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调整脚：承重350Kg以上，以确保整体承重能力。</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4192" behindDoc="0" locked="0" layoutInCell="1" allowOverlap="1">
                  <wp:simplePos x="0" y="0"/>
                  <wp:positionH relativeFrom="column">
                    <wp:posOffset>95250</wp:posOffset>
                  </wp:positionH>
                  <wp:positionV relativeFrom="paragraph">
                    <wp:posOffset>457200</wp:posOffset>
                  </wp:positionV>
                  <wp:extent cx="1419225" cy="800735"/>
                  <wp:effectExtent l="0" t="0" r="9525" b="18415"/>
                  <wp:wrapNone/>
                  <wp:docPr id="183" name="图片_183"/>
                  <wp:cNvGraphicFramePr/>
                  <a:graphic xmlns:a="http://schemas.openxmlformats.org/drawingml/2006/main">
                    <a:graphicData uri="http://schemas.openxmlformats.org/drawingml/2006/picture">
                      <pic:pic xmlns:pic="http://schemas.openxmlformats.org/drawingml/2006/picture">
                        <pic:nvPicPr>
                          <pic:cNvPr id="183" name="图片_183"/>
                          <pic:cNvPicPr/>
                        </pic:nvPicPr>
                        <pic:blipFill>
                          <a:blip r:embed="rId81"/>
                          <a:stretch>
                            <a:fillRect/>
                          </a:stretch>
                        </pic:blipFill>
                        <pic:spPr>
                          <a:xfrm>
                            <a:off x="0" y="0"/>
                            <a:ext cx="1419225" cy="800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阅览椅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 常规</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材质及技术参数：</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主材：材质为榉木实木，构架卯榫结构，稳定性强，文理清晰。</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油漆：木器专用环保聚脂漆，采用自动喷涂线密闭油饰，五底三面，透明度高，附着力强，色泽美观，不变色，光滑耐磨，手感好,漆膜硬度达2H以上，符合GB18581-2009标准。</w:t>
            </w:r>
          </w:p>
        </w:tc>
        <w:tc>
          <w:tcPr>
            <w:tcW w:w="582"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487"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32</w:t>
            </w:r>
          </w:p>
        </w:tc>
        <w:tc>
          <w:tcPr>
            <w:tcW w:w="3065" w:type="dxa"/>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bdr w:val="single" w:color="000000" w:sz="4" w:space="0"/>
              </w:rPr>
              <w:drawing>
                <wp:anchor distT="0" distB="0" distL="114300" distR="114300" simplePos="0" relativeHeight="251785216" behindDoc="0" locked="0" layoutInCell="1" allowOverlap="1">
                  <wp:simplePos x="0" y="0"/>
                  <wp:positionH relativeFrom="column">
                    <wp:posOffset>252095</wp:posOffset>
                  </wp:positionH>
                  <wp:positionV relativeFrom="paragraph">
                    <wp:posOffset>46990</wp:posOffset>
                  </wp:positionV>
                  <wp:extent cx="1275715" cy="1279525"/>
                  <wp:effectExtent l="0" t="0" r="635" b="15875"/>
                  <wp:wrapNone/>
                  <wp:docPr id="176" name="图片_231"/>
                  <wp:cNvGraphicFramePr/>
                  <a:graphic xmlns:a="http://schemas.openxmlformats.org/drawingml/2006/main">
                    <a:graphicData uri="http://schemas.openxmlformats.org/drawingml/2006/picture">
                      <pic:pic xmlns:pic="http://schemas.openxmlformats.org/drawingml/2006/picture">
                        <pic:nvPicPr>
                          <pic:cNvPr id="176" name="图片_231"/>
                          <pic:cNvPicPr/>
                        </pic:nvPicPr>
                        <pic:blipFill>
                          <a:blip r:embed="rId82"/>
                          <a:stretch>
                            <a:fillRect/>
                          </a:stretch>
                        </pic:blipFill>
                        <pic:spPr>
                          <a:xfrm>
                            <a:off x="0" y="0"/>
                            <a:ext cx="1275715" cy="1279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老师阅览桌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1400*700*750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桌面板材质说明：面板基层采用防水，防潮,防火,耐高温25mm厚多层板热压成型，产品完全 符合国家标准，其甲醛释放量为零。表面采用耐磨、耐高温、耐剐、抗渗透、容易清洁、防潮、不褪色、防火板热压。封边采用相当于或高于国标2mm一级PVC同色封边条全自动化封边，不变形，手感光滑，甲醛释放量为零。桌身采用铝合金扁管折成立体造型，经酸洗磷化处理，电镀喷涂，表面抗氧化处理，底部嵌色，美观大方，底脚配防腐可调地脚。</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6240" behindDoc="0" locked="0" layoutInCell="1" allowOverlap="1">
                  <wp:simplePos x="0" y="0"/>
                  <wp:positionH relativeFrom="column">
                    <wp:posOffset>76200</wp:posOffset>
                  </wp:positionH>
                  <wp:positionV relativeFrom="paragraph">
                    <wp:posOffset>123825</wp:posOffset>
                  </wp:positionV>
                  <wp:extent cx="1430020" cy="962025"/>
                  <wp:effectExtent l="0" t="0" r="17780" b="9525"/>
                  <wp:wrapNone/>
                  <wp:docPr id="188" name="图片_184"/>
                  <wp:cNvGraphicFramePr/>
                  <a:graphic xmlns:a="http://schemas.openxmlformats.org/drawingml/2006/main">
                    <a:graphicData uri="http://schemas.openxmlformats.org/drawingml/2006/picture">
                      <pic:pic xmlns:pic="http://schemas.openxmlformats.org/drawingml/2006/picture">
                        <pic:nvPicPr>
                          <pic:cNvPr id="188" name="图片_184"/>
                          <pic:cNvPicPr/>
                        </pic:nvPicPr>
                        <pic:blipFill>
                          <a:blip r:embed="rId83"/>
                          <a:stretch>
                            <a:fillRect/>
                          </a:stretch>
                        </pic:blipFill>
                        <pic:spPr>
                          <a:xfrm>
                            <a:off x="0" y="0"/>
                            <a:ext cx="1430020" cy="962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6</w:t>
            </w:r>
            <w:r>
              <w:rPr>
                <w:rFonts w:hint="eastAsia" w:ascii="宋体" w:hAnsi="宋体" w:eastAsia="宋体" w:cs="宋体"/>
                <w:color w:val="000000"/>
                <w:kern w:val="0"/>
                <w:sz w:val="18"/>
                <w:szCs w:val="18"/>
                <w:lang w:val="en-US" w:eastAsia="zh-CN" w:bidi="ar"/>
              </w:rPr>
              <w:t>7</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老师阅览椅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常规</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1、椅背采用全新PP加玻纤，注塑成型，环保防火。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面采用网布，网布色泽亮丽、阻燃、防污、耐磨性强；座垫采用高密度、高回弹PU定型发泡海绵，密度≥45kg/cm3,软硬适中，回弹性能好，不变形；座垫依据人体工学原理设计，采用1.5mm夹板八层垫压成成型，成型板材约12mm，板材承受力达150KG，弓型架为实心钢筋。                                                   3、PA扶手配合靠背倾斜机构设计，有效缓解疲劳。</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4、T1.5mm定制异型管喷涂五金椅架，金属质感，稳固性强。</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7264" behindDoc="0" locked="0" layoutInCell="1" allowOverlap="1">
                  <wp:simplePos x="0" y="0"/>
                  <wp:positionH relativeFrom="column">
                    <wp:posOffset>180975</wp:posOffset>
                  </wp:positionH>
                  <wp:positionV relativeFrom="paragraph">
                    <wp:posOffset>28575</wp:posOffset>
                  </wp:positionV>
                  <wp:extent cx="925830" cy="1207135"/>
                  <wp:effectExtent l="0" t="0" r="7620" b="12065"/>
                  <wp:wrapNone/>
                  <wp:docPr id="179" name="图片_185"/>
                  <wp:cNvGraphicFramePr/>
                  <a:graphic xmlns:a="http://schemas.openxmlformats.org/drawingml/2006/main">
                    <a:graphicData uri="http://schemas.openxmlformats.org/drawingml/2006/picture">
                      <pic:pic xmlns:pic="http://schemas.openxmlformats.org/drawingml/2006/picture">
                        <pic:nvPicPr>
                          <pic:cNvPr id="179" name="图片_185"/>
                          <pic:cNvPicPr/>
                        </pic:nvPicPr>
                        <pic:blipFill>
                          <a:blip r:embed="rId84"/>
                          <a:stretch>
                            <a:fillRect/>
                          </a:stretch>
                        </pic:blipFill>
                        <pic:spPr>
                          <a:xfrm>
                            <a:off x="0" y="0"/>
                            <a:ext cx="925830" cy="1207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68</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吧台凳</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450*380*870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A级仿疯马皮，马克线工艺，内置高密度海绵，底脚为圆管经酸洗磷化喷涂哑光黑，中间配稳固脚踏，底脚配防滑耐磨脚垫。</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8288" behindDoc="0" locked="0" layoutInCell="1" allowOverlap="1">
                  <wp:simplePos x="0" y="0"/>
                  <wp:positionH relativeFrom="column">
                    <wp:posOffset>497840</wp:posOffset>
                  </wp:positionH>
                  <wp:positionV relativeFrom="paragraph">
                    <wp:posOffset>47625</wp:posOffset>
                  </wp:positionV>
                  <wp:extent cx="807720" cy="1155065"/>
                  <wp:effectExtent l="0" t="0" r="11430" b="6985"/>
                  <wp:wrapNone/>
                  <wp:docPr id="181" name="图片_258"/>
                  <wp:cNvGraphicFramePr/>
                  <a:graphic xmlns:a="http://schemas.openxmlformats.org/drawingml/2006/main">
                    <a:graphicData uri="http://schemas.openxmlformats.org/drawingml/2006/picture">
                      <pic:pic xmlns:pic="http://schemas.openxmlformats.org/drawingml/2006/picture">
                        <pic:nvPicPr>
                          <pic:cNvPr id="181" name="图片_258"/>
                          <pic:cNvPicPr/>
                        </pic:nvPicPr>
                        <pic:blipFill>
                          <a:blip r:embed="rId85"/>
                          <a:stretch>
                            <a:fillRect/>
                          </a:stretch>
                        </pic:blipFill>
                        <pic:spPr>
                          <a:xfrm>
                            <a:off x="0" y="0"/>
                            <a:ext cx="807720" cy="1155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1"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69</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1400*400*750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1.面板材质基层采用25mm厚防水，防潮,防火,耐高温多层板热压成型，产品完全 符合国家标准，其甲醛释放量为零。表面采用耐磨、耐高温、耐剐、抗渗透、容易清洁、防潮、不褪色、白板热压。桌面封边条：采用厚度≥2.0mm耐老化PVC封边条封边，甲醛释放量达到国家环保水平。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2、桌架：采用铝合金经模具压注成形，壁厚为T3.1mm。其上节为30*60mm椭圆形长方形，桌架底座采用50*55mm椭圆形铝合金注压, 立柱跟下底座中间留空，安装自动化固定件 。桌架底座固定4个50mm黑色尼龙脚轮，经过五万次来回阻力疲劳测试无破裂                                                                             3.喷涂采用静电喷塑高温固化，使涂层与金属表面的附着力更强，不易腐蚀，不易脱落。烤漆粉经专业检测，符合国家安全标准。具体用料及规格由投标方科学合理设计，结构牢固，协调美观。                                                                     4.前挡板采用符合国家标准的PE耐冲击新料一体射出成型，                                                                        5，功能：当桌面打开使用，黑色尼龙脚轮自动固定锁死，不需要人工固定，当桌面收纳起来，黑色尼龙脚轮自动松开，可以自由推动收纳且收纳并排在一起，不可采用脚采的轮子固定方式。</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89312" behindDoc="0" locked="0" layoutInCell="1" allowOverlap="1">
                  <wp:simplePos x="0" y="0"/>
                  <wp:positionH relativeFrom="column">
                    <wp:posOffset>140970</wp:posOffset>
                  </wp:positionH>
                  <wp:positionV relativeFrom="paragraph">
                    <wp:posOffset>57150</wp:posOffset>
                  </wp:positionV>
                  <wp:extent cx="1254760" cy="953770"/>
                  <wp:effectExtent l="0" t="0" r="2540" b="17780"/>
                  <wp:wrapNone/>
                  <wp:docPr id="192" name="图片_179"/>
                  <wp:cNvGraphicFramePr/>
                  <a:graphic xmlns:a="http://schemas.openxmlformats.org/drawingml/2006/main">
                    <a:graphicData uri="http://schemas.openxmlformats.org/drawingml/2006/picture">
                      <pic:pic xmlns:pic="http://schemas.openxmlformats.org/drawingml/2006/picture">
                        <pic:nvPicPr>
                          <pic:cNvPr id="192" name="图片_179"/>
                          <pic:cNvPicPr/>
                        </pic:nvPicPr>
                        <pic:blipFill>
                          <a:blip r:embed="rId86"/>
                          <a:stretch>
                            <a:fillRect/>
                          </a:stretch>
                        </pic:blipFill>
                        <pic:spPr>
                          <a:xfrm>
                            <a:off x="0" y="0"/>
                            <a:ext cx="1254760" cy="95377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90336" behindDoc="0" locked="0" layoutInCell="1" allowOverlap="1">
                  <wp:simplePos x="0" y="0"/>
                  <wp:positionH relativeFrom="column">
                    <wp:posOffset>152400</wp:posOffset>
                  </wp:positionH>
                  <wp:positionV relativeFrom="paragraph">
                    <wp:posOffset>1051560</wp:posOffset>
                  </wp:positionV>
                  <wp:extent cx="1449070" cy="819150"/>
                  <wp:effectExtent l="0" t="0" r="17780" b="0"/>
                  <wp:wrapNone/>
                  <wp:docPr id="182" name="图片_228"/>
                  <wp:cNvGraphicFramePr/>
                  <a:graphic xmlns:a="http://schemas.openxmlformats.org/drawingml/2006/main">
                    <a:graphicData uri="http://schemas.openxmlformats.org/drawingml/2006/picture">
                      <pic:pic xmlns:pic="http://schemas.openxmlformats.org/drawingml/2006/picture">
                        <pic:nvPicPr>
                          <pic:cNvPr id="182" name="图片_228"/>
                          <pic:cNvPicPr/>
                        </pic:nvPicPr>
                        <pic:blipFill>
                          <a:blip r:embed="rId70"/>
                          <a:stretch>
                            <a:fillRect/>
                          </a:stretch>
                        </pic:blipFill>
                        <pic:spPr>
                          <a:xfrm>
                            <a:off x="0" y="0"/>
                            <a:ext cx="1449070" cy="81915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791360" behindDoc="0" locked="0" layoutInCell="1" allowOverlap="1">
                  <wp:simplePos x="0" y="0"/>
                  <wp:positionH relativeFrom="column">
                    <wp:posOffset>213360</wp:posOffset>
                  </wp:positionH>
                  <wp:positionV relativeFrom="paragraph">
                    <wp:posOffset>0</wp:posOffset>
                  </wp:positionV>
                  <wp:extent cx="1325880" cy="0"/>
                  <wp:effectExtent l="0" t="0" r="0" b="0"/>
                  <wp:wrapNone/>
                  <wp:docPr id="191" name="图片_227"/>
                  <wp:cNvGraphicFramePr/>
                  <a:graphic xmlns:a="http://schemas.openxmlformats.org/drawingml/2006/main">
                    <a:graphicData uri="http://schemas.openxmlformats.org/drawingml/2006/picture">
                      <pic:pic xmlns:pic="http://schemas.openxmlformats.org/drawingml/2006/picture">
                        <pic:nvPicPr>
                          <pic:cNvPr id="191" name="图片_227"/>
                          <pic:cNvPicPr/>
                        </pic:nvPicPr>
                        <pic:blipFill>
                          <a:blip r:embed="rId33"/>
                          <a:stretch>
                            <a:fillRect/>
                          </a:stretch>
                        </pic:blipFill>
                        <pic:spPr>
                          <a:xfrm>
                            <a:off x="0" y="0"/>
                            <a:ext cx="132588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0</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展示柜</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4800*400*2000/1600/1200/800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 柜体基材采用18mm厚度的E1级绿色环保三聚氰胺板，耐划，坚固、美观，具有防火、防潮、耐磨、硬度高、易去污，可长期保持整洁等优点。所有板材均经过防虫、防腐等化学处理，符合国家绿色环保板材要求，达到国际握钉力测试标准；采用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2384" behindDoc="0" locked="0" layoutInCell="1" allowOverlap="1">
                  <wp:simplePos x="0" y="0"/>
                  <wp:positionH relativeFrom="column">
                    <wp:posOffset>238125</wp:posOffset>
                  </wp:positionH>
                  <wp:positionV relativeFrom="paragraph">
                    <wp:posOffset>40005</wp:posOffset>
                  </wp:positionV>
                  <wp:extent cx="1356360" cy="1356360"/>
                  <wp:effectExtent l="0" t="0" r="15240" b="15240"/>
                  <wp:wrapNone/>
                  <wp:docPr id="184" name="图片_229"/>
                  <wp:cNvGraphicFramePr/>
                  <a:graphic xmlns:a="http://schemas.openxmlformats.org/drawingml/2006/main">
                    <a:graphicData uri="http://schemas.openxmlformats.org/drawingml/2006/picture">
                      <pic:pic xmlns:pic="http://schemas.openxmlformats.org/drawingml/2006/picture">
                        <pic:nvPicPr>
                          <pic:cNvPr id="184" name="图片_229"/>
                          <pic:cNvPicPr/>
                        </pic:nvPicPr>
                        <pic:blipFill>
                          <a:blip r:embed="rId87"/>
                          <a:stretch>
                            <a:fillRect/>
                          </a:stretch>
                        </pic:blipFill>
                        <pic:spPr>
                          <a:xfrm>
                            <a:off x="0" y="0"/>
                            <a:ext cx="1356360" cy="1356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1</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组合沙发</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1200*600*880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木架：采用白蜡木实木制作，气干密度0.60~0.69g/cm3。这种木材通常平直，带有粗糙均匀纹理。加工性能良好，可经染色及抛光而取得良好表面，防蛀防霉更耐用。采用</w:t>
            </w:r>
            <w:r>
              <w:rPr>
                <w:rFonts w:hint="eastAsia" w:eastAsia="宋体"/>
                <w:sz w:val="18"/>
                <w:szCs w:val="18"/>
              </w:rPr>
              <w:t>水性漆</w:t>
            </w:r>
            <w:r>
              <w:rPr>
                <w:rFonts w:hint="eastAsia" w:ascii="宋体" w:hAnsi="宋体" w:eastAsia="宋体" w:cs="宋体"/>
                <w:color w:val="000000"/>
                <w:kern w:val="0"/>
                <w:sz w:val="18"/>
                <w:szCs w:val="18"/>
                <w:lang w:bidi="ar"/>
              </w:rPr>
              <w:t xml:space="preserve">，经五底三面油漆工艺处理。                                                海绵：靠背为35密度高回弹切割新棉，坐垫为45密度高回弹切割新棉；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承重弹力结构：靠背装钉多条橡筋，坐垫为标准间距蛇形簧+平衡环保橡筋+面布；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面料：采用羊绒布艺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沙发脚：黑色塑料防滑脚垫</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3408" behindDoc="0" locked="0" layoutInCell="1" allowOverlap="1">
                  <wp:simplePos x="0" y="0"/>
                  <wp:positionH relativeFrom="column">
                    <wp:posOffset>69215</wp:posOffset>
                  </wp:positionH>
                  <wp:positionV relativeFrom="paragraph">
                    <wp:posOffset>66675</wp:posOffset>
                  </wp:positionV>
                  <wp:extent cx="1607820" cy="1238885"/>
                  <wp:effectExtent l="0" t="0" r="11430" b="18415"/>
                  <wp:wrapNone/>
                  <wp:docPr id="185" name="图片_259"/>
                  <wp:cNvGraphicFramePr/>
                  <a:graphic xmlns:a="http://schemas.openxmlformats.org/drawingml/2006/main">
                    <a:graphicData uri="http://schemas.openxmlformats.org/drawingml/2006/picture">
                      <pic:pic xmlns:pic="http://schemas.openxmlformats.org/drawingml/2006/picture">
                        <pic:nvPicPr>
                          <pic:cNvPr id="185" name="图片_259"/>
                          <pic:cNvPicPr/>
                        </pic:nvPicPr>
                        <pic:blipFill>
                          <a:blip r:embed="rId88"/>
                          <a:stretch>
                            <a:fillRect/>
                          </a:stretch>
                        </pic:blipFill>
                        <pic:spPr>
                          <a:xfrm>
                            <a:off x="0" y="0"/>
                            <a:ext cx="1607820" cy="1238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1000*550*550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台面采用白蜡木实木制作，气干密度0.60~0.69g/cm3。这种木材通常平直，带有粗糙均匀纹理。加工性能良好，可经染色及抛光而取得良好表面，防蛀防霉更耐用。采用水性漆，经五底三面油漆工艺处理。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把</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4432" behindDoc="0" locked="0" layoutInCell="1" allowOverlap="1">
                  <wp:simplePos x="0" y="0"/>
                  <wp:positionH relativeFrom="column">
                    <wp:posOffset>190500</wp:posOffset>
                  </wp:positionH>
                  <wp:positionV relativeFrom="paragraph">
                    <wp:posOffset>66675</wp:posOffset>
                  </wp:positionV>
                  <wp:extent cx="1372235" cy="1057275"/>
                  <wp:effectExtent l="0" t="0" r="18415" b="9525"/>
                  <wp:wrapNone/>
                  <wp:docPr id="186" name="图片_261"/>
                  <wp:cNvGraphicFramePr/>
                  <a:graphic xmlns:a="http://schemas.openxmlformats.org/drawingml/2006/main">
                    <a:graphicData uri="http://schemas.openxmlformats.org/drawingml/2006/picture">
                      <pic:pic xmlns:pic="http://schemas.openxmlformats.org/drawingml/2006/picture">
                        <pic:nvPicPr>
                          <pic:cNvPr id="186" name="图片_261"/>
                          <pic:cNvPicPr/>
                        </pic:nvPicPr>
                        <pic:blipFill>
                          <a:blip r:embed="rId89"/>
                          <a:stretch>
                            <a:fillRect/>
                          </a:stretch>
                        </pic:blipFill>
                        <pic:spPr>
                          <a:xfrm>
                            <a:off x="0" y="0"/>
                            <a:ext cx="1372235" cy="1057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3</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置物桌（人造石台面）</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1200*500*850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台面采用30mm厚人造大理石， 柜体基材采用18mm厚度的E1级绿色环保三聚氰胺板，耐划，坚固、美观，具有防火、防潮、耐磨、硬度高、易去污，可长期保持整洁等优点。所有板材均经过防虫、防腐等化学处理，符合国家绿色环保板材要求，达到国际握钉力测试标准；采用不锈钢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5456" behindDoc="0" locked="0" layoutInCell="1" allowOverlap="1">
                  <wp:simplePos x="0" y="0"/>
                  <wp:positionH relativeFrom="column">
                    <wp:posOffset>247650</wp:posOffset>
                  </wp:positionH>
                  <wp:positionV relativeFrom="paragraph">
                    <wp:posOffset>152400</wp:posOffset>
                  </wp:positionV>
                  <wp:extent cx="1251585" cy="1092835"/>
                  <wp:effectExtent l="0" t="0" r="5715" b="12065"/>
                  <wp:wrapNone/>
                  <wp:docPr id="190" name="图片_253"/>
                  <wp:cNvGraphicFramePr/>
                  <a:graphic xmlns:a="http://schemas.openxmlformats.org/drawingml/2006/main">
                    <a:graphicData uri="http://schemas.openxmlformats.org/drawingml/2006/picture">
                      <pic:pic xmlns:pic="http://schemas.openxmlformats.org/drawingml/2006/picture">
                        <pic:nvPicPr>
                          <pic:cNvPr id="190" name="图片_253"/>
                          <pic:cNvPicPr/>
                        </pic:nvPicPr>
                        <pic:blipFill>
                          <a:blip r:embed="rId90"/>
                          <a:stretch>
                            <a:fillRect/>
                          </a:stretch>
                        </pic:blipFill>
                        <pic:spPr>
                          <a:xfrm>
                            <a:off x="0" y="0"/>
                            <a:ext cx="1251585" cy="1092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发布区组合沙发</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4200*2400*720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内框架：实木框架配多层夹板装钉而成；                                                    海绵：靠背为35密度高回弹切割新棉，坐垫为45密度高回弹切割新棉；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承重弹力结构：靠背装钉多条橡筋，坐垫为标准间距蛇形簧+平衡环保橡筋+面布；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面料：采用羊绒布艺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沙发脚：黑色塑料防滑脚垫</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6480" behindDoc="0" locked="0" layoutInCell="1" allowOverlap="1">
                  <wp:simplePos x="0" y="0"/>
                  <wp:positionH relativeFrom="column">
                    <wp:posOffset>254635</wp:posOffset>
                  </wp:positionH>
                  <wp:positionV relativeFrom="paragraph">
                    <wp:posOffset>114300</wp:posOffset>
                  </wp:positionV>
                  <wp:extent cx="1296035" cy="1134745"/>
                  <wp:effectExtent l="0" t="0" r="18415" b="8255"/>
                  <wp:wrapNone/>
                  <wp:docPr id="193" name="图片_254"/>
                  <wp:cNvGraphicFramePr/>
                  <a:graphic xmlns:a="http://schemas.openxmlformats.org/drawingml/2006/main">
                    <a:graphicData uri="http://schemas.openxmlformats.org/drawingml/2006/picture">
                      <pic:pic xmlns:pic="http://schemas.openxmlformats.org/drawingml/2006/picture">
                        <pic:nvPicPr>
                          <pic:cNvPr id="193" name="图片_254"/>
                          <pic:cNvPicPr/>
                        </pic:nvPicPr>
                        <pic:blipFill>
                          <a:blip r:embed="rId91"/>
                          <a:stretch>
                            <a:fillRect/>
                          </a:stretch>
                        </pic:blipFill>
                        <pic:spPr>
                          <a:xfrm>
                            <a:off x="0" y="0"/>
                            <a:ext cx="1296035" cy="1134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5</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置物桌</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1200*400*780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1.面板材质基层采用防水，防潮,防火,耐高温实木多层板热压成型，符合国家</w:t>
            </w:r>
            <w:r>
              <w:rPr>
                <w:rFonts w:hint="eastAsia" w:ascii="宋体" w:hAnsi="宋体" w:eastAsia="宋体" w:cs="宋体"/>
                <w:color w:val="000000"/>
                <w:kern w:val="0"/>
                <w:sz w:val="18"/>
                <w:szCs w:val="18"/>
                <w:highlight w:val="none"/>
                <w:lang w:bidi="ar"/>
              </w:rPr>
              <w:t>E1标准</w:t>
            </w:r>
            <w:r>
              <w:rPr>
                <w:rFonts w:hint="eastAsia" w:ascii="宋体" w:hAnsi="宋体" w:eastAsia="宋体" w:cs="宋体"/>
                <w:color w:val="000000"/>
                <w:kern w:val="0"/>
                <w:sz w:val="18"/>
                <w:szCs w:val="18"/>
                <w:lang w:bidi="ar"/>
              </w:rPr>
              <w:t>，其甲醛释放量为≤0.12mg/m3。表面采用耐磨、耐高温、耐剐、抗渗透、容易清洁、防潮、不褪色、白板热压。封边采用相当于或高于国标2mm一级PVC同色封边条全自动化封边，不变形，手感光滑，甲醛释放量为零。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桌架：采用铝合金经模具压注成形，壁厚为T3.1mm。其上节为30*325mm椭圆形长方形，下节采用30*400mm长方形,高度30*725mm一次性压注成形，立柱跟下连杆中间留空，采用注塑镶嵌作为前档板，塑方便擦洗，保证整体清洁，喷涂采用静电喷塑高温固化，使涂层与金属表面的附着力更强，不易腐蚀，不易脱落。烤漆粉经专业检测，符合国家安全标准。具体用料及规格由投标方科学合理设计，结构牢固，协调美观。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桌面支撑杆底部安装防损护套，护套采用ABS工程塑料，规格为≧278mm*宽30mm，半圆形一次注塑成型，地脚面安装有防损护套，护套采用ABS工程塑料，规格为≧325mm*宽30mm，半圆形一次注塑成型，桌立柱面安装有防损护套，护套采用ABS工程塑料，规格为≧410mm*宽30mm，半圆形一次注塑成型（见附图），防损护套采用凸点卡扣固定在铝合金管表面，吻合紧密不易脱落</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4.前塑料挡板材质：采用PP耐冲击塑料一体注塑成型，尺寸529*260mm,面板成弧形，面板留有造型孔，弧度是根据人体形态工程学曲线原理设计，</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5、桌脚垫：前支撑脚脚底均须设置防滑及防噪音的ABS塑料脚垫。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797504" behindDoc="0" locked="0" layoutInCell="1" allowOverlap="1">
                  <wp:simplePos x="0" y="0"/>
                  <wp:positionH relativeFrom="column">
                    <wp:posOffset>233680</wp:posOffset>
                  </wp:positionH>
                  <wp:positionV relativeFrom="paragraph">
                    <wp:posOffset>184785</wp:posOffset>
                  </wp:positionV>
                  <wp:extent cx="1491615" cy="1076325"/>
                  <wp:effectExtent l="0" t="0" r="13335" b="9525"/>
                  <wp:wrapNone/>
                  <wp:docPr id="197" name="图片_248"/>
                  <wp:cNvGraphicFramePr/>
                  <a:graphic xmlns:a="http://schemas.openxmlformats.org/drawingml/2006/main">
                    <a:graphicData uri="http://schemas.openxmlformats.org/drawingml/2006/picture">
                      <pic:pic xmlns:pic="http://schemas.openxmlformats.org/drawingml/2006/picture">
                        <pic:nvPicPr>
                          <pic:cNvPr id="197" name="图片_248"/>
                          <pic:cNvPicPr/>
                        </pic:nvPicPr>
                        <pic:blipFill>
                          <a:blip r:embed="rId92"/>
                          <a:stretch>
                            <a:fillRect/>
                          </a:stretch>
                        </pic:blipFill>
                        <pic:spPr>
                          <a:xfrm>
                            <a:off x="0" y="0"/>
                            <a:ext cx="1491615" cy="1076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7</w:t>
            </w:r>
            <w:r>
              <w:rPr>
                <w:rFonts w:hint="eastAsia" w:ascii="宋体" w:hAnsi="宋体" w:eastAsia="宋体" w:cs="宋体"/>
                <w:color w:val="000000"/>
                <w:kern w:val="0"/>
                <w:sz w:val="18"/>
                <w:szCs w:val="18"/>
                <w:lang w:val="en-US" w:eastAsia="zh-CN" w:bidi="ar"/>
              </w:rPr>
              <w:t>6</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双人沙发</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2000*800*880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木架：采用白蜡木实木制作，气干密度0.60~0.69g/cm3。这种木材通常平直，带有粗糙均匀纹理。加工性能良好，可经染色及抛光而取得良好表面，防蛀防霉更耐用。采用</w:t>
            </w:r>
            <w:r>
              <w:rPr>
                <w:rFonts w:hint="eastAsia"/>
              </w:rPr>
              <w:t>水性漆</w:t>
            </w:r>
            <w:r>
              <w:rPr>
                <w:rFonts w:hint="eastAsia" w:ascii="宋体" w:hAnsi="宋体" w:eastAsia="宋体" w:cs="宋体"/>
                <w:color w:val="000000"/>
                <w:kern w:val="0"/>
                <w:sz w:val="18"/>
                <w:szCs w:val="18"/>
                <w:lang w:bidi="ar"/>
              </w:rPr>
              <w:t>，经五底三面油漆工艺处理。                                                                                                                                                                        海绵：靠背为35密度高回弹切割新棉，坐垫为45密度高回弹切割新棉 ，承重弹力结构：靠背装钉多条橡筋，坐垫为标准间距蛇形簧+平衡橡筋+面布；                                                                                                                         面料：绒布面料；</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98528" behindDoc="0" locked="0" layoutInCell="1" allowOverlap="1">
                  <wp:simplePos x="0" y="0"/>
                  <wp:positionH relativeFrom="column">
                    <wp:posOffset>364490</wp:posOffset>
                  </wp:positionH>
                  <wp:positionV relativeFrom="paragraph">
                    <wp:posOffset>200025</wp:posOffset>
                  </wp:positionV>
                  <wp:extent cx="1198245" cy="719455"/>
                  <wp:effectExtent l="0" t="0" r="1905" b="4445"/>
                  <wp:wrapNone/>
                  <wp:docPr id="30" name="图片_255"/>
                  <wp:cNvGraphicFramePr/>
                  <a:graphic xmlns:a="http://schemas.openxmlformats.org/drawingml/2006/main">
                    <a:graphicData uri="http://schemas.openxmlformats.org/drawingml/2006/picture">
                      <pic:pic xmlns:pic="http://schemas.openxmlformats.org/drawingml/2006/picture">
                        <pic:nvPicPr>
                          <pic:cNvPr id="30" name="图片_255"/>
                          <pic:cNvPicPr/>
                        </pic:nvPicPr>
                        <pic:blipFill>
                          <a:blip r:embed="rId93"/>
                          <a:stretch>
                            <a:fillRect/>
                          </a:stretch>
                        </pic:blipFill>
                        <pic:spPr>
                          <a:xfrm>
                            <a:off x="0" y="0"/>
                            <a:ext cx="1198245" cy="719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77</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1200*600*550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采用白蜡木实木制作，气干密度0.60~0.69g/cm3。这种木材通常平直，带有粗糙均匀纹理。加工性能良好，可经染色及抛光而取得良好表面，防蛀防霉更耐用。采用环保环保油漆，经五底三面油漆工艺处理。   </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799552" behindDoc="0" locked="0" layoutInCell="1" allowOverlap="1">
                  <wp:simplePos x="0" y="0"/>
                  <wp:positionH relativeFrom="column">
                    <wp:posOffset>250190</wp:posOffset>
                  </wp:positionH>
                  <wp:positionV relativeFrom="paragraph">
                    <wp:posOffset>276225</wp:posOffset>
                  </wp:positionV>
                  <wp:extent cx="1235075" cy="739140"/>
                  <wp:effectExtent l="0" t="0" r="3175" b="3810"/>
                  <wp:wrapNone/>
                  <wp:docPr id="4" name="图片_262"/>
                  <wp:cNvGraphicFramePr/>
                  <a:graphic xmlns:a="http://schemas.openxmlformats.org/drawingml/2006/main">
                    <a:graphicData uri="http://schemas.openxmlformats.org/drawingml/2006/picture">
                      <pic:pic xmlns:pic="http://schemas.openxmlformats.org/drawingml/2006/picture">
                        <pic:nvPicPr>
                          <pic:cNvPr id="4" name="图片_262"/>
                          <pic:cNvPicPr/>
                        </pic:nvPicPr>
                        <pic:blipFill>
                          <a:blip r:embed="rId94"/>
                          <a:stretch>
                            <a:fillRect/>
                          </a:stretch>
                        </pic:blipFill>
                        <pic:spPr>
                          <a:xfrm>
                            <a:off x="0" y="0"/>
                            <a:ext cx="1235075" cy="739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78</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沙发</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单人</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木架：采用白蜡木实木制作，气干密度0.60~0.69g/cm3。这种木材通常平直，带有粗糙均匀纹理。加工性能良好，可经染色及抛光而取得良好表面，防蛀防霉更耐用。采用</w:t>
            </w:r>
            <w:r>
              <w:rPr>
                <w:rFonts w:hint="eastAsia"/>
              </w:rPr>
              <w:t>水性漆</w:t>
            </w:r>
            <w:r>
              <w:rPr>
                <w:rFonts w:hint="eastAsia" w:ascii="宋体" w:hAnsi="宋体" w:eastAsia="宋体" w:cs="宋体"/>
                <w:color w:val="000000"/>
                <w:kern w:val="0"/>
                <w:sz w:val="18"/>
                <w:szCs w:val="18"/>
                <w:lang w:bidi="ar"/>
              </w:rPr>
              <w:t>，经五底三面油漆工艺处理。                                                                                                                                                                        海绵：靠背为35密度高回弹切割新棉，坐垫为45密度高回弹切割新棉 ，承重弹力结构：靠背装钉环保多条橡筋，坐垫为标准间距蛇形簧+平衡环保橡筋+面布；                                                                                                                         面料：绒布面料；</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00576" behindDoc="0" locked="0" layoutInCell="1" allowOverlap="1">
                  <wp:simplePos x="0" y="0"/>
                  <wp:positionH relativeFrom="column">
                    <wp:posOffset>440690</wp:posOffset>
                  </wp:positionH>
                  <wp:positionV relativeFrom="paragraph">
                    <wp:posOffset>152400</wp:posOffset>
                  </wp:positionV>
                  <wp:extent cx="1130935" cy="1032510"/>
                  <wp:effectExtent l="0" t="0" r="12065" b="15240"/>
                  <wp:wrapNone/>
                  <wp:docPr id="6" name="图片_256"/>
                  <wp:cNvGraphicFramePr/>
                  <a:graphic xmlns:a="http://schemas.openxmlformats.org/drawingml/2006/main">
                    <a:graphicData uri="http://schemas.openxmlformats.org/drawingml/2006/picture">
                      <pic:pic xmlns:pic="http://schemas.openxmlformats.org/drawingml/2006/picture">
                        <pic:nvPicPr>
                          <pic:cNvPr id="6" name="图片_256"/>
                          <pic:cNvPicPr/>
                        </pic:nvPicPr>
                        <pic:blipFill>
                          <a:blip r:embed="rId95"/>
                          <a:stretch>
                            <a:fillRect/>
                          </a:stretch>
                        </pic:blipFill>
                        <pic:spPr>
                          <a:xfrm>
                            <a:off x="0" y="0"/>
                            <a:ext cx="1130935" cy="1032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79</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500*450*580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采用白蜡木实木制作，气干密度0.60~0.69g/cm3。这种木材通常平直，带有粗糙均匀纹理。加工性能良好，可经染色及抛光而取得良好表面，防蛀防霉更耐用。采用</w:t>
            </w:r>
            <w:r>
              <w:rPr>
                <w:rFonts w:hint="eastAsia"/>
              </w:rPr>
              <w:t>水性漆</w:t>
            </w:r>
            <w:r>
              <w:rPr>
                <w:rFonts w:hint="eastAsia" w:ascii="宋体" w:hAnsi="宋体" w:eastAsia="宋体" w:cs="宋体"/>
                <w:color w:val="000000"/>
                <w:kern w:val="0"/>
                <w:sz w:val="18"/>
                <w:szCs w:val="18"/>
                <w:lang w:bidi="ar"/>
              </w:rPr>
              <w:t xml:space="preserve">，经五底三面油漆工艺处理。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01600" behindDoc="0" locked="0" layoutInCell="1" allowOverlap="1">
                  <wp:simplePos x="0" y="0"/>
                  <wp:positionH relativeFrom="column">
                    <wp:posOffset>602615</wp:posOffset>
                  </wp:positionH>
                  <wp:positionV relativeFrom="paragraph">
                    <wp:posOffset>104775</wp:posOffset>
                  </wp:positionV>
                  <wp:extent cx="978535" cy="918210"/>
                  <wp:effectExtent l="0" t="0" r="12065" b="15240"/>
                  <wp:wrapNone/>
                  <wp:docPr id="21" name="图片_263"/>
                  <wp:cNvGraphicFramePr/>
                  <a:graphic xmlns:a="http://schemas.openxmlformats.org/drawingml/2006/main">
                    <a:graphicData uri="http://schemas.openxmlformats.org/drawingml/2006/picture">
                      <pic:pic xmlns:pic="http://schemas.openxmlformats.org/drawingml/2006/picture">
                        <pic:nvPicPr>
                          <pic:cNvPr id="21" name="图片_263"/>
                          <pic:cNvPicPr/>
                        </pic:nvPicPr>
                        <pic:blipFill>
                          <a:blip r:embed="rId96"/>
                          <a:stretch>
                            <a:fillRect/>
                          </a:stretch>
                        </pic:blipFill>
                        <pic:spPr>
                          <a:xfrm>
                            <a:off x="0" y="0"/>
                            <a:ext cx="978535" cy="9182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0</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鞋柜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820*320*450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底座材质：表面采用环保红橡木皮贴面，木皮厚度为0.7mm，表面平整，平整度0.06mm，木皮与实木封边拼接紧密,外表结合处缝隙小于0.1mm，线条均匀整齐，转角过度顺畅，整套产品或同批产品木材纹理，颜色基本一致；                                                                                                          2、用料：基材采用环保实木板，密度为每方米≥720公斤，其原材料树种一级，防虫、防腐、强度高、钢性好、不变形、比重合理，达到国际钉力测试标准。3、油漆：</w:t>
            </w:r>
            <w:r>
              <w:rPr>
                <w:rFonts w:hint="eastAsia"/>
                <w:sz w:val="18"/>
                <w:szCs w:val="18"/>
              </w:rPr>
              <w:t>水性漆</w:t>
            </w:r>
            <w:r>
              <w:rPr>
                <w:rFonts w:hint="eastAsia" w:ascii="宋体" w:hAnsi="宋体" w:eastAsia="宋体" w:cs="宋体"/>
                <w:color w:val="000000"/>
                <w:kern w:val="0"/>
                <w:sz w:val="18"/>
                <w:szCs w:val="18"/>
                <w:lang w:bidi="ar"/>
              </w:rPr>
              <w:t>，涂膜硬度3H以上，漆膜表面无尘粒气泡，渣点，边缘及立面无流挂现象。漆膜附着力1级，耐磨2000转C1级，光泽N级。木皮表面油漆工艺为封闭漆。                                                                                                                         3.凳面：采用西皮。</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02624" behindDoc="0" locked="0" layoutInCell="1" allowOverlap="1">
                  <wp:simplePos x="0" y="0"/>
                  <wp:positionH relativeFrom="column">
                    <wp:posOffset>290830</wp:posOffset>
                  </wp:positionH>
                  <wp:positionV relativeFrom="paragraph">
                    <wp:posOffset>133350</wp:posOffset>
                  </wp:positionV>
                  <wp:extent cx="1303020" cy="991235"/>
                  <wp:effectExtent l="0" t="0" r="11430" b="18415"/>
                  <wp:wrapNone/>
                  <wp:docPr id="1" name="图片_232"/>
                  <wp:cNvGraphicFramePr/>
                  <a:graphic xmlns:a="http://schemas.openxmlformats.org/drawingml/2006/main">
                    <a:graphicData uri="http://schemas.openxmlformats.org/drawingml/2006/picture">
                      <pic:pic xmlns:pic="http://schemas.openxmlformats.org/drawingml/2006/picture">
                        <pic:nvPicPr>
                          <pic:cNvPr id="1" name="图片_232"/>
                          <pic:cNvPicPr/>
                        </pic:nvPicPr>
                        <pic:blipFill>
                          <a:blip r:embed="rId97"/>
                          <a:stretch>
                            <a:fillRect/>
                          </a:stretch>
                        </pic:blipFill>
                        <pic:spPr>
                          <a:xfrm>
                            <a:off x="0" y="0"/>
                            <a:ext cx="1303020" cy="991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1</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双人沙发</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1600*850*880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木架：采用白蜡木实木制作，气干密度0.60~0.69g/cm3。这种木材通常平直，带有粗糙均匀纹理。加工性能良好，可经染色及抛光而取得良好表面，防蛀防霉更耐用。采用环保环保油漆，经五底三面油漆工艺处理。                                                                                                                                                                        海绵：靠背为35密度高回弹切割新棉，坐垫为45密度高回弹切割新棉 ，承重弹力结构：靠背装钉多条橡筋，坐垫为标准间距蛇形簧+平衡橡筋+面布；                                                                                                                         面料：绒布面料；</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03648" behindDoc="0" locked="0" layoutInCell="1" allowOverlap="1">
                  <wp:simplePos x="0" y="0"/>
                  <wp:positionH relativeFrom="column">
                    <wp:posOffset>0</wp:posOffset>
                  </wp:positionH>
                  <wp:positionV relativeFrom="paragraph">
                    <wp:posOffset>200025</wp:posOffset>
                  </wp:positionV>
                  <wp:extent cx="1720215" cy="883920"/>
                  <wp:effectExtent l="0" t="0" r="13335" b="11430"/>
                  <wp:wrapNone/>
                  <wp:docPr id="16" name="图片_233"/>
                  <wp:cNvGraphicFramePr/>
                  <a:graphic xmlns:a="http://schemas.openxmlformats.org/drawingml/2006/main">
                    <a:graphicData uri="http://schemas.openxmlformats.org/drawingml/2006/picture">
                      <pic:pic xmlns:pic="http://schemas.openxmlformats.org/drawingml/2006/picture">
                        <pic:nvPicPr>
                          <pic:cNvPr id="16" name="图片_233"/>
                          <pic:cNvPicPr/>
                        </pic:nvPicPr>
                        <pic:blipFill>
                          <a:blip r:embed="rId98"/>
                          <a:stretch>
                            <a:fillRect/>
                          </a:stretch>
                        </pic:blipFill>
                        <pic:spPr>
                          <a:xfrm>
                            <a:off x="0" y="0"/>
                            <a:ext cx="1720215" cy="883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2</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1200*600*550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基材采用18mm厚度的E1级绿色环保三聚氰胺板，耐划，坚固、美观，具有防火、防潮、耐磨、硬度高、易去污，可长期保持整洁等优点；所有板材均经过防虫、防腐等化学处理，符合国家绿色环保板材要求，达到国际握钉力测试标准；底脚配四个橡木实木脚。</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04672" behindDoc="0" locked="0" layoutInCell="1" allowOverlap="1">
                  <wp:simplePos x="0" y="0"/>
                  <wp:positionH relativeFrom="column">
                    <wp:posOffset>156845</wp:posOffset>
                  </wp:positionH>
                  <wp:positionV relativeFrom="paragraph">
                    <wp:posOffset>95250</wp:posOffset>
                  </wp:positionV>
                  <wp:extent cx="1545590" cy="1010285"/>
                  <wp:effectExtent l="0" t="0" r="16510" b="18415"/>
                  <wp:wrapNone/>
                  <wp:docPr id="22" name="图片_234"/>
                  <wp:cNvGraphicFramePr/>
                  <a:graphic xmlns:a="http://schemas.openxmlformats.org/drawingml/2006/main">
                    <a:graphicData uri="http://schemas.openxmlformats.org/drawingml/2006/picture">
                      <pic:pic xmlns:pic="http://schemas.openxmlformats.org/drawingml/2006/picture">
                        <pic:nvPicPr>
                          <pic:cNvPr id="22" name="图片_234"/>
                          <pic:cNvPicPr/>
                        </pic:nvPicPr>
                        <pic:blipFill>
                          <a:blip r:embed="rId99"/>
                          <a:stretch>
                            <a:fillRect/>
                          </a:stretch>
                        </pic:blipFill>
                        <pic:spPr>
                          <a:xfrm>
                            <a:off x="0" y="0"/>
                            <a:ext cx="1545590" cy="1010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83</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书刊架</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900*300*1200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采用18mm厚松木实木自然色，无结疤、死结、黑线等瑕疵，木纹清晰顺滑。2、水性清水漆，做到五底四面均为整体喷涂漆面，均经过刨光、砂光、倒角、圆角处理，成品无毛刺、无裂纹，接缝自然，无明显缺口和缝隙；喷漆均匀，表面漆膜平整光亮、无皱皮、发粘和漏漆现象</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05696" behindDoc="0" locked="0" layoutInCell="1" allowOverlap="1">
                  <wp:simplePos x="0" y="0"/>
                  <wp:positionH relativeFrom="column">
                    <wp:posOffset>480695</wp:posOffset>
                  </wp:positionH>
                  <wp:positionV relativeFrom="paragraph">
                    <wp:posOffset>142240</wp:posOffset>
                  </wp:positionV>
                  <wp:extent cx="848360" cy="931545"/>
                  <wp:effectExtent l="0" t="0" r="8890" b="1905"/>
                  <wp:wrapNone/>
                  <wp:docPr id="17" name="图片_235"/>
                  <wp:cNvGraphicFramePr/>
                  <a:graphic xmlns:a="http://schemas.openxmlformats.org/drawingml/2006/main">
                    <a:graphicData uri="http://schemas.openxmlformats.org/drawingml/2006/picture">
                      <pic:pic xmlns:pic="http://schemas.openxmlformats.org/drawingml/2006/picture">
                        <pic:nvPicPr>
                          <pic:cNvPr id="17" name="图片_235"/>
                          <pic:cNvPicPr/>
                        </pic:nvPicPr>
                        <pic:blipFill>
                          <a:blip r:embed="rId100"/>
                          <a:stretch>
                            <a:fillRect/>
                          </a:stretch>
                        </pic:blipFill>
                        <pic:spPr>
                          <a:xfrm>
                            <a:off x="0" y="0"/>
                            <a:ext cx="848360" cy="931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4</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学生椅</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450*550*735</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A. 椅背：</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w:t>
            </w:r>
            <w:r>
              <w:rPr>
                <w:rFonts w:hint="eastAsia"/>
              </w:rPr>
              <w:t>用</w:t>
            </w:r>
            <w:r>
              <w:rPr>
                <w:rFonts w:hint="eastAsia" w:ascii="宋体" w:hAnsi="宋体" w:eastAsia="宋体" w:cs="宋体"/>
                <w:color w:val="000000"/>
                <w:kern w:val="0"/>
                <w:sz w:val="18"/>
                <w:szCs w:val="18"/>
                <w:lang w:bidi="ar"/>
              </w:rPr>
              <w:t>PP塑料一体射出成型，不得采用回收料生产。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2.椅背套钢管整体尺寸：长450mm×宽195mm。椅背中间拉手尺寸375mm*125mm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3.功能：靠背曲线得需契合人体脊柱的弯曲度，可承托背部。同时椅背整体拉手部分必须是圆弧形，方便提拉时不伤到手。</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B. 坐垫：</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1.材质：采用PP塑料一体射出成型。不得采用回收料生产。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2.尺寸：395mm×405mm。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功能：坐垫宽阔厚实，弧形塑臀，坐垫整体得需采用边凹内陷设计，座垫下预留多个透气孔，座垫可拆卸，可以在坐垫上随时增加软坐垫，一款多用型，塑料座垫方便整理打扫，软垫增加弹性保持舒适度，坐垫后端采用一弧形凸块设计。托住人体尾椎部分，尾椎不承受空的支撑，座面可翻动，方便水平叠放，节省空间。可调节的个人化工作桌面，PP塑料写字板，写字板尺寸300*420mm,方便培训A3纸时使用，开放式的座位设计，提供便捷的带挂包功能扶手，写字板可360度旋转，疲劳，完成符合人体工程学设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C.椅架钢架：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1.材质及形状：采用圆钢管，一次弯管成型，结构得需牢固，长时间使用不得产生摇晃、松散的现象。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2.尺寸：钢管为&amp;22×厚2.5mm；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表面涂装：钢管管采用高温烤漆工艺；坐垫底部支撑铁管焊接完成后的钢管架，表面需经酸洗、脱脂、磷化处理。外表采一级颗粒粉末，经高温粉体烤漆，不得有刮伤货脱漆现象。涂层需无漏喷、锈蚀；涂层需光滑均匀，色泽一致，需无流挂、疙瘩、皱皮、飞漆等缺陷。涂层需平整光滑、清晰，需无明显粒子、涨边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功能：坐垫座面可翻动，方便水平叠放，节省空间。可调节的个人化工作桌面，坐垫下跟钢架连接处预留塑料垫片，垫片尺寸135*20mm,方便坐垫翻下钢架不跟椅架相碰，避免椅架油漆脱落。椅架采用前小后宽设计，方便水平插接，节省收纳空间。椅架后架装有软性塑料，避免椅架收起时碰到油漆，尺寸45*25mm.方便。简洁。 不带轮子 （见下图收合后造型图）。</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D管套：</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1.材质：采PP塑料一级新料一体射出成型，不得采用回收料生产。</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3065" w:type="dxa"/>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0" cy="37465"/>
                  <wp:effectExtent l="0" t="0" r="0" b="0"/>
                  <wp:wrapNone/>
                  <wp:docPr id="7" name="Picture_2_SpCnt_50"/>
                  <wp:cNvGraphicFramePr/>
                  <a:graphic xmlns:a="http://schemas.openxmlformats.org/drawingml/2006/main">
                    <a:graphicData uri="http://schemas.openxmlformats.org/drawingml/2006/picture">
                      <pic:pic xmlns:pic="http://schemas.openxmlformats.org/drawingml/2006/picture">
                        <pic:nvPicPr>
                          <pic:cNvPr id="7" name="Picture_2_SpCnt_50"/>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0" cy="37465"/>
                  <wp:effectExtent l="0" t="0" r="0" b="0"/>
                  <wp:wrapNone/>
                  <wp:docPr id="23" name="Picture_2_SpCnt_51"/>
                  <wp:cNvGraphicFramePr/>
                  <a:graphic xmlns:a="http://schemas.openxmlformats.org/drawingml/2006/main">
                    <a:graphicData uri="http://schemas.openxmlformats.org/drawingml/2006/picture">
                      <pic:pic xmlns:pic="http://schemas.openxmlformats.org/drawingml/2006/picture">
                        <pic:nvPicPr>
                          <pic:cNvPr id="23" name="Picture_2_SpCnt_51"/>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1808768" behindDoc="0" locked="0" layoutInCell="1" allowOverlap="1">
                  <wp:simplePos x="0" y="0"/>
                  <wp:positionH relativeFrom="column">
                    <wp:posOffset>516255</wp:posOffset>
                  </wp:positionH>
                  <wp:positionV relativeFrom="paragraph">
                    <wp:posOffset>666750</wp:posOffset>
                  </wp:positionV>
                  <wp:extent cx="1075055" cy="2172335"/>
                  <wp:effectExtent l="0" t="0" r="10795" b="18415"/>
                  <wp:wrapNone/>
                  <wp:docPr id="18" name="图片_246"/>
                  <wp:cNvGraphicFramePr/>
                  <a:graphic xmlns:a="http://schemas.openxmlformats.org/drawingml/2006/main">
                    <a:graphicData uri="http://schemas.openxmlformats.org/drawingml/2006/picture">
                      <pic:pic xmlns:pic="http://schemas.openxmlformats.org/drawingml/2006/picture">
                        <pic:nvPicPr>
                          <pic:cNvPr id="18" name="图片_246"/>
                          <pic:cNvPicPr/>
                        </pic:nvPicPr>
                        <pic:blipFill>
                          <a:blip r:embed="rId101"/>
                          <a:stretch>
                            <a:fillRect/>
                          </a:stretch>
                        </pic:blipFill>
                        <pic:spPr>
                          <a:xfrm>
                            <a:off x="0" y="0"/>
                            <a:ext cx="1075055" cy="2172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4200*1600*780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桌面板材质说明：面板基层采用防水，防潮,防火,耐高温40mm厚多层板热压成型，，耐划，坚固、美观、产品完全符合国家标准，其甲醛释放量为零。封边采用相当于或高于国标2mm一级PVC同色封边条全自动化封边，不变形，手感光滑，甲醛释放量为零。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09792" behindDoc="0" locked="0" layoutInCell="1" allowOverlap="1">
                  <wp:simplePos x="0" y="0"/>
                  <wp:positionH relativeFrom="column">
                    <wp:posOffset>111125</wp:posOffset>
                  </wp:positionH>
                  <wp:positionV relativeFrom="paragraph">
                    <wp:posOffset>18415</wp:posOffset>
                  </wp:positionV>
                  <wp:extent cx="1586865" cy="1121410"/>
                  <wp:effectExtent l="0" t="0" r="13335" b="2540"/>
                  <wp:wrapNone/>
                  <wp:docPr id="15" name="图片_247"/>
                  <wp:cNvGraphicFramePr/>
                  <a:graphic xmlns:a="http://schemas.openxmlformats.org/drawingml/2006/main">
                    <a:graphicData uri="http://schemas.openxmlformats.org/drawingml/2006/picture">
                      <pic:pic xmlns:pic="http://schemas.openxmlformats.org/drawingml/2006/picture">
                        <pic:nvPicPr>
                          <pic:cNvPr id="15" name="图片_247"/>
                          <pic:cNvPicPr/>
                        </pic:nvPicPr>
                        <pic:blipFill>
                          <a:blip r:embed="rId102"/>
                          <a:stretch>
                            <a:fillRect/>
                          </a:stretch>
                        </pic:blipFill>
                        <pic:spPr>
                          <a:xfrm>
                            <a:off x="0" y="0"/>
                            <a:ext cx="1586865" cy="1121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8</w:t>
            </w:r>
            <w:r>
              <w:rPr>
                <w:rFonts w:hint="eastAsia" w:ascii="宋体" w:hAnsi="宋体" w:eastAsia="宋体" w:cs="宋体"/>
                <w:color w:val="000000"/>
                <w:kern w:val="0"/>
                <w:sz w:val="18"/>
                <w:szCs w:val="18"/>
                <w:lang w:val="en-US" w:eastAsia="zh-CN" w:bidi="ar"/>
              </w:rPr>
              <w:t>6</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茶水柜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1200*400*860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料：表面采用红橡木皮贴面，木皮厚度为0.8mm，表面平整，平整度0.06mm，木皮与实木封边拼接紧密,外表结合处缝隙小于0.1mm，线条均匀整齐，转角过度顺畅，整套产品或同批产品木材纹理，颜色基本一致；2、用料：基材采用环保实木多层板，密度为每方米≥720公斤，其原材料树种一级，防虫、防腐、强度高、钢性好、不变形、比重合理，达到国际钉力测试标准。3、油漆：</w:t>
            </w:r>
            <w:r>
              <w:rPr>
                <w:rFonts w:hint="eastAsia"/>
                <w:sz w:val="18"/>
                <w:szCs w:val="18"/>
              </w:rPr>
              <w:t>水性漆</w:t>
            </w:r>
            <w:r>
              <w:rPr>
                <w:rFonts w:hint="eastAsia" w:ascii="宋体" w:hAnsi="宋体" w:eastAsia="宋体" w:cs="宋体"/>
                <w:color w:val="000000"/>
                <w:kern w:val="0"/>
                <w:sz w:val="18"/>
                <w:szCs w:val="18"/>
                <w:lang w:bidi="ar"/>
              </w:rPr>
              <w:t>，涂膜硬度3H以上，漆膜表面无尘粒气泡，渣点，边缘及立面无流挂现象。漆膜附着力1级，耐磨2000转C1级，光泽N级。木皮表面油漆工艺为封闭漆。                                                                                配件：环保五金配件。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0816" behindDoc="0" locked="0" layoutInCell="1" allowOverlap="1">
                  <wp:simplePos x="0" y="0"/>
                  <wp:positionH relativeFrom="column">
                    <wp:posOffset>330835</wp:posOffset>
                  </wp:positionH>
                  <wp:positionV relativeFrom="paragraph">
                    <wp:posOffset>146685</wp:posOffset>
                  </wp:positionV>
                  <wp:extent cx="1103630" cy="1139190"/>
                  <wp:effectExtent l="0" t="0" r="1270" b="3810"/>
                  <wp:wrapNone/>
                  <wp:docPr id="19" name="图片_251"/>
                  <wp:cNvGraphicFramePr/>
                  <a:graphic xmlns:a="http://schemas.openxmlformats.org/drawingml/2006/main">
                    <a:graphicData uri="http://schemas.openxmlformats.org/drawingml/2006/picture">
                      <pic:pic xmlns:pic="http://schemas.openxmlformats.org/drawingml/2006/picture">
                        <pic:nvPicPr>
                          <pic:cNvPr id="19" name="图片_251"/>
                          <pic:cNvPicPr/>
                        </pic:nvPicPr>
                        <pic:blipFill>
                          <a:blip r:embed="rId103"/>
                          <a:stretch>
                            <a:fillRect/>
                          </a:stretch>
                        </pic:blipFill>
                        <pic:spPr>
                          <a:xfrm>
                            <a:off x="0" y="0"/>
                            <a:ext cx="1103630" cy="1139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87</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文件柜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1200*400*1800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规格：1200*400*1800mm                                                                 材质： 柜体基材采用18mm厚度的E1级绿色环保三聚氰胺板，耐划，坚固、美观，具有防火、防潮、耐磨、硬度高、易去污，可长期保持整洁等优点。所有板材均经过防虫、防腐等化学处理，符合国家绿色环保板材要求，达到国际握钉力测试标准；采用不锈钢五金配件；</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3065"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11840" behindDoc="0" locked="0" layoutInCell="1" allowOverlap="1">
                  <wp:simplePos x="0" y="0"/>
                  <wp:positionH relativeFrom="column">
                    <wp:posOffset>323850</wp:posOffset>
                  </wp:positionH>
                  <wp:positionV relativeFrom="paragraph">
                    <wp:posOffset>38100</wp:posOffset>
                  </wp:positionV>
                  <wp:extent cx="838835" cy="1176655"/>
                  <wp:effectExtent l="0" t="0" r="18415" b="4445"/>
                  <wp:wrapNone/>
                  <wp:docPr id="8" name="图片_203"/>
                  <wp:cNvGraphicFramePr/>
                  <a:graphic xmlns:a="http://schemas.openxmlformats.org/drawingml/2006/main">
                    <a:graphicData uri="http://schemas.openxmlformats.org/drawingml/2006/picture">
                      <pic:pic xmlns:pic="http://schemas.openxmlformats.org/drawingml/2006/picture">
                        <pic:nvPicPr>
                          <pic:cNvPr id="8" name="图片_203"/>
                          <pic:cNvPicPr/>
                        </pic:nvPicPr>
                        <pic:blipFill>
                          <a:blip r:embed="rId104"/>
                          <a:stretch>
                            <a:fillRect/>
                          </a:stretch>
                        </pic:blipFill>
                        <pic:spPr>
                          <a:xfrm>
                            <a:off x="0" y="0"/>
                            <a:ext cx="838835" cy="1176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88</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茶水柜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800*400*900</w:t>
            </w:r>
          </w:p>
        </w:tc>
        <w:tc>
          <w:tcPr>
            <w:tcW w:w="3683"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 柜体基材采用18mm厚度的E1级绿色环保三聚氰胺板，耐划，坚固、美观，具有防火、防潮、耐磨、硬度高、易去污，可长期保持整洁等优点。所有板材均经过防虫、防腐等化学处理，符合国家绿色环保板材要求，达到国际握钉力测试标准；采用不锈钢五金配件；</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2864" behindDoc="0" locked="0" layoutInCell="1" allowOverlap="1">
                  <wp:simplePos x="0" y="0"/>
                  <wp:positionH relativeFrom="column">
                    <wp:posOffset>421640</wp:posOffset>
                  </wp:positionH>
                  <wp:positionV relativeFrom="paragraph">
                    <wp:posOffset>66675</wp:posOffset>
                  </wp:positionV>
                  <wp:extent cx="1103630" cy="1139190"/>
                  <wp:effectExtent l="0" t="0" r="1270" b="3810"/>
                  <wp:wrapNone/>
                  <wp:docPr id="24" name="图片_204"/>
                  <wp:cNvGraphicFramePr/>
                  <a:graphic xmlns:a="http://schemas.openxmlformats.org/drawingml/2006/main">
                    <a:graphicData uri="http://schemas.openxmlformats.org/drawingml/2006/picture">
                      <pic:pic xmlns:pic="http://schemas.openxmlformats.org/drawingml/2006/picture">
                        <pic:nvPicPr>
                          <pic:cNvPr id="24" name="图片_204"/>
                          <pic:cNvPicPr/>
                        </pic:nvPicPr>
                        <pic:blipFill>
                          <a:blip r:embed="rId103"/>
                          <a:stretch>
                            <a:fillRect/>
                          </a:stretch>
                        </pic:blipFill>
                        <pic:spPr>
                          <a:xfrm>
                            <a:off x="0" y="0"/>
                            <a:ext cx="1103630" cy="1139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89</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置物桌</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1200*400*780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1.面板材质基层采用防水，防潮,防火,耐高温欧松板热压成型，产品完全 符合E1标准，其甲醛释放量为零。表面采用耐磨、耐高温、耐剐、抗渗透、容易清洁、防潮、不褪色、白板热压。封边采用相当于或高于国标2mm一级PVC同色封边条全自动化封边，不变形，手感光滑，甲醛释放量为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桌架：采用铝合金经模具压注成形，壁厚为T3.1mm。其上节为30*325mm椭圆形长方形，下节采用30*400mm长方形,高度30*725mm一次性压注成形，立柱跟下连杆中间留空，采用注塑镶嵌作为前档板，塑方便擦洗，保证整体清洁，喷涂采用静电喷塑高温固化，使涂层与金属表面的附着力更强，不易腐蚀，不易脱落。烤漆粉经专业检测，符合国家安全标准。具体用料及规格由投标方科学合理设计，结构牢固，协调美观。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 桌面支撑杆底部安装防损护套，护套采用ABS工程塑料，规格为≧278mm*宽30mm，半圆形一次注塑成型，地脚面安装有防损护套，护套采用ABS工程塑料，规格为≧325mm*宽30mm，半圆形一次注塑成型，桌立柱面安装有防损护套，护套采用ABS工程塑料，规格为≧410mm*宽30mm，半圆形一次注塑成型（见附图），防损护套采用凸点卡扣固定在铝合金管表面，吻合紧密不易脱落</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4.前塑料挡板材质：采用PP耐冲击塑料一体注塑成型，尺寸529*260mm,面板成弧形，面板留有造型孔，弧度是根据人体形态工程学曲线原理设计。</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5、桌脚垫：前支撑脚脚底均须设置防滑及防噪音的ABS塑料脚垫。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3888" behindDoc="0" locked="0" layoutInCell="1" allowOverlap="1">
                  <wp:simplePos x="0" y="0"/>
                  <wp:positionH relativeFrom="column">
                    <wp:posOffset>224155</wp:posOffset>
                  </wp:positionH>
                  <wp:positionV relativeFrom="paragraph">
                    <wp:posOffset>889635</wp:posOffset>
                  </wp:positionV>
                  <wp:extent cx="1491615" cy="1076325"/>
                  <wp:effectExtent l="0" t="0" r="13335" b="9525"/>
                  <wp:wrapNone/>
                  <wp:docPr id="20" name="图片_240"/>
                  <wp:cNvGraphicFramePr/>
                  <a:graphic xmlns:a="http://schemas.openxmlformats.org/drawingml/2006/main">
                    <a:graphicData uri="http://schemas.openxmlformats.org/drawingml/2006/picture">
                      <pic:pic xmlns:pic="http://schemas.openxmlformats.org/drawingml/2006/picture">
                        <pic:nvPicPr>
                          <pic:cNvPr id="20" name="图片_240"/>
                          <pic:cNvPicPr/>
                        </pic:nvPicPr>
                        <pic:blipFill>
                          <a:blip r:embed="rId92"/>
                          <a:stretch>
                            <a:fillRect/>
                          </a:stretch>
                        </pic:blipFill>
                        <pic:spPr>
                          <a:xfrm>
                            <a:off x="0" y="0"/>
                            <a:ext cx="1491615" cy="1076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0</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会议桌</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10000*2200*750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规格10000*2200*750mm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料：表面采用环保红橡木皮贴面，木皮厚度为0.8mm，表面平整，平整度0.06mm，木皮与实木封边拼接紧密,外表结合处缝隙小于0.1mm，线条均匀整齐，转角过度顺畅，整套产品或同批产品木材纹理，颜色基本一致；2、用料：基材采用环保实木多层板，密度为每方米≥720公斤，其原材料树种一级，防虫、防腐、强度高、钢性好、不变形、比重合理，达到国际钉力测试标准。3、油漆：环保环保油漆，涂膜硬度3H以上，漆膜表面无尘粒气泡，渣点，边缘及立面无流挂现象。木皮表面油漆工艺为封闭漆。                                                                             配件：环保五金配件。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4912" behindDoc="0" locked="0" layoutInCell="1" allowOverlap="1">
                  <wp:simplePos x="0" y="0"/>
                  <wp:positionH relativeFrom="column">
                    <wp:posOffset>19050</wp:posOffset>
                  </wp:positionH>
                  <wp:positionV relativeFrom="paragraph">
                    <wp:posOffset>419100</wp:posOffset>
                  </wp:positionV>
                  <wp:extent cx="1314450" cy="644525"/>
                  <wp:effectExtent l="0" t="0" r="0" b="3175"/>
                  <wp:wrapNone/>
                  <wp:docPr id="9" name="图片_172"/>
                  <wp:cNvGraphicFramePr/>
                  <a:graphic xmlns:a="http://schemas.openxmlformats.org/drawingml/2006/main">
                    <a:graphicData uri="http://schemas.openxmlformats.org/drawingml/2006/picture">
                      <pic:pic xmlns:pic="http://schemas.openxmlformats.org/drawingml/2006/picture">
                        <pic:nvPicPr>
                          <pic:cNvPr id="9" name="图片_172"/>
                          <pic:cNvPicPr/>
                        </pic:nvPicPr>
                        <pic:blipFill>
                          <a:blip r:embed="rId105"/>
                          <a:stretch>
                            <a:fillRect/>
                          </a:stretch>
                        </pic:blipFill>
                        <pic:spPr>
                          <a:xfrm>
                            <a:off x="0" y="0"/>
                            <a:ext cx="1314450" cy="644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91</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条桌</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1400*400*750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1400*400*750mm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面料：表面采用红橡木皮贴面，木皮厚度为0.8mm，表面平整，平整度0.06mm，木皮与实木封边拼接紧密,外表结合处缝隙小于0.1mm，线条均匀整齐，转角过度顺畅，整套产品或同批产品木材纹理，颜色基本一致；2、用料：基材采用环保实木多层板，密度为每方米≥720公斤，其原材料树种一级，防虫、防腐、强度高、钢性好、不变形、比重合理，达到国际钉力测试标准。3、油漆：油漆，涂膜硬度3H以上，漆膜表面无尘粒气泡，渣点，边缘及立面无流挂现象。漆膜附着力1级，耐磨2000转C1级，光泽N级。木皮表面油漆工艺为封闭漆。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5936" behindDoc="0" locked="0" layoutInCell="1" allowOverlap="1">
                  <wp:simplePos x="0" y="0"/>
                  <wp:positionH relativeFrom="column">
                    <wp:posOffset>144145</wp:posOffset>
                  </wp:positionH>
                  <wp:positionV relativeFrom="paragraph">
                    <wp:posOffset>361950</wp:posOffset>
                  </wp:positionV>
                  <wp:extent cx="1219835" cy="822960"/>
                  <wp:effectExtent l="0" t="0" r="18415" b="15240"/>
                  <wp:wrapNone/>
                  <wp:docPr id="13" name="图片_174"/>
                  <wp:cNvGraphicFramePr/>
                  <a:graphic xmlns:a="http://schemas.openxmlformats.org/drawingml/2006/main">
                    <a:graphicData uri="http://schemas.openxmlformats.org/drawingml/2006/picture">
                      <pic:pic xmlns:pic="http://schemas.openxmlformats.org/drawingml/2006/picture">
                        <pic:nvPicPr>
                          <pic:cNvPr id="13" name="图片_174"/>
                          <pic:cNvPicPr/>
                        </pic:nvPicPr>
                        <pic:blipFill>
                          <a:blip r:embed="rId106"/>
                          <a:stretch>
                            <a:fillRect/>
                          </a:stretch>
                        </pic:blipFill>
                        <pic:spPr>
                          <a:xfrm>
                            <a:off x="0" y="0"/>
                            <a:ext cx="1219835" cy="822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2</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茶水柜</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1200*400*860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规格：1200*400*860mm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料：表面采用红橡木皮贴面，木皮厚度为0.8mm，表面平整，平整度0.06mm，木皮与实木封边拼接紧密,外表结合处缝隙小于0.1mm，线条均匀整齐，转角过度顺畅，整套产品或同批产品木材纹理，颜色基本一致；2、用料：基材采用环保实木多层板，密度为每方米≥720公斤，其原材料树种一级，防虫、防腐、强度高、钢性好、不变形、比重合理，达到国际钉力测试标准。3、油漆：</w:t>
            </w:r>
            <w:r>
              <w:rPr>
                <w:rFonts w:hint="eastAsia"/>
              </w:rPr>
              <w:t>水性漆</w:t>
            </w:r>
            <w:r>
              <w:rPr>
                <w:rFonts w:hint="eastAsia" w:ascii="宋体" w:hAnsi="宋体" w:eastAsia="宋体" w:cs="宋体"/>
                <w:color w:val="000000"/>
                <w:kern w:val="0"/>
                <w:sz w:val="18"/>
                <w:szCs w:val="18"/>
                <w:lang w:bidi="ar"/>
              </w:rPr>
              <w:t>，涂膜硬度3H以上，漆膜表面无尘粒气泡，渣点，边缘及立面无流挂现象。漆膜附着力1级，耐磨2000转C1级，光泽N级。木皮表面油漆工艺为封闭漆。                                                               配件：不锈钢五金配件。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6960" behindDoc="0" locked="0" layoutInCell="1" allowOverlap="1">
                  <wp:simplePos x="0" y="0"/>
                  <wp:positionH relativeFrom="column">
                    <wp:posOffset>50800</wp:posOffset>
                  </wp:positionH>
                  <wp:positionV relativeFrom="paragraph">
                    <wp:posOffset>375920</wp:posOffset>
                  </wp:positionV>
                  <wp:extent cx="1184910" cy="882015"/>
                  <wp:effectExtent l="0" t="0" r="15240" b="13335"/>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07"/>
                          <a:stretch>
                            <a:fillRect/>
                          </a:stretch>
                        </pic:blipFill>
                        <pic:spPr>
                          <a:xfrm>
                            <a:off x="0" y="0"/>
                            <a:ext cx="1184910" cy="8820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3</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资料柜</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900*450*1800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料：表面采用红橡木皮贴面，木皮厚度为0.8mm，表面平整，平整度0.06mm，木皮与实木封边拼接紧密,外表结合处缝隙小于0.1mm，线条均匀整齐，转角过度顺畅，整套产品或同批产品木材纹理，颜色基本一致；2、用料：基材采用环保实木多层板，密度为每方米≥720公斤，其原材料树种一级，防虫、防腐、强度高、钢性好、不变形、比重合理，达到国际钉力测试标准。3、油漆：</w:t>
            </w:r>
            <w:r>
              <w:rPr>
                <w:rFonts w:hint="eastAsia"/>
              </w:rPr>
              <w:t>水性漆</w:t>
            </w:r>
            <w:r>
              <w:rPr>
                <w:rFonts w:hint="eastAsia" w:ascii="宋体" w:hAnsi="宋体" w:eastAsia="宋体" w:cs="宋体"/>
                <w:color w:val="000000"/>
                <w:kern w:val="0"/>
                <w:sz w:val="18"/>
                <w:szCs w:val="18"/>
                <w:lang w:bidi="ar"/>
              </w:rPr>
              <w:t>，涂膜硬度3H以上，漆膜表面无尘粒气泡，渣点，边缘及立面无流挂现象。漆膜附着力1级，耐磨2000转C1级，光泽N级。木皮表面油漆工艺为封闭漆。                                                               配件：环保五金配件。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7984" behindDoc="0" locked="0" layoutInCell="1" allowOverlap="1">
                  <wp:simplePos x="0" y="0"/>
                  <wp:positionH relativeFrom="column">
                    <wp:posOffset>271145</wp:posOffset>
                  </wp:positionH>
                  <wp:positionV relativeFrom="paragraph">
                    <wp:posOffset>85725</wp:posOffset>
                  </wp:positionV>
                  <wp:extent cx="1167130" cy="1356995"/>
                  <wp:effectExtent l="0" t="0" r="13970" b="14605"/>
                  <wp:wrapNone/>
                  <wp:docPr id="10" name="图片_236"/>
                  <wp:cNvGraphicFramePr/>
                  <a:graphic xmlns:a="http://schemas.openxmlformats.org/drawingml/2006/main">
                    <a:graphicData uri="http://schemas.openxmlformats.org/drawingml/2006/picture">
                      <pic:pic xmlns:pic="http://schemas.openxmlformats.org/drawingml/2006/picture">
                        <pic:nvPicPr>
                          <pic:cNvPr id="10" name="图片_236"/>
                          <pic:cNvPicPr/>
                        </pic:nvPicPr>
                        <pic:blipFill>
                          <a:blip r:embed="rId108"/>
                          <a:stretch>
                            <a:fillRect/>
                          </a:stretch>
                        </pic:blipFill>
                        <pic:spPr>
                          <a:xfrm>
                            <a:off x="0" y="0"/>
                            <a:ext cx="1167130" cy="1356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4</w:t>
            </w:r>
          </w:p>
        </w:tc>
        <w:tc>
          <w:tcPr>
            <w:tcW w:w="808"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会议</w:t>
            </w:r>
            <w:r>
              <w:rPr>
                <w:rFonts w:hint="eastAsia" w:ascii="宋体" w:hAnsi="宋体" w:eastAsia="宋体" w:cs="宋体"/>
                <w:color w:val="000000"/>
                <w:kern w:val="0"/>
                <w:sz w:val="18"/>
                <w:szCs w:val="18"/>
                <w:lang w:val="en-US" w:eastAsia="zh-CN" w:bidi="ar"/>
              </w:rPr>
              <w:t>桌</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5100*1200*750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规格尺寸：5100*1200*750mm                                                                                                     1：板材质说明：采用</w:t>
            </w:r>
            <w:r>
              <w:rPr>
                <w:rFonts w:hint="eastAsia"/>
                <w:sz w:val="18"/>
                <w:szCs w:val="18"/>
              </w:rPr>
              <w:t>E1级</w:t>
            </w:r>
            <w:r>
              <w:rPr>
                <w:rFonts w:hint="eastAsia" w:ascii="宋体" w:hAnsi="宋体" w:eastAsia="宋体" w:cs="宋体"/>
                <w:color w:val="000000"/>
                <w:kern w:val="0"/>
                <w:sz w:val="18"/>
                <w:szCs w:val="18"/>
                <w:lang w:bidi="ar"/>
              </w:rPr>
              <w:t>三聚氰胺板，经过防虫防腐处理，纹理清晰，E1绿色环保型刨花板，自然美枫色，密度700KG/M3,甲醛含量环保量＜0.6mg/L，封边2mm厚PVC封边，经自动调温热压机使板材粘连无丝无缝，在不同地区气温、湿度的变化中不受影响，能长期不变形不开裂，同色封边样式美观，桌面厚度70mm。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19008" behindDoc="0" locked="0" layoutInCell="1" allowOverlap="1">
                  <wp:simplePos x="0" y="0"/>
                  <wp:positionH relativeFrom="column">
                    <wp:posOffset>40640</wp:posOffset>
                  </wp:positionH>
                  <wp:positionV relativeFrom="paragraph">
                    <wp:posOffset>352425</wp:posOffset>
                  </wp:positionV>
                  <wp:extent cx="1492885" cy="613410"/>
                  <wp:effectExtent l="0" t="0" r="12065" b="15240"/>
                  <wp:wrapNone/>
                  <wp:docPr id="11" name="图片_257"/>
                  <wp:cNvGraphicFramePr/>
                  <a:graphic xmlns:a="http://schemas.openxmlformats.org/drawingml/2006/main">
                    <a:graphicData uri="http://schemas.openxmlformats.org/drawingml/2006/picture">
                      <pic:pic xmlns:pic="http://schemas.openxmlformats.org/drawingml/2006/picture">
                        <pic:nvPicPr>
                          <pic:cNvPr id="11" name="图片_257"/>
                          <pic:cNvPicPr/>
                        </pic:nvPicPr>
                        <pic:blipFill>
                          <a:blip r:embed="rId109"/>
                          <a:stretch>
                            <a:fillRect/>
                          </a:stretch>
                        </pic:blipFill>
                        <pic:spPr>
                          <a:xfrm>
                            <a:off x="0" y="0"/>
                            <a:ext cx="1492885" cy="613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5</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办公班台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2000*1980*750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桌身采用18mmE1绿色环保型三聚氰胺板，经过防虫防腐处理，纹理清晰，自然美枫色，密度700KG/M3,甲醛含量环保量＜0.6mg/L，封边2mm厚PVC封边，经自动调温热压机使板材粘连无丝无缝，在不同地区气温、湿度的变化中不受影响，能长期不变形不开裂，同色封边样式美观，桌面厚度56mm，面板基层采用防水，防潮,防火,耐高温28mm厚多层板热压成型，产品完全 符合国家标准，其甲醛释放量为零。表面采用耐磨、耐高温、耐剐、抗渗透、容易清洁、防潮、不褪色、防火板热压。封边采用相当于或高于国标2mm一级PVC同色封边条全自动化封边，不变形，手感光滑，甲醛释放量为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0032" behindDoc="0" locked="0" layoutInCell="1" allowOverlap="1">
                  <wp:simplePos x="0" y="0"/>
                  <wp:positionH relativeFrom="column">
                    <wp:posOffset>60325</wp:posOffset>
                  </wp:positionH>
                  <wp:positionV relativeFrom="paragraph">
                    <wp:posOffset>423545</wp:posOffset>
                  </wp:positionV>
                  <wp:extent cx="1227455" cy="624205"/>
                  <wp:effectExtent l="0" t="0" r="10795" b="4445"/>
                  <wp:wrapNone/>
                  <wp:docPr id="12" name="图片_175"/>
                  <wp:cNvGraphicFramePr/>
                  <a:graphic xmlns:a="http://schemas.openxmlformats.org/drawingml/2006/main">
                    <a:graphicData uri="http://schemas.openxmlformats.org/drawingml/2006/picture">
                      <pic:pic xmlns:pic="http://schemas.openxmlformats.org/drawingml/2006/picture">
                        <pic:nvPicPr>
                          <pic:cNvPr id="12" name="图片_175"/>
                          <pic:cNvPicPr/>
                        </pic:nvPicPr>
                        <pic:blipFill>
                          <a:blip r:embed="rId110"/>
                          <a:stretch>
                            <a:fillRect/>
                          </a:stretch>
                        </pic:blipFill>
                        <pic:spPr>
                          <a:xfrm>
                            <a:off x="0" y="0"/>
                            <a:ext cx="12274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6</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组合资料柜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2000*400*2000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规格：2000*400*2000mm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柜体基材采用18mm厚度的E1级绿色环保三聚氰胺板，耐划，坚固、美观，具有防火、防潮、耐磨、硬度高、易去污，可长期保持整洁等优点。所有板材均经过防虫、防腐等化学处理，符合国家绿色环保板材要求，达到国际握钉力测试标准；采用不锈钢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1056" behindDoc="0" locked="0" layoutInCell="1" allowOverlap="1">
                  <wp:simplePos x="0" y="0"/>
                  <wp:positionH relativeFrom="column">
                    <wp:posOffset>219075</wp:posOffset>
                  </wp:positionH>
                  <wp:positionV relativeFrom="paragraph">
                    <wp:posOffset>76200</wp:posOffset>
                  </wp:positionV>
                  <wp:extent cx="923290" cy="820420"/>
                  <wp:effectExtent l="0" t="0" r="10160" b="17780"/>
                  <wp:wrapNone/>
                  <wp:docPr id="25" name="图片_205"/>
                  <wp:cNvGraphicFramePr/>
                  <a:graphic xmlns:a="http://schemas.openxmlformats.org/drawingml/2006/main">
                    <a:graphicData uri="http://schemas.openxmlformats.org/drawingml/2006/picture">
                      <pic:pic xmlns:pic="http://schemas.openxmlformats.org/drawingml/2006/picture">
                        <pic:nvPicPr>
                          <pic:cNvPr id="25" name="图片_205"/>
                          <pic:cNvPicPr/>
                        </pic:nvPicPr>
                        <pic:blipFill>
                          <a:blip r:embed="rId111"/>
                          <a:stretch>
                            <a:fillRect/>
                          </a:stretch>
                        </pic:blipFill>
                        <pic:spPr>
                          <a:xfrm>
                            <a:off x="0" y="0"/>
                            <a:ext cx="923290" cy="8204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7</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茶水柜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850*400*90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规格：850*400*900mm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柜体基材采用18mm厚度的E1级绿色环保三聚氰胺板，耐划，坚固、美观，具有防火、防潮、耐磨、硬度高、易去污，可长期保持整洁等优点。所有板材均经过防虫、防腐等化学处理，符合国家绿色环保板材要求，达到国际握钉力测试标准；采用五金配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2080" behindDoc="0" locked="0" layoutInCell="1" allowOverlap="1">
                  <wp:simplePos x="0" y="0"/>
                  <wp:positionH relativeFrom="column">
                    <wp:posOffset>247650</wp:posOffset>
                  </wp:positionH>
                  <wp:positionV relativeFrom="paragraph">
                    <wp:posOffset>9525</wp:posOffset>
                  </wp:positionV>
                  <wp:extent cx="994410" cy="882015"/>
                  <wp:effectExtent l="0" t="0" r="15240" b="13335"/>
                  <wp:wrapNone/>
                  <wp:docPr id="29" name="图片_206"/>
                  <wp:cNvGraphicFramePr/>
                  <a:graphic xmlns:a="http://schemas.openxmlformats.org/drawingml/2006/main">
                    <a:graphicData uri="http://schemas.openxmlformats.org/drawingml/2006/picture">
                      <pic:pic xmlns:pic="http://schemas.openxmlformats.org/drawingml/2006/picture">
                        <pic:nvPicPr>
                          <pic:cNvPr id="29" name="图片_206"/>
                          <pic:cNvPicPr/>
                        </pic:nvPicPr>
                        <pic:blipFill>
                          <a:blip r:embed="rId112"/>
                          <a:stretch>
                            <a:fillRect/>
                          </a:stretch>
                        </pic:blipFill>
                        <pic:spPr>
                          <a:xfrm>
                            <a:off x="0" y="0"/>
                            <a:ext cx="994410" cy="8820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9</w:t>
            </w:r>
            <w:r>
              <w:rPr>
                <w:rFonts w:hint="eastAsia" w:ascii="宋体" w:hAnsi="宋体" w:eastAsia="宋体" w:cs="宋体"/>
                <w:color w:val="000000"/>
                <w:kern w:val="0"/>
                <w:sz w:val="18"/>
                <w:szCs w:val="18"/>
                <w:lang w:val="en-US" w:eastAsia="zh-CN" w:bidi="ar"/>
              </w:rPr>
              <w:t>8</w:t>
            </w:r>
          </w:p>
        </w:tc>
        <w:tc>
          <w:tcPr>
            <w:tcW w:w="808"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三人沙发</w:t>
            </w:r>
          </w:p>
        </w:tc>
        <w:tc>
          <w:tcPr>
            <w:tcW w:w="1144"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2000*900*700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尺寸：2000*900*700                                                                             面料：采用棉麻面料。</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海绵：一次成型高弹力定型海棉，密度60KG/M6。</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材料：木架采用白蜡木实木制，榫卯结构连接。</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油漆：采用高于或相当于环保环保油漆，经五底三面油漆工艺处理。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3104" behindDoc="0" locked="0" layoutInCell="1" allowOverlap="1">
                  <wp:simplePos x="0" y="0"/>
                  <wp:positionH relativeFrom="column">
                    <wp:posOffset>478790</wp:posOffset>
                  </wp:positionH>
                  <wp:positionV relativeFrom="paragraph">
                    <wp:posOffset>104775</wp:posOffset>
                  </wp:positionV>
                  <wp:extent cx="1045845" cy="1443355"/>
                  <wp:effectExtent l="0" t="0" r="1905" b="4445"/>
                  <wp:wrapNone/>
                  <wp:docPr id="14" name="图片_265"/>
                  <wp:cNvGraphicFramePr/>
                  <a:graphic xmlns:a="http://schemas.openxmlformats.org/drawingml/2006/main">
                    <a:graphicData uri="http://schemas.openxmlformats.org/drawingml/2006/picture">
                      <pic:pic xmlns:pic="http://schemas.openxmlformats.org/drawingml/2006/picture">
                        <pic:nvPicPr>
                          <pic:cNvPr id="14" name="图片_265"/>
                          <pic:cNvPicPr/>
                        </pic:nvPicPr>
                        <pic:blipFill>
                          <a:blip r:embed="rId113"/>
                          <a:stretch>
                            <a:fillRect/>
                          </a:stretch>
                        </pic:blipFill>
                        <pic:spPr>
                          <a:xfrm>
                            <a:off x="0" y="0"/>
                            <a:ext cx="1045845" cy="14433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99</w:t>
            </w:r>
          </w:p>
        </w:tc>
        <w:tc>
          <w:tcPr>
            <w:tcW w:w="808"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单人沙发</w:t>
            </w:r>
          </w:p>
        </w:tc>
        <w:tc>
          <w:tcPr>
            <w:tcW w:w="1144"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900*920*700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规格尺寸：900*920*700mm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面料：采用棉麻面料。</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海绵：一次成型高弹力定型海棉，密度60KG/M6。</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材料：木架采用白蜡木实木制，榫卯结构连接。</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w:t>
            </w:r>
            <w:r>
              <w:rPr>
                <w:rFonts w:hint="eastAsia"/>
                <w:sz w:val="18"/>
                <w:szCs w:val="18"/>
              </w:rPr>
              <w:t>水性漆</w:t>
            </w:r>
            <w:r>
              <w:rPr>
                <w:rFonts w:hint="eastAsia" w:ascii="宋体" w:hAnsi="宋体" w:eastAsia="宋体" w:cs="宋体"/>
                <w:color w:val="000000"/>
                <w:kern w:val="0"/>
                <w:sz w:val="18"/>
                <w:szCs w:val="18"/>
                <w:lang w:bidi="ar"/>
              </w:rPr>
              <w:t>，经五底三面油漆工艺处理。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w:t>
            </w:r>
            <w:r>
              <w:rPr>
                <w:rFonts w:hint="eastAsia"/>
                <w:sz w:val="18"/>
                <w:szCs w:val="18"/>
              </w:rPr>
              <w:t>不锈钢</w:t>
            </w:r>
            <w:r>
              <w:rPr>
                <w:rFonts w:hint="eastAsia" w:ascii="宋体" w:hAnsi="宋体" w:eastAsia="宋体" w:cs="宋体"/>
                <w:color w:val="000000"/>
                <w:kern w:val="0"/>
                <w:sz w:val="18"/>
                <w:szCs w:val="18"/>
                <w:lang w:bidi="ar"/>
              </w:rPr>
              <w:t>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4128" behindDoc="0" locked="0" layoutInCell="1" allowOverlap="1">
                  <wp:simplePos x="0" y="0"/>
                  <wp:positionH relativeFrom="column">
                    <wp:posOffset>212090</wp:posOffset>
                  </wp:positionH>
                  <wp:positionV relativeFrom="paragraph">
                    <wp:posOffset>114300</wp:posOffset>
                  </wp:positionV>
                  <wp:extent cx="1541145" cy="1322070"/>
                  <wp:effectExtent l="0" t="0" r="1905" b="11430"/>
                  <wp:wrapNone/>
                  <wp:docPr id="26" name="图片_264"/>
                  <wp:cNvGraphicFramePr/>
                  <a:graphic xmlns:a="http://schemas.openxmlformats.org/drawingml/2006/main">
                    <a:graphicData uri="http://schemas.openxmlformats.org/drawingml/2006/picture">
                      <pic:pic xmlns:pic="http://schemas.openxmlformats.org/drawingml/2006/picture">
                        <pic:nvPicPr>
                          <pic:cNvPr id="26" name="图片_264"/>
                          <pic:cNvPicPr/>
                        </pic:nvPicPr>
                        <pic:blipFill>
                          <a:blip r:embed="rId114"/>
                          <a:stretch>
                            <a:fillRect/>
                          </a:stretch>
                        </pic:blipFill>
                        <pic:spPr>
                          <a:xfrm>
                            <a:off x="0" y="0"/>
                            <a:ext cx="1541145" cy="1322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0</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接待茶几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500*500*520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材料：木架采用白蜡木实木制，榫卯结构连接。</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w:t>
            </w:r>
            <w:r>
              <w:rPr>
                <w:rFonts w:hint="eastAsia"/>
                <w:sz w:val="18"/>
                <w:szCs w:val="18"/>
              </w:rPr>
              <w:t>不锈钢</w:t>
            </w:r>
            <w:r>
              <w:rPr>
                <w:rFonts w:hint="eastAsia" w:ascii="宋体" w:hAnsi="宋体" w:eastAsia="宋体" w:cs="宋体"/>
                <w:color w:val="000000"/>
                <w:kern w:val="0"/>
                <w:sz w:val="18"/>
                <w:szCs w:val="18"/>
                <w:lang w:bidi="ar"/>
              </w:rPr>
              <w:t>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5152" behindDoc="0" locked="0" layoutInCell="1" allowOverlap="1">
                  <wp:simplePos x="0" y="0"/>
                  <wp:positionH relativeFrom="column">
                    <wp:posOffset>621665</wp:posOffset>
                  </wp:positionH>
                  <wp:positionV relativeFrom="paragraph">
                    <wp:posOffset>76200</wp:posOffset>
                  </wp:positionV>
                  <wp:extent cx="864235" cy="880110"/>
                  <wp:effectExtent l="0" t="0" r="12065" b="15240"/>
                  <wp:wrapNone/>
                  <wp:docPr id="27" name="图片_267"/>
                  <wp:cNvGraphicFramePr/>
                  <a:graphic xmlns:a="http://schemas.openxmlformats.org/drawingml/2006/main">
                    <a:graphicData uri="http://schemas.openxmlformats.org/drawingml/2006/picture">
                      <pic:pic xmlns:pic="http://schemas.openxmlformats.org/drawingml/2006/picture">
                        <pic:nvPicPr>
                          <pic:cNvPr id="27" name="图片_267"/>
                          <pic:cNvPicPr/>
                        </pic:nvPicPr>
                        <pic:blipFill>
                          <a:blip r:embed="rId115"/>
                          <a:stretch>
                            <a:fillRect/>
                          </a:stretch>
                        </pic:blipFill>
                        <pic:spPr>
                          <a:xfrm>
                            <a:off x="0" y="0"/>
                            <a:ext cx="864235" cy="880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1300*600*450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材料：木架采用白蜡木实木制，榫卯结构连接。</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6176" behindDoc="0" locked="0" layoutInCell="1" allowOverlap="1">
                  <wp:simplePos x="0" y="0"/>
                  <wp:positionH relativeFrom="column">
                    <wp:posOffset>488315</wp:posOffset>
                  </wp:positionH>
                  <wp:positionV relativeFrom="paragraph">
                    <wp:posOffset>85725</wp:posOffset>
                  </wp:positionV>
                  <wp:extent cx="768985" cy="1143000"/>
                  <wp:effectExtent l="0" t="0" r="12065" b="0"/>
                  <wp:wrapNone/>
                  <wp:docPr id="28" name="图片_266"/>
                  <wp:cNvGraphicFramePr/>
                  <a:graphic xmlns:a="http://schemas.openxmlformats.org/drawingml/2006/main">
                    <a:graphicData uri="http://schemas.openxmlformats.org/drawingml/2006/picture">
                      <pic:pic xmlns:pic="http://schemas.openxmlformats.org/drawingml/2006/picture">
                        <pic:nvPicPr>
                          <pic:cNvPr id="28" name="图片_266"/>
                          <pic:cNvPicPr/>
                        </pic:nvPicPr>
                        <pic:blipFill>
                          <a:blip r:embed="rId116"/>
                          <a:stretch>
                            <a:fillRect/>
                          </a:stretch>
                        </pic:blipFill>
                        <pic:spPr>
                          <a:xfrm>
                            <a:off x="0" y="0"/>
                            <a:ext cx="768985" cy="1143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2</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办公班台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1800*1780*750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桌身采用18mmE1绿色环保型三聚氰胺板，经过防虫防腐处理，纹理清晰，自然美枫色，密度700KG/M3,甲醛含量环保量＜0.6mg/L，封边2mm厚PVC封边，经自动调温热压机使板材粘连无丝无缝，在不同地区气温、湿度的变化中不受影响，能长期不变形不开裂，同色封边样式美观，桌面厚度56mm，面板基层采用防水，防潮,防火,耐高温28mm厚多层板热压成型，产品完全 符合国家标准，其甲醛释放量为零。表面采用耐磨、耐高温、耐剐、抗渗透、容易清洁、防潮、不褪色、防火板热压。封边采用相当于或高于国标2mm一级PVC同色封边条全自动化封边，不变形，手感光滑，甲醛释放量为零。</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27200" behindDoc="0" locked="0" layoutInCell="1" allowOverlap="1">
                  <wp:simplePos x="0" y="0"/>
                  <wp:positionH relativeFrom="column">
                    <wp:posOffset>250825</wp:posOffset>
                  </wp:positionH>
                  <wp:positionV relativeFrom="paragraph">
                    <wp:posOffset>175260</wp:posOffset>
                  </wp:positionV>
                  <wp:extent cx="1309370" cy="843280"/>
                  <wp:effectExtent l="0" t="0" r="5080" b="13970"/>
                  <wp:wrapNone/>
                  <wp:docPr id="2" name="图片_176"/>
                  <wp:cNvGraphicFramePr/>
                  <a:graphic xmlns:a="http://schemas.openxmlformats.org/drawingml/2006/main">
                    <a:graphicData uri="http://schemas.openxmlformats.org/drawingml/2006/picture">
                      <pic:pic xmlns:pic="http://schemas.openxmlformats.org/drawingml/2006/picture">
                        <pic:nvPicPr>
                          <pic:cNvPr id="2" name="图片_176"/>
                          <pic:cNvPicPr/>
                        </pic:nvPicPr>
                        <pic:blipFill>
                          <a:blip r:embed="rId117"/>
                          <a:stretch>
                            <a:fillRect/>
                          </a:stretch>
                        </pic:blipFill>
                        <pic:spPr>
                          <a:xfrm>
                            <a:off x="0" y="0"/>
                            <a:ext cx="1309370" cy="843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3</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档案柜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28224" behindDoc="0" locked="0" layoutInCell="1" allowOverlap="1">
                  <wp:simplePos x="0" y="0"/>
                  <wp:positionH relativeFrom="column">
                    <wp:posOffset>314325</wp:posOffset>
                  </wp:positionH>
                  <wp:positionV relativeFrom="paragraph">
                    <wp:posOffset>114300</wp:posOffset>
                  </wp:positionV>
                  <wp:extent cx="538480" cy="889635"/>
                  <wp:effectExtent l="0" t="0" r="13970" b="5715"/>
                  <wp:wrapNone/>
                  <wp:docPr id="31" name="图片_177"/>
                  <wp:cNvGraphicFramePr/>
                  <a:graphic xmlns:a="http://schemas.openxmlformats.org/drawingml/2006/main">
                    <a:graphicData uri="http://schemas.openxmlformats.org/drawingml/2006/picture">
                      <pic:pic xmlns:pic="http://schemas.openxmlformats.org/drawingml/2006/picture">
                        <pic:nvPicPr>
                          <pic:cNvPr id="31" name="图片_177"/>
                          <pic:cNvPicPr/>
                        </pic:nvPicPr>
                        <pic:blipFill>
                          <a:blip r:embed="rId118"/>
                          <a:stretch>
                            <a:fillRect/>
                          </a:stretch>
                        </pic:blipFill>
                        <pic:spPr>
                          <a:xfrm>
                            <a:off x="0" y="0"/>
                            <a:ext cx="538480" cy="889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4</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凭证柜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29248" behindDoc="0" locked="0" layoutInCell="1" allowOverlap="1">
                  <wp:simplePos x="0" y="0"/>
                  <wp:positionH relativeFrom="column">
                    <wp:posOffset>209550</wp:posOffset>
                  </wp:positionH>
                  <wp:positionV relativeFrom="paragraph">
                    <wp:posOffset>85725</wp:posOffset>
                  </wp:positionV>
                  <wp:extent cx="975995" cy="979170"/>
                  <wp:effectExtent l="0" t="0" r="14605" b="11430"/>
                  <wp:wrapNone/>
                  <wp:docPr id="3" name="图片_178"/>
                  <wp:cNvGraphicFramePr/>
                  <a:graphic xmlns:a="http://schemas.openxmlformats.org/drawingml/2006/main">
                    <a:graphicData uri="http://schemas.openxmlformats.org/drawingml/2006/picture">
                      <pic:pic xmlns:pic="http://schemas.openxmlformats.org/drawingml/2006/picture">
                        <pic:nvPicPr>
                          <pic:cNvPr id="3" name="图片_178"/>
                          <pic:cNvPicPr/>
                        </pic:nvPicPr>
                        <pic:blipFill>
                          <a:blip r:embed="rId119"/>
                          <a:stretch>
                            <a:fillRect/>
                          </a:stretch>
                        </pic:blipFill>
                        <pic:spPr>
                          <a:xfrm>
                            <a:off x="0" y="0"/>
                            <a:ext cx="975995" cy="979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接待沙发</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1280*860*920                                                                    </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尺寸：1280*860*920                                                                    面料：采用牛皮。</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海绵：一次成型高弹力定型海棉，密度60KG/M6。</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材料：木架采用橡胶木实木制。</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油漆：采用高于或相当于环保环保油漆，经五底三面油漆工艺处理。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w:t>
            </w:r>
            <w:r>
              <w:rPr>
                <w:rFonts w:hint="eastAsia" w:eastAsia="宋体"/>
              </w:rPr>
              <w:t>不锈钢</w:t>
            </w:r>
            <w:r>
              <w:rPr>
                <w:rFonts w:hint="eastAsia" w:ascii="宋体" w:hAnsi="宋体" w:eastAsia="宋体" w:cs="宋体"/>
                <w:color w:val="000000"/>
                <w:kern w:val="0"/>
                <w:sz w:val="18"/>
                <w:szCs w:val="18"/>
                <w:lang w:bidi="ar"/>
              </w:rPr>
              <w:t>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3065"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30272" behindDoc="0" locked="0" layoutInCell="1" allowOverlap="1">
                  <wp:simplePos x="0" y="0"/>
                  <wp:positionH relativeFrom="column">
                    <wp:posOffset>351790</wp:posOffset>
                  </wp:positionH>
                  <wp:positionV relativeFrom="paragraph">
                    <wp:posOffset>95250</wp:posOffset>
                  </wp:positionV>
                  <wp:extent cx="1077595" cy="1062990"/>
                  <wp:effectExtent l="0" t="0" r="8255" b="3810"/>
                  <wp:wrapNone/>
                  <wp:docPr id="38" name="图片_207"/>
                  <wp:cNvGraphicFramePr/>
                  <a:graphic xmlns:a="http://schemas.openxmlformats.org/drawingml/2006/main">
                    <a:graphicData uri="http://schemas.openxmlformats.org/drawingml/2006/picture">
                      <pic:pic xmlns:pic="http://schemas.openxmlformats.org/drawingml/2006/picture">
                        <pic:nvPicPr>
                          <pic:cNvPr id="38" name="图片_207"/>
                          <pic:cNvPicPr/>
                        </pic:nvPicPr>
                        <pic:blipFill>
                          <a:blip r:embed="rId120"/>
                          <a:stretch>
                            <a:fillRect/>
                          </a:stretch>
                        </pic:blipFill>
                        <pic:spPr>
                          <a:xfrm>
                            <a:off x="0" y="0"/>
                            <a:ext cx="1077595" cy="1062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6</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茶几</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680*480*650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面材：采用胡桃木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w:t>
            </w:r>
            <w:r>
              <w:rPr>
                <w:rFonts w:hint="eastAsia"/>
                <w:sz w:val="18"/>
                <w:szCs w:val="18"/>
              </w:rPr>
              <w:t>水性漆</w:t>
            </w:r>
            <w:r>
              <w:rPr>
                <w:rFonts w:hint="eastAsia" w:ascii="宋体" w:hAnsi="宋体" w:eastAsia="宋体" w:cs="宋体"/>
                <w:color w:val="000000"/>
                <w:kern w:val="0"/>
                <w:sz w:val="18"/>
                <w:szCs w:val="18"/>
                <w:lang w:bidi="ar"/>
              </w:rPr>
              <w:t>。</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3065"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31296" behindDoc="0" locked="0" layoutInCell="1" allowOverlap="1">
                  <wp:simplePos x="0" y="0"/>
                  <wp:positionH relativeFrom="column">
                    <wp:posOffset>447040</wp:posOffset>
                  </wp:positionH>
                  <wp:positionV relativeFrom="paragraph">
                    <wp:posOffset>38735</wp:posOffset>
                  </wp:positionV>
                  <wp:extent cx="609600" cy="758825"/>
                  <wp:effectExtent l="0" t="0" r="0" b="3175"/>
                  <wp:wrapNone/>
                  <wp:docPr id="44" name="图片_208"/>
                  <wp:cNvGraphicFramePr/>
                  <a:graphic xmlns:a="http://schemas.openxmlformats.org/drawingml/2006/main">
                    <a:graphicData uri="http://schemas.openxmlformats.org/drawingml/2006/picture">
                      <pic:pic xmlns:pic="http://schemas.openxmlformats.org/drawingml/2006/picture">
                        <pic:nvPicPr>
                          <pic:cNvPr id="44" name="图片_208"/>
                          <pic:cNvPicPr/>
                        </pic:nvPicPr>
                        <pic:blipFill>
                          <a:blip r:embed="rId121"/>
                          <a:stretch>
                            <a:fillRect/>
                          </a:stretch>
                        </pic:blipFill>
                        <pic:spPr>
                          <a:xfrm>
                            <a:off x="0" y="0"/>
                            <a:ext cx="609600" cy="758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7</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发言台</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650x650x1200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650x650x1200mm                                                                    柜体材质框架采用黑胡桃木实木,其它采用三层实木贴胡桃木木皮。所有板材都经过消甲醛处理,经过烘干处理，确保不变形，板材甲醛释放量均优于环保水平,保证了家具的环保安全和无污染；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2320" behindDoc="0" locked="0" layoutInCell="1" allowOverlap="1">
                  <wp:simplePos x="0" y="0"/>
                  <wp:positionH relativeFrom="column">
                    <wp:posOffset>200025</wp:posOffset>
                  </wp:positionH>
                  <wp:positionV relativeFrom="paragraph">
                    <wp:posOffset>123190</wp:posOffset>
                  </wp:positionV>
                  <wp:extent cx="523875" cy="723900"/>
                  <wp:effectExtent l="0" t="0" r="9525" b="0"/>
                  <wp:wrapNone/>
                  <wp:docPr id="39" name="Picture_19_SpCnt_1"/>
                  <wp:cNvGraphicFramePr/>
                  <a:graphic xmlns:a="http://schemas.openxmlformats.org/drawingml/2006/main">
                    <a:graphicData uri="http://schemas.openxmlformats.org/drawingml/2006/picture">
                      <pic:pic xmlns:pic="http://schemas.openxmlformats.org/drawingml/2006/picture">
                        <pic:nvPicPr>
                          <pic:cNvPr id="39" name="Picture_19_SpCnt_1"/>
                          <pic:cNvPicPr/>
                        </pic:nvPicPr>
                        <pic:blipFill>
                          <a:blip r:embed="rId69"/>
                          <a:stretch>
                            <a:fillRect/>
                          </a:stretch>
                        </pic:blipFill>
                        <pic:spPr>
                          <a:xfrm>
                            <a:off x="0" y="0"/>
                            <a:ext cx="523875"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10</w:t>
            </w:r>
            <w:r>
              <w:rPr>
                <w:rFonts w:hint="eastAsia" w:ascii="宋体" w:hAnsi="宋体" w:eastAsia="宋体" w:cs="宋体"/>
                <w:color w:val="000000"/>
                <w:kern w:val="0"/>
                <w:sz w:val="18"/>
                <w:szCs w:val="18"/>
                <w:lang w:val="en-US" w:eastAsia="zh-CN" w:bidi="ar"/>
              </w:rPr>
              <w:t>8</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主席台</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1400*700*780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1400*700*780mm                                                                           柜体材质框架采用黑胡桃木实木,其它采用三层实木贴胡桃木木皮。所有板材都经过消甲醛处理,经过烘干处理，确保不变形，板材甲醛释放量均优于环保水平,保证了家具的环保安全和无污染；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3344" behindDoc="0" locked="0" layoutInCell="1" allowOverlap="1">
                  <wp:simplePos x="0" y="0"/>
                  <wp:positionH relativeFrom="column">
                    <wp:posOffset>209550</wp:posOffset>
                  </wp:positionH>
                  <wp:positionV relativeFrom="paragraph">
                    <wp:posOffset>38100</wp:posOffset>
                  </wp:positionV>
                  <wp:extent cx="1307465" cy="800735"/>
                  <wp:effectExtent l="0" t="0" r="6985" b="18415"/>
                  <wp:wrapNone/>
                  <wp:docPr id="51" name="图片_270"/>
                  <wp:cNvGraphicFramePr/>
                  <a:graphic xmlns:a="http://schemas.openxmlformats.org/drawingml/2006/main">
                    <a:graphicData uri="http://schemas.openxmlformats.org/drawingml/2006/picture">
                      <pic:pic xmlns:pic="http://schemas.openxmlformats.org/drawingml/2006/picture">
                        <pic:nvPicPr>
                          <pic:cNvPr id="51" name="图片_270"/>
                          <pic:cNvPicPr/>
                        </pic:nvPicPr>
                        <pic:blipFill>
                          <a:blip r:embed="rId122"/>
                          <a:stretch>
                            <a:fillRect/>
                          </a:stretch>
                        </pic:blipFill>
                        <pic:spPr>
                          <a:xfrm>
                            <a:off x="0" y="0"/>
                            <a:ext cx="1307465" cy="800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09</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主席台</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2100*700*780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2100*700*780mm                                                                        柜体材质框架采用黑胡桃木实木,其它采用三层实木贴胡桃木木皮。所有板材都经过消甲醛处理,经过烘干处理，确保不变形，板材甲醛释放量均优于环保水平,保证了家具的环保安全和无污染；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五金配件：采用不锈钢五金配件，连接牢靠，经久耐用。</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4368" behindDoc="0" locked="0" layoutInCell="1" allowOverlap="1">
                  <wp:simplePos x="0" y="0"/>
                  <wp:positionH relativeFrom="column">
                    <wp:posOffset>57150</wp:posOffset>
                  </wp:positionH>
                  <wp:positionV relativeFrom="paragraph">
                    <wp:posOffset>19050</wp:posOffset>
                  </wp:positionV>
                  <wp:extent cx="1307465" cy="800735"/>
                  <wp:effectExtent l="0" t="0" r="6985" b="18415"/>
                  <wp:wrapNone/>
                  <wp:docPr id="54" name="图片_271"/>
                  <wp:cNvGraphicFramePr/>
                  <a:graphic xmlns:a="http://schemas.openxmlformats.org/drawingml/2006/main">
                    <a:graphicData uri="http://schemas.openxmlformats.org/drawingml/2006/picture">
                      <pic:pic xmlns:pic="http://schemas.openxmlformats.org/drawingml/2006/picture">
                        <pic:nvPicPr>
                          <pic:cNvPr id="54" name="图片_271"/>
                          <pic:cNvPicPr/>
                        </pic:nvPicPr>
                        <pic:blipFill>
                          <a:blip r:embed="rId122"/>
                          <a:stretch>
                            <a:fillRect/>
                          </a:stretch>
                        </pic:blipFill>
                        <pic:spPr>
                          <a:xfrm>
                            <a:off x="0" y="0"/>
                            <a:ext cx="1307465" cy="800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10</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主席椅</w:t>
            </w:r>
          </w:p>
        </w:tc>
        <w:tc>
          <w:tcPr>
            <w:tcW w:w="1144" w:type="dxa"/>
            <w:shd w:val="clear" w:color="auto" w:fill="auto"/>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630*590*990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sz w:val="18"/>
                <w:szCs w:val="18"/>
                <w:lang w:bidi="ar"/>
              </w:rPr>
              <w:t>常规</w:t>
            </w:r>
            <w:r>
              <w:rPr>
                <w:rStyle w:val="128"/>
                <w:rFonts w:eastAsia="宋体"/>
                <w:lang w:bidi="ar"/>
              </w:rPr>
              <w:t xml:space="preserve"> </w:t>
            </w:r>
            <w:r>
              <w:rPr>
                <w:sz w:val="18"/>
                <w:szCs w:val="18"/>
                <w:lang w:bidi="ar"/>
              </w:rPr>
              <w:t>主体框架采用黑胡桃木实木，</w:t>
            </w:r>
            <w:r>
              <w:rPr>
                <w:rFonts w:hint="eastAsia"/>
                <w:sz w:val="18"/>
                <w:szCs w:val="18"/>
                <w:lang w:bidi="ar"/>
              </w:rPr>
              <w:t>环保</w:t>
            </w:r>
            <w:r>
              <w:rPr>
                <w:sz w:val="18"/>
                <w:szCs w:val="18"/>
                <w:lang w:bidi="ar"/>
              </w:rPr>
              <w:t>耐磨</w:t>
            </w:r>
            <w:r>
              <w:rPr>
                <w:rFonts w:hint="eastAsia"/>
                <w:sz w:val="18"/>
                <w:szCs w:val="18"/>
                <w:lang w:bidi="ar"/>
              </w:rPr>
              <w:t>高纤</w:t>
            </w:r>
            <w:r>
              <w:rPr>
                <w:sz w:val="18"/>
                <w:szCs w:val="18"/>
                <w:lang w:bidi="ar"/>
              </w:rPr>
              <w:t>皮面料，海绵采用高密度回弹定型海绵，经高速机车缝制，线路流畅，软硬适中,回弹力好,不易变形，外观和性能均接近天然</w:t>
            </w:r>
            <w:r>
              <w:rPr>
                <w:rFonts w:hint="eastAsia"/>
                <w:sz w:val="18"/>
                <w:szCs w:val="18"/>
                <w:lang w:bidi="ar"/>
              </w:rPr>
              <w:t>高纤</w:t>
            </w:r>
            <w:r>
              <w:rPr>
                <w:sz w:val="18"/>
                <w:szCs w:val="18"/>
                <w:lang w:bidi="ar"/>
              </w:rPr>
              <w:t>皮，易洗涤去污，易缝制；內芯为35密度高回弹泡绵+超纤丝绵包覆；背、座框架内无底板，采用乳胶丝做的超强弹性耐老化绷带打底；整张椅子弹性好、坐感舒适。油漆采用</w:t>
            </w:r>
            <w:r>
              <w:rPr>
                <w:rFonts w:hint="eastAsia"/>
                <w:sz w:val="18"/>
                <w:szCs w:val="18"/>
                <w:lang w:bidi="ar"/>
              </w:rPr>
              <w:t>环保环保</w:t>
            </w:r>
            <w:r>
              <w:rPr>
                <w:sz w:val="18"/>
                <w:szCs w:val="18"/>
                <w:lang w:bidi="ar"/>
              </w:rPr>
              <w:t>环保水性油漆，有害物含量低于国家标准。并通过全自动油漆喷涂和滚涂生产线，经五底三面工艺封闭式涂装，成品油漆表面硬度可达3H级，漆面色泽美观、木纹纹理清晰，光滑耐磨、手感好</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5392" behindDoc="0" locked="0" layoutInCell="1" allowOverlap="1">
                  <wp:simplePos x="0" y="0"/>
                  <wp:positionH relativeFrom="column">
                    <wp:posOffset>323850</wp:posOffset>
                  </wp:positionH>
                  <wp:positionV relativeFrom="paragraph">
                    <wp:posOffset>190500</wp:posOffset>
                  </wp:positionV>
                  <wp:extent cx="666750" cy="946785"/>
                  <wp:effectExtent l="0" t="0" r="0" b="5715"/>
                  <wp:wrapNone/>
                  <wp:docPr id="47" name="图片_272"/>
                  <wp:cNvGraphicFramePr/>
                  <a:graphic xmlns:a="http://schemas.openxmlformats.org/drawingml/2006/main">
                    <a:graphicData uri="http://schemas.openxmlformats.org/drawingml/2006/picture">
                      <pic:pic xmlns:pic="http://schemas.openxmlformats.org/drawingml/2006/picture">
                        <pic:nvPicPr>
                          <pic:cNvPr id="47" name="图片_272"/>
                          <pic:cNvPicPr/>
                        </pic:nvPicPr>
                        <pic:blipFill>
                          <a:blip r:embed="rId123"/>
                          <a:stretch>
                            <a:fillRect/>
                          </a:stretch>
                        </pic:blipFill>
                        <pic:spPr>
                          <a:xfrm>
                            <a:off x="0" y="0"/>
                            <a:ext cx="666750" cy="946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11</w:t>
            </w:r>
          </w:p>
        </w:tc>
        <w:tc>
          <w:tcPr>
            <w:tcW w:w="808"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条形会议桌</w:t>
            </w:r>
          </w:p>
        </w:tc>
        <w:tc>
          <w:tcPr>
            <w:tcW w:w="1144" w:type="dxa"/>
            <w:shd w:val="clear" w:color="auto" w:fill="auto"/>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1200*400*750</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1200*400*750mm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柜体材质框架采用黑胡桃木实木,其它采用三层实木贴胡桃木木皮。所有板材都经过消甲醛处理,经过烘干处理，确保不变形，板材甲醛释放量均优于环保水平,保证了家具的环保安全和无污染；                                                       </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油漆：采用水性漆，经五底三面油漆工艺处理；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五金配件：采用</w:t>
            </w:r>
            <w:r>
              <w:rPr>
                <w:rFonts w:hint="eastAsia"/>
              </w:rPr>
              <w:t>不锈钢</w:t>
            </w:r>
            <w:r>
              <w:rPr>
                <w:rFonts w:hint="eastAsia" w:ascii="宋体" w:hAnsi="宋体" w:eastAsia="宋体" w:cs="宋体"/>
                <w:color w:val="000000"/>
                <w:kern w:val="0"/>
                <w:sz w:val="18"/>
                <w:szCs w:val="18"/>
                <w:lang w:bidi="ar"/>
              </w:rPr>
              <w:t xml:space="preserve">五金配件，连接牢靠，经久耐用。                                                           </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3065" w:type="dxa"/>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6416" behindDoc="0" locked="0" layoutInCell="1" allowOverlap="1">
                  <wp:simplePos x="0" y="0"/>
                  <wp:positionH relativeFrom="column">
                    <wp:posOffset>153670</wp:posOffset>
                  </wp:positionH>
                  <wp:positionV relativeFrom="paragraph">
                    <wp:posOffset>238125</wp:posOffset>
                  </wp:positionV>
                  <wp:extent cx="1219835" cy="822960"/>
                  <wp:effectExtent l="0" t="0" r="18415" b="15240"/>
                  <wp:wrapNone/>
                  <wp:docPr id="45" name="图片_273"/>
                  <wp:cNvGraphicFramePr/>
                  <a:graphic xmlns:a="http://schemas.openxmlformats.org/drawingml/2006/main">
                    <a:graphicData uri="http://schemas.openxmlformats.org/drawingml/2006/picture">
                      <pic:pic xmlns:pic="http://schemas.openxmlformats.org/drawingml/2006/picture">
                        <pic:nvPicPr>
                          <pic:cNvPr id="45" name="图片_273"/>
                          <pic:cNvPicPr/>
                        </pic:nvPicPr>
                        <pic:blipFill>
                          <a:blip r:embed="rId106"/>
                          <a:stretch>
                            <a:fillRect/>
                          </a:stretch>
                        </pic:blipFill>
                        <pic:spPr>
                          <a:xfrm>
                            <a:off x="0" y="0"/>
                            <a:ext cx="1219835" cy="822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4"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2</w:t>
            </w:r>
          </w:p>
        </w:tc>
        <w:tc>
          <w:tcPr>
            <w:tcW w:w="808" w:type="dxa"/>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b/>
                <w:bCs/>
                <w:color w:val="000000"/>
                <w:kern w:val="0"/>
                <w:sz w:val="18"/>
                <w:szCs w:val="18"/>
                <w:lang w:bidi="ar"/>
              </w:rPr>
              <w:t>礼堂椅</w:t>
            </w:r>
            <w:r>
              <w:rPr>
                <w:rFonts w:hint="eastAsia" w:ascii="宋体" w:hAnsi="宋体" w:cs="宋体"/>
                <w:b/>
                <w:bCs/>
                <w:color w:val="000000"/>
                <w:kern w:val="0"/>
                <w:sz w:val="18"/>
                <w:szCs w:val="18"/>
                <w:lang w:eastAsia="zh-CN" w:bidi="ar"/>
              </w:rPr>
              <w:t>（</w:t>
            </w:r>
            <w:r>
              <w:rPr>
                <w:rFonts w:hint="eastAsia" w:ascii="宋体" w:hAnsi="宋体" w:cs="宋体"/>
                <w:b/>
                <w:bCs/>
                <w:color w:val="000000"/>
                <w:kern w:val="0"/>
                <w:sz w:val="18"/>
                <w:szCs w:val="18"/>
                <w:lang w:val="en-US" w:eastAsia="zh-CN" w:bidi="ar"/>
              </w:rPr>
              <w:t>核心产品</w:t>
            </w:r>
            <w:r>
              <w:rPr>
                <w:rFonts w:hint="eastAsia" w:ascii="宋体" w:hAnsi="宋体" w:cs="宋体"/>
                <w:b/>
                <w:bCs/>
                <w:color w:val="000000"/>
                <w:kern w:val="0"/>
                <w:sz w:val="18"/>
                <w:szCs w:val="18"/>
                <w:lang w:eastAsia="zh-CN" w:bidi="ar"/>
              </w:rPr>
              <w:t>）</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560*760*940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具体规格：中心距560mm；扶手宽60mm；座内宽500mm；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扶手高610mm；座高450mm；全高940mm；整体深度760mm。                                          材质说明：</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1.背/座外板：采用多层硬木成型板，表面压木皮，经高周波高压制成，承托力强抗变形。座板附独特蜂窝式吸音气孔，保证座椅的良好透气性能和吸收回音。</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2.背/座内板（框）：背内板采用E1级多层板经模具高压成型，具有曲线符合人体工学原理。</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3.背/座海绵:采用高密度冷发泡定型绵，舒适耐用，密度高达40 kg/m3。</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4.脚架：采用铝合金材质，经模具压铸成型，表面经抛光处理。铝合金脚框造型新颖特别。脚框内侧装有护板，使得脚架整体更加美观实用。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5.扶手:采用进口橡木加工成型外履烤漆处理。</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6.写字板:采用黑色ABS塑料写字板。配置高档的铝合金翻转支架，可折叠收回，写字板收藏于铝合金扶手脚内侧，展开时一气呵成。</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7.布料:采用环保耐磨麻布面料，手感舒适。可根据客户要求进行阻燃处理。并有多种颜色可供选择。</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8.回复机构:采用单弹簧加扭簧阻尼的工艺机构，座椅在人离开后自动缓慢翻起，回复精准无冲击噪音。</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固定方式:采用经过防锈静电喷涂的内六角膨胀螺丝，固定孔加盖塑料盖。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679</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37440" behindDoc="0" locked="0" layoutInCell="1" allowOverlap="1">
                  <wp:simplePos x="0" y="0"/>
                  <wp:positionH relativeFrom="column">
                    <wp:posOffset>174625</wp:posOffset>
                  </wp:positionH>
                  <wp:positionV relativeFrom="paragraph">
                    <wp:posOffset>628650</wp:posOffset>
                  </wp:positionV>
                  <wp:extent cx="1520190" cy="1477010"/>
                  <wp:effectExtent l="0" t="0" r="3810" b="8890"/>
                  <wp:wrapNone/>
                  <wp:docPr id="52" name="图片_274"/>
                  <wp:cNvGraphicFramePr/>
                  <a:graphic xmlns:a="http://schemas.openxmlformats.org/drawingml/2006/main">
                    <a:graphicData uri="http://schemas.openxmlformats.org/drawingml/2006/picture">
                      <pic:pic xmlns:pic="http://schemas.openxmlformats.org/drawingml/2006/picture">
                        <pic:nvPicPr>
                          <pic:cNvPr id="52" name="图片_274"/>
                          <pic:cNvPicPr/>
                        </pic:nvPicPr>
                        <pic:blipFill>
                          <a:blip r:embed="rId124"/>
                          <a:stretch>
                            <a:fillRect/>
                          </a:stretch>
                        </pic:blipFill>
                        <pic:spPr>
                          <a:xfrm>
                            <a:off x="0" y="0"/>
                            <a:ext cx="1520190" cy="14770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3</w:t>
            </w:r>
          </w:p>
        </w:tc>
        <w:tc>
          <w:tcPr>
            <w:tcW w:w="808"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长桌</w:t>
            </w:r>
          </w:p>
        </w:tc>
        <w:tc>
          <w:tcPr>
            <w:tcW w:w="1144"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1200*450*700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板材质说明：采用E1绿色环保型三聚氰胺板，经过防虫防腐处理，纹理清晰，自然美枫色，密度700KG/M3,甲醛释放量为零，贴三聚氰胺饰面纸，耐划，坚固、美观、产品完全符合国家标准。桌面封边条：采用厚度≥2.0mm耐老化PVC封边条封边，甲醛释放量达到国家环保水平。                                                                                2： 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487"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3065"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38464" behindDoc="0" locked="0" layoutInCell="1" allowOverlap="1">
                  <wp:simplePos x="0" y="0"/>
                  <wp:positionH relativeFrom="column">
                    <wp:posOffset>172085</wp:posOffset>
                  </wp:positionH>
                  <wp:positionV relativeFrom="paragraph">
                    <wp:posOffset>390525</wp:posOffset>
                  </wp:positionV>
                  <wp:extent cx="1541780" cy="899160"/>
                  <wp:effectExtent l="0" t="0" r="1270" b="15240"/>
                  <wp:wrapNone/>
                  <wp:docPr id="57" name="图片_275"/>
                  <wp:cNvGraphicFramePr/>
                  <a:graphic xmlns:a="http://schemas.openxmlformats.org/drawingml/2006/main">
                    <a:graphicData uri="http://schemas.openxmlformats.org/drawingml/2006/picture">
                      <pic:pic xmlns:pic="http://schemas.openxmlformats.org/drawingml/2006/picture">
                        <pic:nvPicPr>
                          <pic:cNvPr id="57" name="图片_275"/>
                          <pic:cNvPicPr/>
                        </pic:nvPicPr>
                        <pic:blipFill>
                          <a:blip r:embed="rId125"/>
                          <a:stretch>
                            <a:fillRect/>
                          </a:stretch>
                        </pic:blipFill>
                        <pic:spPr>
                          <a:xfrm>
                            <a:off x="0" y="0"/>
                            <a:ext cx="1541780" cy="899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hint="eastAsia" w:ascii="宋体" w:hAnsi="宋体" w:eastAsia="宋体" w:cs="宋体"/>
                <w:color w:val="000000"/>
                <w:sz w:val="18"/>
                <w:szCs w:val="18"/>
                <w:lang w:eastAsia="zh-CN"/>
              </w:rPr>
            </w:pPr>
            <w:bookmarkStart w:id="1" w:name="_Hlk98342035"/>
            <w:r>
              <w:rPr>
                <w:rFonts w:hint="eastAsia" w:ascii="宋体" w:hAnsi="宋体" w:eastAsia="宋体" w:cs="宋体"/>
                <w:b/>
                <w:bCs/>
                <w:color w:val="000000"/>
                <w:kern w:val="0"/>
                <w:sz w:val="18"/>
                <w:szCs w:val="18"/>
                <w:lang w:bidi="ar"/>
              </w:rPr>
              <w:t>回弹餐桌</w:t>
            </w:r>
            <w:bookmarkEnd w:id="1"/>
            <w:r>
              <w:rPr>
                <w:rFonts w:hint="eastAsia" w:ascii="宋体" w:hAnsi="宋体" w:cs="宋体"/>
                <w:b/>
                <w:bCs/>
                <w:color w:val="000000"/>
                <w:kern w:val="0"/>
                <w:sz w:val="18"/>
                <w:szCs w:val="18"/>
                <w:lang w:eastAsia="zh-CN" w:bidi="ar"/>
              </w:rPr>
              <w:t>（</w:t>
            </w:r>
            <w:r>
              <w:rPr>
                <w:rFonts w:hint="eastAsia" w:ascii="宋体" w:hAnsi="宋体" w:cs="宋体"/>
                <w:b/>
                <w:bCs/>
                <w:color w:val="000000"/>
                <w:kern w:val="0"/>
                <w:sz w:val="18"/>
                <w:szCs w:val="18"/>
                <w:lang w:val="en-US" w:eastAsia="zh-CN" w:bidi="ar"/>
              </w:rPr>
              <w:t>核心产品</w:t>
            </w:r>
            <w:r>
              <w:rPr>
                <w:rFonts w:hint="eastAsia" w:ascii="宋体" w:hAnsi="宋体" w:cs="宋体"/>
                <w:b/>
                <w:bCs/>
                <w:color w:val="000000"/>
                <w:kern w:val="0"/>
                <w:sz w:val="18"/>
                <w:szCs w:val="18"/>
                <w:lang w:eastAsia="zh-CN" w:bidi="ar"/>
              </w:rPr>
              <w:t>）</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1800*600*750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规格：1800*600*750，一.面板材质：1.面板材质：面板基层采用防水，防潮,防火,耐高温25mm厚多层板热压成型，产品完全 符合国家标准，其甲醛释放量为零。表面采用耐磨、耐高温、耐剐、抗渗透、容易清洁、防潮、不褪色、防火板热压。桌面封边条：采用厚度≥2.0mm耐老化PVC封边条封边，甲醛释放量达到国家环保水平。</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二．框架结构：1.采用椭圆形亮光铝管、圆形亮光铝管及方管亮光铝管组合时焊接而成。结构得需牢固，长间使用不得产生摇晃、松散的现象。焊接完成之铝管架，焊接部位得需牢固，需无脱焊、虚焊、焊穿；焊缝均匀，需无毛棱、锐棱、飞溅、裂纹等缺陷。</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2.尺寸：圆管Φ19mm*1.5mm、圆管Φ50mm*1.5mm、圆管Φ38mm*1.5mm方管25mm*50mm*1.5mm。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表面涂装：焊接完成之铝管架，表面经酸洗、脱脂、磷化处理，耐腐蚀、防锈。外表采一级颗粒粉末，经高温粉体烤漆，附着力特强，不脱漆。涂层需无漏喷、锈蚀；涂层需光滑均匀，色泽一致，需无流挂、疙瘩、皱皮、飞漆等缺陷。涂层需平整光滑、清晰，需无明显粒子、涨边现象；应无明显加工痕迹、划痕、雾光、白棱、白点、鼓泡、油白、流挂、缩孔、刷毛、积粉和杂渣。</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三．坐垫要求：1.坐垫材质：采用PP耐冲击塑料新料一体射出成型。不可采用回收料生产。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2.尺寸：面板直径为30cm，座垫中心得需有内凹8mm设计，乘坐时舒适又耐用。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坐垫底下肘壁需一次弯管成型，结构得需牢固，长时间使用不得产生摇晃、松散的现象。坐下时，座椅的脚垫与地面接触作为支撑，坐垫可360度旋转。离开坐垫后，座椅可自动回弹升起归位。收纳时座椅的脚垫与地面无接触。</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四，功能：座垫可以缓慢自动回弹，不需要人工操作操作回弹，方便人走开，座垫留在外面，产生安全问题。底脚配万向速滚轮，轮盘双壁及托架采用3.0mm厚不锈钢板，球体为黑色耐磨速滚轮，双刹双活。</w:t>
            </w:r>
          </w:p>
        </w:tc>
        <w:tc>
          <w:tcPr>
            <w:tcW w:w="582"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套</w:t>
            </w:r>
          </w:p>
        </w:tc>
        <w:tc>
          <w:tcPr>
            <w:tcW w:w="487"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230</w:t>
            </w:r>
          </w:p>
        </w:tc>
        <w:tc>
          <w:tcPr>
            <w:tcW w:w="3065" w:type="dxa"/>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39488" behindDoc="0" locked="0" layoutInCell="1" allowOverlap="1">
                  <wp:simplePos x="0" y="0"/>
                  <wp:positionH relativeFrom="column">
                    <wp:posOffset>76200</wp:posOffset>
                  </wp:positionH>
                  <wp:positionV relativeFrom="paragraph">
                    <wp:posOffset>2143125</wp:posOffset>
                  </wp:positionV>
                  <wp:extent cx="1647825" cy="1088390"/>
                  <wp:effectExtent l="0" t="0" r="9525" b="16510"/>
                  <wp:wrapNone/>
                  <wp:docPr id="48" name="图片_282"/>
                  <wp:cNvGraphicFramePr/>
                  <a:graphic xmlns:a="http://schemas.openxmlformats.org/drawingml/2006/main">
                    <a:graphicData uri="http://schemas.openxmlformats.org/drawingml/2006/picture">
                      <pic:pic xmlns:pic="http://schemas.openxmlformats.org/drawingml/2006/picture">
                        <pic:nvPicPr>
                          <pic:cNvPr id="48" name="图片_282"/>
                          <pic:cNvPicPr/>
                        </pic:nvPicPr>
                        <pic:blipFill>
                          <a:blip r:embed="rId126"/>
                          <a:stretch>
                            <a:fillRect/>
                          </a:stretch>
                        </pic:blipFill>
                        <pic:spPr>
                          <a:xfrm>
                            <a:off x="0" y="0"/>
                            <a:ext cx="1647825" cy="10883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六人餐桌 </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1800*700*750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板材质：1.面板材质：面板基层采用防水，防潮,防火,耐高温25mm厚多层板热压成型，产品完全符合国家标准，其甲醛释放量为零。表面采用耐磨、耐高温、耐剐、抗渗透、容易清洁、防潮、不褪色、防火板热压。桌面封边条：采用厚度≥2.0mm耐老化PVC封边条封边，甲醛释放量达到国家环保水平。 2.台架结构：.采用工字型铝合金管组合时焊接而成。结构牢固，长间使用不得产生摇晃、松散的现象。焊接完成的铝合金管架，焊接部位得需牢固，需无脱焊、虚焊、焊穿；焊缝均匀，需无毛棱、锐棱、飞溅、裂纹等缺陷。</w:t>
            </w:r>
          </w:p>
        </w:tc>
        <w:tc>
          <w:tcPr>
            <w:tcW w:w="582"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487"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3065" w:type="dxa"/>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40512" behindDoc="0" locked="0" layoutInCell="1" allowOverlap="1">
                  <wp:simplePos x="0" y="0"/>
                  <wp:positionH relativeFrom="column">
                    <wp:posOffset>251460</wp:posOffset>
                  </wp:positionH>
                  <wp:positionV relativeFrom="paragraph">
                    <wp:posOffset>41910</wp:posOffset>
                  </wp:positionV>
                  <wp:extent cx="1219835" cy="1011555"/>
                  <wp:effectExtent l="0" t="0" r="18415" b="17145"/>
                  <wp:wrapNone/>
                  <wp:docPr id="37" name="图片_1_SpCnt_1"/>
                  <wp:cNvGraphicFramePr/>
                  <a:graphic xmlns:a="http://schemas.openxmlformats.org/drawingml/2006/main">
                    <a:graphicData uri="http://schemas.openxmlformats.org/drawingml/2006/picture">
                      <pic:pic xmlns:pic="http://schemas.openxmlformats.org/drawingml/2006/picture">
                        <pic:nvPicPr>
                          <pic:cNvPr id="37" name="图片_1_SpCnt_1"/>
                          <pic:cNvPicPr/>
                        </pic:nvPicPr>
                        <pic:blipFill>
                          <a:blip r:embed="rId127"/>
                          <a:stretch>
                            <a:fillRect/>
                          </a:stretch>
                        </pic:blipFill>
                        <pic:spPr>
                          <a:xfrm>
                            <a:off x="0" y="0"/>
                            <a:ext cx="1219835" cy="1011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餐椅</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常规</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1.椅身采用耐冲击塑料一级PP新料一体射出成型，符合环保标准可回收利用；座垫下预留多个透气孔，座垫可拆卸，无须调节背垫的弹性座，让用户保持各种舒适的坐姿；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 2.座垫面料采用家具专用网络布料，耐磨性强，阻燃，经防污处理，清洁方便，色泽亮丽,柔软贴手，透气性好；内部采用阻燃、环保高密度泡棉，密度≥45kg/m3；                                                 3.椅架采用实芯圆管经过环保高精度数控折弯设备进行折弯处理,并进行焊接,焊接部位平整光滑、无气孔、虚焊;表面采用环氧塑粉喷涂工艺；</w:t>
            </w:r>
          </w:p>
        </w:tc>
        <w:tc>
          <w:tcPr>
            <w:tcW w:w="582"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c>
          <w:tcPr>
            <w:tcW w:w="487"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w:t>
            </w:r>
          </w:p>
        </w:tc>
        <w:tc>
          <w:tcPr>
            <w:tcW w:w="3065" w:type="dxa"/>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41536" behindDoc="0" locked="0" layoutInCell="1" allowOverlap="1">
                  <wp:simplePos x="0" y="0"/>
                  <wp:positionH relativeFrom="column">
                    <wp:posOffset>251460</wp:posOffset>
                  </wp:positionH>
                  <wp:positionV relativeFrom="paragraph">
                    <wp:posOffset>104775</wp:posOffset>
                  </wp:positionV>
                  <wp:extent cx="1219835" cy="1011555"/>
                  <wp:effectExtent l="0" t="0" r="18415" b="17145"/>
                  <wp:wrapNone/>
                  <wp:docPr id="55" name="图片_1_SpCnt_2"/>
                  <wp:cNvGraphicFramePr/>
                  <a:graphic xmlns:a="http://schemas.openxmlformats.org/drawingml/2006/main">
                    <a:graphicData uri="http://schemas.openxmlformats.org/drawingml/2006/picture">
                      <pic:pic xmlns:pic="http://schemas.openxmlformats.org/drawingml/2006/picture">
                        <pic:nvPicPr>
                          <pic:cNvPr id="55" name="图片_1_SpCnt_2"/>
                          <pic:cNvPicPr/>
                        </pic:nvPicPr>
                        <pic:blipFill>
                          <a:blip r:embed="rId127"/>
                          <a:stretch>
                            <a:fillRect/>
                          </a:stretch>
                        </pic:blipFill>
                        <pic:spPr>
                          <a:xfrm>
                            <a:off x="0" y="0"/>
                            <a:ext cx="1219835" cy="1011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7</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1400*700*750</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尺寸：1400*700*750，柜体采用0.8mm冷轧板经酸洗磷化喷涂制作，五斗一门，台面采用25mm环保E1级三聚氰胺板贴0.8mm厚实木木皮烤漆工艺，耐划，坚固、美观、产品完全符合国家标准，其甲醛释放量为零。</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42560" behindDoc="0" locked="0" layoutInCell="1" allowOverlap="1">
                  <wp:simplePos x="0" y="0"/>
                  <wp:positionH relativeFrom="column">
                    <wp:posOffset>49530</wp:posOffset>
                  </wp:positionH>
                  <wp:positionV relativeFrom="paragraph">
                    <wp:posOffset>19050</wp:posOffset>
                  </wp:positionV>
                  <wp:extent cx="1655445" cy="988060"/>
                  <wp:effectExtent l="0" t="0" r="1905" b="2540"/>
                  <wp:wrapNone/>
                  <wp:docPr id="41" name="图片_281"/>
                  <wp:cNvGraphicFramePr/>
                  <a:graphic xmlns:a="http://schemas.openxmlformats.org/drawingml/2006/main">
                    <a:graphicData uri="http://schemas.openxmlformats.org/drawingml/2006/picture">
                      <pic:pic xmlns:pic="http://schemas.openxmlformats.org/drawingml/2006/picture">
                        <pic:nvPicPr>
                          <pic:cNvPr id="41" name="图片_281"/>
                          <pic:cNvPicPr/>
                        </pic:nvPicPr>
                        <pic:blipFill>
                          <a:blip r:embed="rId128"/>
                          <a:stretch>
                            <a:fillRect/>
                          </a:stretch>
                        </pic:blipFill>
                        <pic:spPr>
                          <a:xfrm>
                            <a:off x="0" y="0"/>
                            <a:ext cx="1655445" cy="988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11</w:t>
            </w:r>
            <w:r>
              <w:rPr>
                <w:rFonts w:hint="eastAsia" w:ascii="宋体" w:hAnsi="宋体" w:eastAsia="宋体" w:cs="宋体"/>
                <w:color w:val="000000"/>
                <w:kern w:val="0"/>
                <w:sz w:val="18"/>
                <w:szCs w:val="18"/>
                <w:lang w:val="en-US" w:eastAsia="zh-CN" w:bidi="ar"/>
              </w:rPr>
              <w:t>8</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办公椅</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常规</w:t>
            </w:r>
          </w:p>
        </w:tc>
        <w:tc>
          <w:tcPr>
            <w:tcW w:w="3683" w:type="dxa"/>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面料采用家具专用网络布料，耐磨性强，阻燃，经防污处理，清洁方便，色泽亮丽,柔软贴手，透气性好；内部采用阻燃、环保高密度泡棉，密度≥45kg/m3；PU扶手；椅架采用环保电镀钢管，壁厚1.2mm，经过德国环保高精度数控折弯机折弯而成，长时间使用不腐蚀、不生锈等优点；</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把</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43584" behindDoc="0" locked="0" layoutInCell="1" allowOverlap="1">
                  <wp:simplePos x="0" y="0"/>
                  <wp:positionH relativeFrom="column">
                    <wp:posOffset>311785</wp:posOffset>
                  </wp:positionH>
                  <wp:positionV relativeFrom="paragraph">
                    <wp:posOffset>202565</wp:posOffset>
                  </wp:positionV>
                  <wp:extent cx="711835" cy="716280"/>
                  <wp:effectExtent l="0" t="0" r="12065" b="7620"/>
                  <wp:wrapNone/>
                  <wp:docPr id="49" name="图片_60"/>
                  <wp:cNvGraphicFramePr/>
                  <a:graphic xmlns:a="http://schemas.openxmlformats.org/drawingml/2006/main">
                    <a:graphicData uri="http://schemas.openxmlformats.org/drawingml/2006/picture">
                      <pic:pic xmlns:pic="http://schemas.openxmlformats.org/drawingml/2006/picture">
                        <pic:nvPicPr>
                          <pic:cNvPr id="49" name="图片_60"/>
                          <pic:cNvPicPr/>
                        </pic:nvPicPr>
                        <pic:blipFill>
                          <a:blip r:embed="rId129"/>
                          <a:stretch>
                            <a:fillRect/>
                          </a:stretch>
                        </pic:blipFill>
                        <pic:spPr>
                          <a:xfrm>
                            <a:off x="0" y="0"/>
                            <a:ext cx="711835" cy="716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19</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文件柜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44608" behindDoc="0" locked="0" layoutInCell="1" allowOverlap="1">
                  <wp:simplePos x="0" y="0"/>
                  <wp:positionH relativeFrom="column">
                    <wp:posOffset>66040</wp:posOffset>
                  </wp:positionH>
                  <wp:positionV relativeFrom="paragraph">
                    <wp:posOffset>26035</wp:posOffset>
                  </wp:positionV>
                  <wp:extent cx="1394460" cy="1391920"/>
                  <wp:effectExtent l="0" t="0" r="15240" b="17780"/>
                  <wp:wrapNone/>
                  <wp:docPr id="53" name="图片_14"/>
                  <wp:cNvGraphicFramePr/>
                  <a:graphic xmlns:a="http://schemas.openxmlformats.org/drawingml/2006/main">
                    <a:graphicData uri="http://schemas.openxmlformats.org/drawingml/2006/picture">
                      <pic:pic xmlns:pic="http://schemas.openxmlformats.org/drawingml/2006/picture">
                        <pic:nvPicPr>
                          <pic:cNvPr id="53" name="图片_14"/>
                          <pic:cNvPicPr/>
                        </pic:nvPicPr>
                        <pic:blipFill>
                          <a:blip r:embed="rId130"/>
                          <a:stretch>
                            <a:fillRect/>
                          </a:stretch>
                        </pic:blipFill>
                        <pic:spPr>
                          <a:xfrm>
                            <a:off x="0" y="0"/>
                            <a:ext cx="1394460" cy="1391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0</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更衣柜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900*400*1800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规格：900*400*1800mm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3065" w:type="dxa"/>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bdr w:val="single" w:color="000000" w:sz="4" w:space="0"/>
              </w:rPr>
              <w:drawing>
                <wp:anchor distT="0" distB="0" distL="114300" distR="114300" simplePos="0" relativeHeight="251845632" behindDoc="0" locked="0" layoutInCell="1" allowOverlap="1">
                  <wp:simplePos x="0" y="0"/>
                  <wp:positionH relativeFrom="column">
                    <wp:posOffset>478155</wp:posOffset>
                  </wp:positionH>
                  <wp:positionV relativeFrom="paragraph">
                    <wp:posOffset>89535</wp:posOffset>
                  </wp:positionV>
                  <wp:extent cx="600075" cy="1238885"/>
                  <wp:effectExtent l="0" t="0" r="9525" b="18415"/>
                  <wp:wrapNone/>
                  <wp:docPr id="40" name="图片_280"/>
                  <wp:cNvGraphicFramePr/>
                  <a:graphic xmlns:a="http://schemas.openxmlformats.org/drawingml/2006/main">
                    <a:graphicData uri="http://schemas.openxmlformats.org/drawingml/2006/picture">
                      <pic:pic xmlns:pic="http://schemas.openxmlformats.org/drawingml/2006/picture">
                        <pic:nvPicPr>
                          <pic:cNvPr id="40" name="图片_280"/>
                          <pic:cNvPicPr/>
                        </pic:nvPicPr>
                        <pic:blipFill>
                          <a:blip r:embed="rId131"/>
                          <a:stretch>
                            <a:fillRect/>
                          </a:stretch>
                        </pic:blipFill>
                        <pic:spPr>
                          <a:xfrm>
                            <a:off x="0" y="0"/>
                            <a:ext cx="600075" cy="1238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1</w:t>
            </w:r>
          </w:p>
        </w:tc>
        <w:tc>
          <w:tcPr>
            <w:tcW w:w="808"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六门更衣柜</w:t>
            </w:r>
          </w:p>
        </w:tc>
        <w:tc>
          <w:tcPr>
            <w:tcW w:w="1144"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960*570*1820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 柜体材质：采用冷轧钢板、厚度≥0.8mm，经模具化钣金流水线精工而成。耐压、强度大、抗冲击不易变形。喷塑材料采用绿色环保型粉沫，对人体及周围环境不产生危害，无毒、无副作用，使用时无异味。链接标准件（镀锌）、支撑加固辅件耐磨耐压，硬度满足称重要求。</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门体：门体为305mm*875mm高.门体中间中空，内侧平滑，外部有整体弧度，美观大方。门体外部中间有凹体，用来放置号码牌。门体采用HDPE材质，双层门板通过螺丝固定而成。每层门板的厚度为4mm。螺丝通过设计隐藏在门体之中</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A：门板采用1.2mm钢板经酸洗磷化喷涂成型。</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B:门板采用有色喷涂处理，耐高低温，高抗2650牛顿（270kg），高抗撞击，防水防潮，耐污染。同时，易清洗，清水或性质温和的清洁剂擦拭即可。</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C:门板采用人体工程学舒适度设计，无尖角和锋锐凸起，保障使用人的安全性。</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D：门板与柜体关合后，门板有卡条与柜体卡槽结合，防止撬、切割等对柜门和锁具的破坏。</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3、合页与拴柱：采用隐藏式，肉眼不可见。POM材质，具有耐磨、刚性强等特点。</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   A：采用POM材质使用方式</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   B：采用隐藏式设计，隐藏在柜体之内，肉眼不可见，防止撬、切割等对拴住的破坏。</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4、柜体边缘有挡水漕，可阻挡雨水进入，能再室外使用。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5、储物柜生产时添加特殊材料，可抗紫外线，抗氧化，能室外使用。</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6、安装时，上下之间，柜子有凹凸槽结合，更牢固。上下左右柜子之间，都是有两个板，而不是拼装柜子共用一个板。</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7、锁具：：采用三级管理钥匙锁，有普通钥匙、管理钥匙、万能钥匙。互开率在4000以上，管理钥匙随时可以更换锁芯，充分保证安全，方便管理。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采用防锈锌合金材质转舌锁，安全、方便。</w:t>
            </w:r>
          </w:p>
        </w:tc>
        <w:tc>
          <w:tcPr>
            <w:tcW w:w="582"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46656" behindDoc="0" locked="0" layoutInCell="1" allowOverlap="1">
                  <wp:simplePos x="0" y="0"/>
                  <wp:positionH relativeFrom="column">
                    <wp:posOffset>180975</wp:posOffset>
                  </wp:positionH>
                  <wp:positionV relativeFrom="paragraph">
                    <wp:posOffset>133350</wp:posOffset>
                  </wp:positionV>
                  <wp:extent cx="1229995" cy="2234565"/>
                  <wp:effectExtent l="0" t="0" r="8255" b="13335"/>
                  <wp:wrapNone/>
                  <wp:docPr id="56" name="图片_276"/>
                  <wp:cNvGraphicFramePr/>
                  <a:graphic xmlns:a="http://schemas.openxmlformats.org/drawingml/2006/main">
                    <a:graphicData uri="http://schemas.openxmlformats.org/drawingml/2006/picture">
                      <pic:pic xmlns:pic="http://schemas.openxmlformats.org/drawingml/2006/picture">
                        <pic:nvPicPr>
                          <pic:cNvPr id="56" name="图片_276"/>
                          <pic:cNvPicPr/>
                        </pic:nvPicPr>
                        <pic:blipFill>
                          <a:blip r:embed="rId132"/>
                          <a:stretch>
                            <a:fillRect/>
                          </a:stretch>
                        </pic:blipFill>
                        <pic:spPr>
                          <a:xfrm>
                            <a:off x="0" y="0"/>
                            <a:ext cx="1229995" cy="223456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47680" behindDoc="0" locked="0" layoutInCell="1" allowOverlap="1">
                  <wp:simplePos x="0" y="0"/>
                  <wp:positionH relativeFrom="column">
                    <wp:posOffset>228600</wp:posOffset>
                  </wp:positionH>
                  <wp:positionV relativeFrom="paragraph">
                    <wp:posOffset>2447925</wp:posOffset>
                  </wp:positionV>
                  <wp:extent cx="1062990" cy="392430"/>
                  <wp:effectExtent l="0" t="0" r="3810" b="7620"/>
                  <wp:wrapNone/>
                  <wp:docPr id="46" name="图片_277"/>
                  <wp:cNvGraphicFramePr/>
                  <a:graphic xmlns:a="http://schemas.openxmlformats.org/drawingml/2006/main">
                    <a:graphicData uri="http://schemas.openxmlformats.org/drawingml/2006/picture">
                      <pic:pic xmlns:pic="http://schemas.openxmlformats.org/drawingml/2006/picture">
                        <pic:nvPicPr>
                          <pic:cNvPr id="46" name="图片_277"/>
                          <pic:cNvPicPr/>
                        </pic:nvPicPr>
                        <pic:blipFill>
                          <a:blip r:embed="rId133"/>
                          <a:stretch>
                            <a:fillRect/>
                          </a:stretch>
                        </pic:blipFill>
                        <pic:spPr>
                          <a:xfrm>
                            <a:off x="0" y="0"/>
                            <a:ext cx="1062990" cy="3924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2</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公寓组合床</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2000*920*1800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1.规格：2000*920*1800mm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材质为冷轧钢材。铁床框架连接部分采用卡式锲入式锁扣结构连接，不采用螺丝连接（备注：立柱与长横梁和短横梁连接必须采用卡式锲入式锁扣结构连接。），每张床可承重400kg；所有钢材均采用国家标准钢，铁床部分焊接采用二氧化碳气体保护焊接，铁板表面经除油、去锈、磷化、静电喷粉、高温固化而成；外层采用聚脂环氧粉末喷塑，焊接表面波纹均匀，焊接处无夹渣、气孔、焊瘤、焊丝头、咬边、飞溅，并保证无脱焊、虚焊、假焊及焊穿等现象。</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3.制作采用GB/T332</w:t>
            </w:r>
            <w:r>
              <w:rPr>
                <w:rFonts w:hint="eastAsia" w:ascii="宋体" w:hAnsi="宋体" w:eastAsia="宋体" w:cs="宋体"/>
                <w:color w:val="000000"/>
                <w:kern w:val="0"/>
                <w:sz w:val="18"/>
                <w:szCs w:val="18"/>
                <w:lang w:val="en-US" w:eastAsia="zh-CN" w:bidi="ar"/>
              </w:rPr>
              <w:t>8</w:t>
            </w: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016</w:t>
            </w:r>
            <w:r>
              <w:rPr>
                <w:rFonts w:hint="eastAsia" w:ascii="宋体" w:hAnsi="宋体" w:eastAsia="宋体" w:cs="宋体"/>
                <w:color w:val="000000"/>
                <w:kern w:val="0"/>
                <w:sz w:val="18"/>
                <w:szCs w:val="18"/>
                <w:lang w:bidi="ar"/>
              </w:rPr>
              <w:t>《家具床类主要尺寸》国家标准,铁床要求在工厂制作，现场安装。</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焊接要求：床体焊接部位均按照GB/T13667.3-2003标准，采用二氧化碳气体保护焊，焊点应满焊、均匀、牢固、平整，无漏焊、假焊、裂纹、烧穿、毛刺、表面气孔、夹渣、焊疤堆积等缺陷，焊接后打磨平、除刺及抛光。</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5.表面除锈镀层要求：涂饰前零部件的表面应光滑、平整，不得有开裂、脱焊、漏焊、焊渣或飞边、尖角、毛刺等可能超成机械伤害的缺陷。</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6.喷塑要求：采用产品环氧聚脂塑粉静电喷塑，颜色为灰浮花色（或由采购方指定），喷塑外膜的表面光滑平整，色泽均匀，喷塑层无漏喷、起泡、模糊、划痕或碰伤等缺陷。</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7.床立柱：采用“U型”钢管弯曲焊接成型，立柱正面为圆弧形设计，起到防撞作用，其立面尺寸为60.5mm*40mm,材料厚度为1.5mm；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8.长横梁：采用“面包型”冷轧钢管两端焊接2mm厚卡件成型，其立面为面包型，横梁朝外部分为弧面，能有效缓解学生头部磕碰，立面尺寸为84mm*45mm（）,材料厚度为1.5mm；</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9.床桓：采用30*20*1.2mm厚方管制作。</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10.床护栏：采用直径20*20*1.2mm厚圆管弯制而成。                                          11.蚊帐杆：智能伸缩。</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12.床梯支架：支架25*25*1.2mm方管焊接而成。</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13.床梯脚踏板：采用1.5mm厚环保冷轧钢板经模具拉伸折弯而成，表面需有凹凸纹路，必须可以起到防滑作用；</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14.床板：整体橡胶木实木，木质纹理通达清晰，外观鲜明光亮，平整稳固。                                                          15.底部配置物架，供学生放置物品。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套</w:t>
            </w:r>
          </w:p>
        </w:tc>
        <w:tc>
          <w:tcPr>
            <w:tcW w:w="487" w:type="dxa"/>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64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48704" behindDoc="0" locked="0" layoutInCell="1" allowOverlap="1">
                  <wp:simplePos x="0" y="0"/>
                  <wp:positionH relativeFrom="column">
                    <wp:posOffset>127000</wp:posOffset>
                  </wp:positionH>
                  <wp:positionV relativeFrom="paragraph">
                    <wp:posOffset>85725</wp:posOffset>
                  </wp:positionV>
                  <wp:extent cx="1530350" cy="1479550"/>
                  <wp:effectExtent l="0" t="0" r="12700" b="6350"/>
                  <wp:wrapNone/>
                  <wp:docPr id="34" name="图片_290"/>
                  <wp:cNvGraphicFramePr/>
                  <a:graphic xmlns:a="http://schemas.openxmlformats.org/drawingml/2006/main">
                    <a:graphicData uri="http://schemas.openxmlformats.org/drawingml/2006/picture">
                      <pic:pic xmlns:pic="http://schemas.openxmlformats.org/drawingml/2006/picture">
                        <pic:nvPicPr>
                          <pic:cNvPr id="34" name="图片_290"/>
                          <pic:cNvPicPr/>
                        </pic:nvPicPr>
                        <pic:blipFill>
                          <a:blip r:embed="rId134"/>
                          <a:stretch>
                            <a:fillRect/>
                          </a:stretch>
                        </pic:blipFill>
                        <pic:spPr>
                          <a:xfrm>
                            <a:off x="0" y="0"/>
                            <a:ext cx="1530350" cy="1479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3</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学习桌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2000*600*780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学习桌规格：2000*600*780mm，面板基材采用防水，防潮,防火,耐高温25mm厚三聚氰胺板，耐划，坚固、美观、产品完全符合国家标准，其甲醛释放量为零。采用厚度≥2.0mm耐老化PVC封边条封边，甲醛释放量达到国家环保水平。                                                         2.柜体基材采用防水，防潮,防火,耐高温18mm厚三聚氰胺板，耐划，坚固、美观、产品完全符合国家标准，其甲醛释放量为零。抽面和门采用实木多层板，封边采用相当于或高于国标2mm一级PVC同色封边条全自动化封边，不变形，手感光滑，甲醛释放量为零。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3、抽屉抽面安装凹形暗拉手，整体美观、环保、实用。</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164</w:t>
            </w:r>
          </w:p>
        </w:tc>
        <w:tc>
          <w:tcPr>
            <w:tcW w:w="3065"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49728" behindDoc="0" locked="0" layoutInCell="1" allowOverlap="1">
                  <wp:simplePos x="0" y="0"/>
                  <wp:positionH relativeFrom="column">
                    <wp:posOffset>97790</wp:posOffset>
                  </wp:positionH>
                  <wp:positionV relativeFrom="paragraph">
                    <wp:posOffset>208915</wp:posOffset>
                  </wp:positionV>
                  <wp:extent cx="1493520" cy="897255"/>
                  <wp:effectExtent l="0" t="0" r="11430" b="17145"/>
                  <wp:wrapNone/>
                  <wp:docPr id="58" name="图片_287"/>
                  <wp:cNvGraphicFramePr/>
                  <a:graphic xmlns:a="http://schemas.openxmlformats.org/drawingml/2006/main">
                    <a:graphicData uri="http://schemas.openxmlformats.org/drawingml/2006/picture">
                      <pic:pic xmlns:pic="http://schemas.openxmlformats.org/drawingml/2006/picture">
                        <pic:nvPicPr>
                          <pic:cNvPr id="58" name="图片_287"/>
                          <pic:cNvPicPr/>
                        </pic:nvPicPr>
                        <pic:blipFill>
                          <a:blip r:embed="rId135"/>
                          <a:stretch>
                            <a:fillRect/>
                          </a:stretch>
                        </pic:blipFill>
                        <pic:spPr>
                          <a:xfrm>
                            <a:off x="0" y="0"/>
                            <a:ext cx="1493520" cy="897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4</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学生凳</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280*380*450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1.凳面尺寸380*280*21mm.材质基板为EO级18mm多层板，四周用柔韧性高分子材料一次注塑成型，无毛边和接口，外露表面部分柔韧有弹性，安全牢固耐用。凳架采用20*40*1.2mm焊管焊接而成，表面喷塑处理。</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2.规格尺寸：280*380*450mm。 </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560</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50752" behindDoc="0" locked="0" layoutInCell="1" allowOverlap="1">
                  <wp:simplePos x="0" y="0"/>
                  <wp:positionH relativeFrom="column">
                    <wp:posOffset>644525</wp:posOffset>
                  </wp:positionH>
                  <wp:positionV relativeFrom="paragraph">
                    <wp:posOffset>63500</wp:posOffset>
                  </wp:positionV>
                  <wp:extent cx="745490" cy="853440"/>
                  <wp:effectExtent l="0" t="0" r="16510" b="3810"/>
                  <wp:wrapNone/>
                  <wp:docPr id="63" name="图片_286"/>
                  <wp:cNvGraphicFramePr/>
                  <a:graphic xmlns:a="http://schemas.openxmlformats.org/drawingml/2006/main">
                    <a:graphicData uri="http://schemas.openxmlformats.org/drawingml/2006/picture">
                      <pic:pic xmlns:pic="http://schemas.openxmlformats.org/drawingml/2006/picture">
                        <pic:nvPicPr>
                          <pic:cNvPr id="63" name="图片_286"/>
                          <pic:cNvPicPr/>
                        </pic:nvPicPr>
                        <pic:blipFill>
                          <a:blip r:embed="rId136"/>
                          <a:stretch>
                            <a:fillRect/>
                          </a:stretch>
                        </pic:blipFill>
                        <pic:spPr>
                          <a:xfrm>
                            <a:off x="0" y="0"/>
                            <a:ext cx="745490" cy="853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5</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储物柜</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1680*600*2000</w:t>
            </w:r>
          </w:p>
        </w:tc>
        <w:tc>
          <w:tcPr>
            <w:tcW w:w="3683" w:type="dxa"/>
            <w:vAlign w:val="center"/>
          </w:tcPr>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1.规格尺寸：1680*600*2000mm。</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柜体基材采用防水，防潮,防火,耐高温18mm厚三聚氰胺板，耐划，坚固、美观、产品完全符合国家标准，其甲醛释放量为零。采用厚度≥2.0mm耐老化PVC封边条封边，甲醛释放量达到国家环保水平。 门板：厚度18mm(允许正负偏差2mm)，材质采用防水，防潮,防火,耐高温多层板热压成型，；衣柜上门板设计与衣柜下门板相匹配的形状、线条，安装凹形暗拉手，整体美观、环保、实用；环保，硬度高，韧性强，表面耐磨、耐划伤、抗污抗老化、抗压抗冲击。上下门配置挂锁，使用简单便于管理，门板铰链采用液压铰</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2.铝合金底座</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a、铝合金脚外套（主材58.7*37.6）</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b、铝合金压铸链接立柱60*37*100mm</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c、调节脚外尺寸59*38*(高度40)</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d、尼龙胶圈41*62*46</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e、横梁20*40*1.2</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f、紧固件304不锈钢13*25*0.8。脚架组成：由尼龙塑料（内塞）可调脚垫、尼龙胶圈、铝合金外套（壁厚2.0mm）、压铸铝脚（壁厚2.0mm）四个组件合一起算一一个立柱，每套铝架含4个立柱+40*20*1.2mm（壁厚）钢管。</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组</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88</w:t>
            </w:r>
          </w:p>
        </w:tc>
        <w:tc>
          <w:tcPr>
            <w:tcW w:w="3065"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51776" behindDoc="0" locked="0" layoutInCell="1" allowOverlap="1">
                  <wp:simplePos x="0" y="0"/>
                  <wp:positionH relativeFrom="column">
                    <wp:posOffset>174625</wp:posOffset>
                  </wp:positionH>
                  <wp:positionV relativeFrom="paragraph">
                    <wp:posOffset>302895</wp:posOffset>
                  </wp:positionV>
                  <wp:extent cx="1393825" cy="1847215"/>
                  <wp:effectExtent l="0" t="0" r="15875" b="635"/>
                  <wp:wrapNone/>
                  <wp:docPr id="50" name="图片_288"/>
                  <wp:cNvGraphicFramePr/>
                  <a:graphic xmlns:a="http://schemas.openxmlformats.org/drawingml/2006/main">
                    <a:graphicData uri="http://schemas.openxmlformats.org/drawingml/2006/picture">
                      <pic:pic xmlns:pic="http://schemas.openxmlformats.org/drawingml/2006/picture">
                        <pic:nvPicPr>
                          <pic:cNvPr id="50" name="图片_288"/>
                          <pic:cNvPicPr/>
                        </pic:nvPicPr>
                        <pic:blipFill>
                          <a:blip r:embed="rId137"/>
                          <a:stretch>
                            <a:fillRect/>
                          </a:stretch>
                        </pic:blipFill>
                        <pic:spPr>
                          <a:xfrm>
                            <a:off x="0" y="0"/>
                            <a:ext cx="1393825" cy="1847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实木床</w:t>
            </w:r>
          </w:p>
        </w:tc>
        <w:tc>
          <w:tcPr>
            <w:tcW w:w="1144"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1500*2000*1100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1、整体白橡木全实木，木质纹理通达清晰，外观鲜明光亮，桌腿细节处略做锥形处理，上大下小，支撑稳固。</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2、油漆处理：底层打磨刷底漆，6遍找平点涂处理，表面经过</w:t>
            </w:r>
            <w:r>
              <w:rPr>
                <w:rFonts w:hint="eastAsia" w:ascii="宋体" w:hAnsi="宋体" w:eastAsia="宋体" w:cs="宋体"/>
                <w:sz w:val="18"/>
                <w:szCs w:val="18"/>
              </w:rPr>
              <w:t>水性</w:t>
            </w:r>
            <w:r>
              <w:rPr>
                <w:rFonts w:hint="eastAsia" w:ascii="宋体" w:hAnsi="宋体" w:eastAsia="宋体" w:cs="宋体"/>
                <w:color w:val="000000"/>
                <w:kern w:val="0"/>
                <w:sz w:val="18"/>
                <w:szCs w:val="18"/>
                <w:lang w:bidi="ar"/>
              </w:rPr>
              <w:t>漆仿古喷涂，亚光不退色。</w:t>
            </w:r>
          </w:p>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18"/>
                <w:szCs w:val="18"/>
                <w:lang w:bidi="ar"/>
              </w:rPr>
              <w:t xml:space="preserve">3、保养处理：经过打蜡特殊处理，防止虫蛀，腐烂，开裂。 </w:t>
            </w:r>
            <w:r>
              <w:rPr>
                <w:rFonts w:hint="eastAsia" w:ascii="宋体" w:hAnsi="宋体" w:eastAsia="宋体" w:cs="宋体"/>
                <w:color w:val="000000"/>
                <w:kern w:val="0"/>
                <w:sz w:val="20"/>
                <w:szCs w:val="20"/>
                <w:lang w:bidi="ar"/>
              </w:rPr>
              <w:t xml:space="preserve">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8"/>
                <w:szCs w:val="18"/>
                <w:lang w:bidi="ar"/>
              </w:rPr>
              <w:t>4、五金配件：采用</w:t>
            </w:r>
            <w:r>
              <w:rPr>
                <w:rFonts w:hint="eastAsia" w:ascii="宋体" w:hAnsi="宋体" w:eastAsia="宋体" w:cs="宋体"/>
                <w:sz w:val="18"/>
                <w:szCs w:val="18"/>
              </w:rPr>
              <w:t>不锈钢</w:t>
            </w:r>
            <w:r>
              <w:rPr>
                <w:rFonts w:hint="eastAsia" w:ascii="宋体" w:hAnsi="宋体" w:eastAsia="宋体" w:cs="宋体"/>
                <w:color w:val="000000"/>
                <w:kern w:val="0"/>
                <w:sz w:val="18"/>
                <w:szCs w:val="18"/>
                <w:lang w:bidi="ar"/>
              </w:rPr>
              <w:t>五金配件，连接牢靠，经久耐用。</w:t>
            </w:r>
          </w:p>
        </w:tc>
        <w:tc>
          <w:tcPr>
            <w:tcW w:w="582"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w:t>
            </w:r>
          </w:p>
        </w:tc>
        <w:tc>
          <w:tcPr>
            <w:tcW w:w="487"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11</w:t>
            </w:r>
          </w:p>
        </w:tc>
        <w:tc>
          <w:tcPr>
            <w:tcW w:w="3065"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52800" behindDoc="0" locked="0" layoutInCell="1" allowOverlap="1">
                  <wp:simplePos x="0" y="0"/>
                  <wp:positionH relativeFrom="column">
                    <wp:posOffset>104775</wp:posOffset>
                  </wp:positionH>
                  <wp:positionV relativeFrom="paragraph">
                    <wp:posOffset>123825</wp:posOffset>
                  </wp:positionV>
                  <wp:extent cx="1496695" cy="1207135"/>
                  <wp:effectExtent l="0" t="0" r="8255" b="12065"/>
                  <wp:wrapNone/>
                  <wp:docPr id="60" name="图片_289"/>
                  <wp:cNvGraphicFramePr/>
                  <a:graphic xmlns:a="http://schemas.openxmlformats.org/drawingml/2006/main">
                    <a:graphicData uri="http://schemas.openxmlformats.org/drawingml/2006/picture">
                      <pic:pic xmlns:pic="http://schemas.openxmlformats.org/drawingml/2006/picture">
                        <pic:nvPicPr>
                          <pic:cNvPr id="60" name="图片_289"/>
                          <pic:cNvPicPr/>
                        </pic:nvPicPr>
                        <pic:blipFill>
                          <a:blip r:embed="rId138"/>
                          <a:stretch>
                            <a:fillRect/>
                          </a:stretch>
                        </pic:blipFill>
                        <pic:spPr>
                          <a:xfrm>
                            <a:off x="0" y="0"/>
                            <a:ext cx="1496695" cy="1207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12</w:t>
            </w:r>
            <w:r>
              <w:rPr>
                <w:rFonts w:hint="eastAsia" w:ascii="宋体" w:hAnsi="宋体" w:eastAsia="宋体" w:cs="宋体"/>
                <w:color w:val="000000"/>
                <w:kern w:val="0"/>
                <w:sz w:val="18"/>
                <w:szCs w:val="18"/>
                <w:lang w:val="en-US" w:eastAsia="zh-CN" w:bidi="ar"/>
              </w:rPr>
              <w:t>7</w:t>
            </w:r>
          </w:p>
        </w:tc>
        <w:tc>
          <w:tcPr>
            <w:tcW w:w="808"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床头柜</w:t>
            </w:r>
          </w:p>
        </w:tc>
        <w:tc>
          <w:tcPr>
            <w:tcW w:w="1144"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450*500*550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1、整体白橡木全实木，木质纹理通达清晰，外观鲜明光亮，桌腿细节处略做锥形处理，上大下小，支撑稳固。</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2、油漆处理：底层打磨刷底漆，6遍找平点涂处理，表面经过</w:t>
            </w:r>
            <w:r>
              <w:rPr>
                <w:rFonts w:hint="eastAsia" w:ascii="宋体" w:hAnsi="宋体" w:eastAsia="宋体" w:cs="宋体"/>
                <w:sz w:val="18"/>
                <w:szCs w:val="18"/>
              </w:rPr>
              <w:t>水性漆</w:t>
            </w:r>
            <w:r>
              <w:rPr>
                <w:rFonts w:hint="eastAsia" w:ascii="宋体" w:hAnsi="宋体" w:eastAsia="宋体" w:cs="宋体"/>
                <w:color w:val="000000"/>
                <w:kern w:val="0"/>
                <w:sz w:val="18"/>
                <w:szCs w:val="18"/>
                <w:lang w:bidi="ar"/>
              </w:rPr>
              <w:t>仿古喷涂，亚光永不退色。</w:t>
            </w:r>
          </w:p>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3、保养处理：经过打蜡特殊处理，防止虫蛀，腐烂，开裂。                                                                                                      </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8"/>
                <w:szCs w:val="18"/>
                <w:lang w:bidi="ar"/>
              </w:rPr>
              <w:t>4、五金配件：采用</w:t>
            </w:r>
            <w:r>
              <w:rPr>
                <w:rFonts w:hint="eastAsia" w:ascii="宋体" w:hAnsi="宋体" w:eastAsia="宋体" w:cs="宋体"/>
                <w:sz w:val="18"/>
                <w:szCs w:val="18"/>
              </w:rPr>
              <w:t>不锈钢</w:t>
            </w:r>
            <w:r>
              <w:rPr>
                <w:rFonts w:hint="eastAsia" w:ascii="宋体" w:hAnsi="宋体" w:eastAsia="宋体" w:cs="宋体"/>
                <w:color w:val="000000"/>
                <w:kern w:val="0"/>
                <w:sz w:val="18"/>
                <w:szCs w:val="18"/>
                <w:lang w:bidi="ar"/>
              </w:rPr>
              <w:t>五金配件，连接牢靠，经久耐用。</w:t>
            </w:r>
          </w:p>
        </w:tc>
        <w:tc>
          <w:tcPr>
            <w:tcW w:w="582"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487"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3065"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853824" behindDoc="0" locked="0" layoutInCell="1" allowOverlap="1">
                  <wp:simplePos x="0" y="0"/>
                  <wp:positionH relativeFrom="column">
                    <wp:posOffset>675640</wp:posOffset>
                  </wp:positionH>
                  <wp:positionV relativeFrom="paragraph">
                    <wp:posOffset>193040</wp:posOffset>
                  </wp:positionV>
                  <wp:extent cx="604520" cy="1109980"/>
                  <wp:effectExtent l="0" t="0" r="5080" b="13970"/>
                  <wp:wrapNone/>
                  <wp:docPr id="61" name="图片_285"/>
                  <wp:cNvGraphicFramePr/>
                  <a:graphic xmlns:a="http://schemas.openxmlformats.org/drawingml/2006/main">
                    <a:graphicData uri="http://schemas.openxmlformats.org/drawingml/2006/picture">
                      <pic:pic xmlns:pic="http://schemas.openxmlformats.org/drawingml/2006/picture">
                        <pic:nvPicPr>
                          <pic:cNvPr id="61" name="图片_285"/>
                          <pic:cNvPicPr/>
                        </pic:nvPicPr>
                        <pic:blipFill>
                          <a:blip r:embed="rId139"/>
                          <a:stretch>
                            <a:fillRect/>
                          </a:stretch>
                        </pic:blipFill>
                        <pic:spPr>
                          <a:xfrm>
                            <a:off x="0" y="0"/>
                            <a:ext cx="604520" cy="11099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28</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办公桌</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2200*700*75</w:t>
            </w:r>
          </w:p>
        </w:tc>
        <w:tc>
          <w:tcPr>
            <w:tcW w:w="3683" w:type="dxa"/>
            <w:shd w:val="clear" w:color="auto" w:fill="FFFFFF"/>
          </w:tcPr>
          <w:p>
            <w:pPr>
              <w:widowControl/>
              <w:jc w:val="left"/>
              <w:textAlignment w:val="top"/>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2200*700*750mm</w:t>
            </w:r>
          </w:p>
          <w:p>
            <w:pPr>
              <w:widowControl/>
              <w:jc w:val="left"/>
              <w:textAlignment w:val="top"/>
              <w:rPr>
                <w:rFonts w:ascii="宋体" w:hAnsi="宋体" w:eastAsia="宋体" w:cs="宋体"/>
                <w:color w:val="000000"/>
                <w:sz w:val="18"/>
                <w:szCs w:val="18"/>
              </w:rPr>
            </w:pPr>
            <w:r>
              <w:rPr>
                <w:rFonts w:hint="eastAsia" w:ascii="宋体" w:hAnsi="宋体" w:eastAsia="宋体" w:cs="宋体"/>
                <w:color w:val="000000"/>
                <w:kern w:val="0"/>
                <w:sz w:val="18"/>
                <w:szCs w:val="18"/>
                <w:lang w:bidi="ar"/>
              </w:rPr>
              <w:t xml:space="preserve">  1：板材质说明：采用</w:t>
            </w:r>
            <w:r>
              <w:rPr>
                <w:rFonts w:hint="eastAsia"/>
                <w:sz w:val="18"/>
                <w:szCs w:val="18"/>
              </w:rPr>
              <w:t>E1级</w:t>
            </w:r>
            <w:r>
              <w:rPr>
                <w:rFonts w:hint="eastAsia" w:ascii="宋体" w:hAnsi="宋体" w:eastAsia="宋体" w:cs="宋体"/>
                <w:color w:val="000000"/>
                <w:kern w:val="0"/>
                <w:sz w:val="18"/>
                <w:szCs w:val="18"/>
                <w:lang w:bidi="ar"/>
              </w:rPr>
              <w:t>25mm厚三聚氰胺板，贴三聚氰胺面纸，耐划，坚固、美观、产品完全符合国家标准，其甲醛释放量为零。                                                                                            2：桌架：选用环保冷轧钢管，整只钢脚采用三角管：55*55*76mm.壁厚1.5mm,管材切45°钢脚经过氩氟焊满焊而成，然后再精细打磨表面无痕无渣，桌架满外高度为725mm，满外宽度680mm，横梁为25*50扁管，厚度为1.2mm，3厘压铸铁片封口连接钢脚，桌脚下配有55*55*76*15H可调的胶塞脚钉，经过6道酸洗池酸洗打磨，最后采用静电粉末喷涂技术，表面喷（50-60um)保护粉漆，经过15min高温烘烤流平固化，颜色稳定</w:t>
            </w:r>
          </w:p>
        </w:tc>
        <w:tc>
          <w:tcPr>
            <w:tcW w:w="582"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4848" behindDoc="0" locked="0" layoutInCell="1" allowOverlap="1">
                  <wp:simplePos x="0" y="0"/>
                  <wp:positionH relativeFrom="column">
                    <wp:posOffset>224790</wp:posOffset>
                  </wp:positionH>
                  <wp:positionV relativeFrom="paragraph">
                    <wp:posOffset>112395</wp:posOffset>
                  </wp:positionV>
                  <wp:extent cx="1172845" cy="944880"/>
                  <wp:effectExtent l="0" t="0" r="8255" b="7620"/>
                  <wp:wrapNone/>
                  <wp:docPr id="33" name="图片_292"/>
                  <wp:cNvGraphicFramePr/>
                  <a:graphic xmlns:a="http://schemas.openxmlformats.org/drawingml/2006/main">
                    <a:graphicData uri="http://schemas.openxmlformats.org/drawingml/2006/picture">
                      <pic:pic xmlns:pic="http://schemas.openxmlformats.org/drawingml/2006/picture">
                        <pic:nvPicPr>
                          <pic:cNvPr id="33" name="图片_292"/>
                          <pic:cNvPicPr/>
                        </pic:nvPicPr>
                        <pic:blipFill>
                          <a:blip r:embed="rId140"/>
                          <a:stretch>
                            <a:fillRect/>
                          </a:stretch>
                        </pic:blipFill>
                        <pic:spPr>
                          <a:xfrm>
                            <a:off x="0" y="0"/>
                            <a:ext cx="1172845" cy="9448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86" w:type="dxa"/>
            <w:shd w:val="clear" w:color="auto" w:fill="auto"/>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29</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办公椅</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620*530*970mm</w:t>
            </w:r>
          </w:p>
        </w:tc>
        <w:tc>
          <w:tcPr>
            <w:tcW w:w="3683" w:type="dxa"/>
            <w:shd w:val="clear" w:color="auto" w:fill="FFFFFF"/>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规格：620*530*970mm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椅面采用网布，网布色泽亮丽、阻燃、防污、耐磨性强；座垫采用高密度、高回弹PU定型发泡海绵，密度≥45kg/cm3,软硬适中，回弹性能好，不变形；座垫依据人体工学原理设计，采用1.5MM夹板八层垫压成成型，成型板材约12MM，板材承受力达300KG，弓型架为实心钢筋。</w:t>
            </w:r>
          </w:p>
        </w:tc>
        <w:tc>
          <w:tcPr>
            <w:tcW w:w="582"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把</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3065" w:type="dxa"/>
            <w:shd w:val="clear" w:color="auto" w:fill="FFFFFF"/>
            <w:noWrap/>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5872" behindDoc="0" locked="0" layoutInCell="1" allowOverlap="1">
                  <wp:simplePos x="0" y="0"/>
                  <wp:positionH relativeFrom="column">
                    <wp:posOffset>171450</wp:posOffset>
                  </wp:positionH>
                  <wp:positionV relativeFrom="paragraph">
                    <wp:posOffset>38100</wp:posOffset>
                  </wp:positionV>
                  <wp:extent cx="742315" cy="731520"/>
                  <wp:effectExtent l="0" t="0" r="635" b="11430"/>
                  <wp:wrapNone/>
                  <wp:docPr id="62" name="图片_293"/>
                  <wp:cNvGraphicFramePr/>
                  <a:graphic xmlns:a="http://schemas.openxmlformats.org/drawingml/2006/main">
                    <a:graphicData uri="http://schemas.openxmlformats.org/drawingml/2006/picture">
                      <pic:pic xmlns:pic="http://schemas.openxmlformats.org/drawingml/2006/picture">
                        <pic:nvPicPr>
                          <pic:cNvPr id="62" name="图片_293"/>
                          <pic:cNvPicPr/>
                        </pic:nvPicPr>
                        <pic:blipFill>
                          <a:blip r:embed="rId141"/>
                          <a:stretch>
                            <a:fillRect/>
                          </a:stretch>
                        </pic:blipFill>
                        <pic:spPr>
                          <a:xfrm>
                            <a:off x="0" y="0"/>
                            <a:ext cx="742315" cy="731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0</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信报柜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1200*400*1800</w:t>
            </w:r>
          </w:p>
        </w:tc>
        <w:tc>
          <w:tcPr>
            <w:tcW w:w="3683"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1800，材质：采用冷轧钢板、厚度≥0.8mm，经模具化钣金流水线精工而成。耐压、强度大、抗冲击不易变形。喷塑材料采用绿色环保型塑粉，对人体及周围环境不产生危害，无毒、无副作用，使用时无异味。链接标准件（镀锌）、支撑加固辅件耐磨耐压，硬度满足称重要求。五金件及其他配</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6896" behindDoc="0" locked="0" layoutInCell="1" allowOverlap="1">
                  <wp:simplePos x="0" y="0"/>
                  <wp:positionH relativeFrom="column">
                    <wp:posOffset>432435</wp:posOffset>
                  </wp:positionH>
                  <wp:positionV relativeFrom="paragraph">
                    <wp:posOffset>60960</wp:posOffset>
                  </wp:positionV>
                  <wp:extent cx="661035" cy="1050290"/>
                  <wp:effectExtent l="0" t="0" r="5715" b="16510"/>
                  <wp:wrapNone/>
                  <wp:docPr id="32" name="图片_294"/>
                  <wp:cNvGraphicFramePr/>
                  <a:graphic xmlns:a="http://schemas.openxmlformats.org/drawingml/2006/main">
                    <a:graphicData uri="http://schemas.openxmlformats.org/drawingml/2006/picture">
                      <pic:pic xmlns:pic="http://schemas.openxmlformats.org/drawingml/2006/picture">
                        <pic:nvPicPr>
                          <pic:cNvPr id="32" name="图片_294"/>
                          <pic:cNvPicPr/>
                        </pic:nvPicPr>
                        <pic:blipFill>
                          <a:blip r:embed="rId142"/>
                          <a:stretch>
                            <a:fillRect/>
                          </a:stretch>
                        </pic:blipFill>
                        <pic:spPr>
                          <a:xfrm>
                            <a:off x="0" y="0"/>
                            <a:ext cx="661035" cy="10502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1</w:t>
            </w:r>
          </w:p>
        </w:tc>
        <w:tc>
          <w:tcPr>
            <w:tcW w:w="808"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器械柜</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752475" cy="870585"/>
                  <wp:effectExtent l="0" t="0" r="0" b="0"/>
                  <wp:wrapNone/>
                  <wp:docPr id="43" name="AutoShape_1791"/>
                  <wp:cNvGraphicFramePr/>
                  <a:graphic xmlns:a="http://schemas.openxmlformats.org/drawingml/2006/main">
                    <a:graphicData uri="http://schemas.openxmlformats.org/drawingml/2006/picture">
                      <pic:pic xmlns:pic="http://schemas.openxmlformats.org/drawingml/2006/picture">
                        <pic:nvPicPr>
                          <pic:cNvPr id="43" name="AutoShape_1791"/>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752475" cy="870585"/>
                  <wp:effectExtent l="0" t="0" r="0" b="0"/>
                  <wp:wrapNone/>
                  <wp:docPr id="35" name="AutoShape_1791_SpCnt_1"/>
                  <wp:cNvGraphicFramePr/>
                  <a:graphic xmlns:a="http://schemas.openxmlformats.org/drawingml/2006/main">
                    <a:graphicData uri="http://schemas.openxmlformats.org/drawingml/2006/picture">
                      <pic:pic xmlns:pic="http://schemas.openxmlformats.org/drawingml/2006/picture">
                        <pic:nvPicPr>
                          <pic:cNvPr id="35" name="AutoShape_1791_SpCnt_1"/>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752475" cy="870585"/>
                  <wp:effectExtent l="0" t="0" r="0" b="0"/>
                  <wp:wrapNone/>
                  <wp:docPr id="36" name="AutoShape_1791_SpCnt_2"/>
                  <wp:cNvGraphicFramePr/>
                  <a:graphic xmlns:a="http://schemas.openxmlformats.org/drawingml/2006/main">
                    <a:graphicData uri="http://schemas.openxmlformats.org/drawingml/2006/picture">
                      <pic:pic xmlns:pic="http://schemas.openxmlformats.org/drawingml/2006/picture">
                        <pic:nvPicPr>
                          <pic:cNvPr id="36" name="AutoShape_1791_SpCnt_2"/>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752475" cy="870585"/>
                  <wp:effectExtent l="0" t="0" r="0" b="0"/>
                  <wp:wrapNone/>
                  <wp:docPr id="42" name="AutoShape_1791_SpCnt_3"/>
                  <wp:cNvGraphicFramePr/>
                  <a:graphic xmlns:a="http://schemas.openxmlformats.org/drawingml/2006/main">
                    <a:graphicData uri="http://schemas.openxmlformats.org/drawingml/2006/picture">
                      <pic:pic xmlns:pic="http://schemas.openxmlformats.org/drawingml/2006/picture">
                        <pic:nvPicPr>
                          <pic:cNvPr id="42" name="AutoShape_1791_SpCnt_3"/>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2" name="AutoShape_1791_SpCnt_4"/>
                  <wp:cNvGraphicFramePr/>
                  <a:graphic xmlns:a="http://schemas.openxmlformats.org/drawingml/2006/main">
                    <a:graphicData uri="http://schemas.openxmlformats.org/drawingml/2006/picture">
                      <pic:pic xmlns:pic="http://schemas.openxmlformats.org/drawingml/2006/picture">
                        <pic:nvPicPr>
                          <pic:cNvPr id="202" name="AutoShape_1791_SpCnt_4"/>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5" name="AutoShape_1791_SpCnt_5"/>
                  <wp:cNvGraphicFramePr/>
                  <a:graphic xmlns:a="http://schemas.openxmlformats.org/drawingml/2006/main">
                    <a:graphicData uri="http://schemas.openxmlformats.org/drawingml/2006/picture">
                      <pic:pic xmlns:pic="http://schemas.openxmlformats.org/drawingml/2006/picture">
                        <pic:nvPicPr>
                          <pic:cNvPr id="205" name="AutoShape_1791_SpCnt_5"/>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752475" cy="870585"/>
                  <wp:effectExtent l="0" t="0" r="0" b="0"/>
                  <wp:wrapNone/>
                  <wp:docPr id="217" name="AutoShape_1791_SpCnt_6"/>
                  <wp:cNvGraphicFramePr/>
                  <a:graphic xmlns:a="http://schemas.openxmlformats.org/drawingml/2006/main">
                    <a:graphicData uri="http://schemas.openxmlformats.org/drawingml/2006/picture">
                      <pic:pic xmlns:pic="http://schemas.openxmlformats.org/drawingml/2006/picture">
                        <pic:nvPicPr>
                          <pic:cNvPr id="217" name="AutoShape_1791_SpCnt_6"/>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752475" cy="870585"/>
                  <wp:effectExtent l="0" t="0" r="0" b="0"/>
                  <wp:wrapNone/>
                  <wp:docPr id="222" name="AutoShape_1791_SpCnt_7"/>
                  <wp:cNvGraphicFramePr/>
                  <a:graphic xmlns:a="http://schemas.openxmlformats.org/drawingml/2006/main">
                    <a:graphicData uri="http://schemas.openxmlformats.org/drawingml/2006/picture">
                      <pic:pic xmlns:pic="http://schemas.openxmlformats.org/drawingml/2006/picture">
                        <pic:nvPicPr>
                          <pic:cNvPr id="222" name="AutoShape_1791_SpCnt_7"/>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7" name="AutoShape_1791_SpCnt_8"/>
                  <wp:cNvGraphicFramePr/>
                  <a:graphic xmlns:a="http://schemas.openxmlformats.org/drawingml/2006/main">
                    <a:graphicData uri="http://schemas.openxmlformats.org/drawingml/2006/picture">
                      <pic:pic xmlns:pic="http://schemas.openxmlformats.org/drawingml/2006/picture">
                        <pic:nvPicPr>
                          <pic:cNvPr id="207" name="AutoShape_1791_SpCnt_8"/>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1" name="AutoShape_1791_SpCnt_9"/>
                  <wp:cNvGraphicFramePr/>
                  <a:graphic xmlns:a="http://schemas.openxmlformats.org/drawingml/2006/main">
                    <a:graphicData uri="http://schemas.openxmlformats.org/drawingml/2006/picture">
                      <pic:pic xmlns:pic="http://schemas.openxmlformats.org/drawingml/2006/picture">
                        <pic:nvPicPr>
                          <pic:cNvPr id="201" name="AutoShape_1791_SpCnt_9"/>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752475" cy="870585"/>
                  <wp:effectExtent l="0" t="0" r="0" b="0"/>
                  <wp:wrapNone/>
                  <wp:docPr id="212" name="AutoShape_1791_SpCnt_10"/>
                  <wp:cNvGraphicFramePr/>
                  <a:graphic xmlns:a="http://schemas.openxmlformats.org/drawingml/2006/main">
                    <a:graphicData uri="http://schemas.openxmlformats.org/drawingml/2006/picture">
                      <pic:pic xmlns:pic="http://schemas.openxmlformats.org/drawingml/2006/picture">
                        <pic:nvPicPr>
                          <pic:cNvPr id="212" name="AutoShape_1791_SpCnt_10"/>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752475" cy="870585"/>
                  <wp:effectExtent l="0" t="0" r="0" b="0"/>
                  <wp:wrapNone/>
                  <wp:docPr id="213" name="AutoShape_1791_SpCnt_11"/>
                  <wp:cNvGraphicFramePr/>
                  <a:graphic xmlns:a="http://schemas.openxmlformats.org/drawingml/2006/main">
                    <a:graphicData uri="http://schemas.openxmlformats.org/drawingml/2006/picture">
                      <pic:pic xmlns:pic="http://schemas.openxmlformats.org/drawingml/2006/picture">
                        <pic:nvPicPr>
                          <pic:cNvPr id="213" name="AutoShape_1791_SpCnt_11"/>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752475" cy="870585"/>
                  <wp:effectExtent l="0" t="0" r="0" b="0"/>
                  <wp:wrapNone/>
                  <wp:docPr id="220" name="AutoShape_1791_SpCnt_12"/>
                  <wp:cNvGraphicFramePr/>
                  <a:graphic xmlns:a="http://schemas.openxmlformats.org/drawingml/2006/main">
                    <a:graphicData uri="http://schemas.openxmlformats.org/drawingml/2006/picture">
                      <pic:pic xmlns:pic="http://schemas.openxmlformats.org/drawingml/2006/picture">
                        <pic:nvPicPr>
                          <pic:cNvPr id="220" name="AutoShape_1791_SpCnt_12"/>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752475" cy="870585"/>
                  <wp:effectExtent l="0" t="0" r="0" b="0"/>
                  <wp:wrapNone/>
                  <wp:docPr id="218" name="AutoShape_1791_SpCnt_13"/>
                  <wp:cNvGraphicFramePr/>
                  <a:graphic xmlns:a="http://schemas.openxmlformats.org/drawingml/2006/main">
                    <a:graphicData uri="http://schemas.openxmlformats.org/drawingml/2006/picture">
                      <pic:pic xmlns:pic="http://schemas.openxmlformats.org/drawingml/2006/picture">
                        <pic:nvPicPr>
                          <pic:cNvPr id="218" name="AutoShape_1791_SpCnt_13"/>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752475" cy="870585"/>
                  <wp:effectExtent l="0" t="0" r="0" b="0"/>
                  <wp:wrapNone/>
                  <wp:docPr id="223" name="AutoShape_1791_SpCnt_14"/>
                  <wp:cNvGraphicFramePr/>
                  <a:graphic xmlns:a="http://schemas.openxmlformats.org/drawingml/2006/main">
                    <a:graphicData uri="http://schemas.openxmlformats.org/drawingml/2006/picture">
                      <pic:pic xmlns:pic="http://schemas.openxmlformats.org/drawingml/2006/picture">
                        <pic:nvPicPr>
                          <pic:cNvPr id="223" name="AutoShape_1791_SpCnt_14"/>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0" name="AutoShape_1791_SpCnt_15"/>
                  <wp:cNvGraphicFramePr/>
                  <a:graphic xmlns:a="http://schemas.openxmlformats.org/drawingml/2006/main">
                    <a:graphicData uri="http://schemas.openxmlformats.org/drawingml/2006/picture">
                      <pic:pic xmlns:pic="http://schemas.openxmlformats.org/drawingml/2006/picture">
                        <pic:nvPicPr>
                          <pic:cNvPr id="200" name="AutoShape_1791_SpCnt_15"/>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752475" cy="870585"/>
                  <wp:effectExtent l="0" t="0" r="0" b="0"/>
                  <wp:wrapNone/>
                  <wp:docPr id="210" name="AutoShape_1791_SpCnt_16"/>
                  <wp:cNvGraphicFramePr/>
                  <a:graphic xmlns:a="http://schemas.openxmlformats.org/drawingml/2006/main">
                    <a:graphicData uri="http://schemas.openxmlformats.org/drawingml/2006/picture">
                      <pic:pic xmlns:pic="http://schemas.openxmlformats.org/drawingml/2006/picture">
                        <pic:nvPicPr>
                          <pic:cNvPr id="210" name="AutoShape_1791_SpCnt_16"/>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4" name="AutoShape_1791_SpCnt_17"/>
                  <wp:cNvGraphicFramePr/>
                  <a:graphic xmlns:a="http://schemas.openxmlformats.org/drawingml/2006/main">
                    <a:graphicData uri="http://schemas.openxmlformats.org/drawingml/2006/picture">
                      <pic:pic xmlns:pic="http://schemas.openxmlformats.org/drawingml/2006/picture">
                        <pic:nvPicPr>
                          <pic:cNvPr id="204" name="AutoShape_1791_SpCnt_17"/>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3" name="AutoShape_1791_SpCnt_18"/>
                  <wp:cNvGraphicFramePr/>
                  <a:graphic xmlns:a="http://schemas.openxmlformats.org/drawingml/2006/main">
                    <a:graphicData uri="http://schemas.openxmlformats.org/drawingml/2006/picture">
                      <pic:pic xmlns:pic="http://schemas.openxmlformats.org/drawingml/2006/picture">
                        <pic:nvPicPr>
                          <pic:cNvPr id="203" name="AutoShape_1791_SpCnt_18"/>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752475" cy="870585"/>
                  <wp:effectExtent l="0" t="0" r="0" b="0"/>
                  <wp:wrapNone/>
                  <wp:docPr id="206" name="AutoShape_1791_SpCnt_19"/>
                  <wp:cNvGraphicFramePr/>
                  <a:graphic xmlns:a="http://schemas.openxmlformats.org/drawingml/2006/main">
                    <a:graphicData uri="http://schemas.openxmlformats.org/drawingml/2006/picture">
                      <pic:pic xmlns:pic="http://schemas.openxmlformats.org/drawingml/2006/picture">
                        <pic:nvPicPr>
                          <pic:cNvPr id="206" name="AutoShape_1791_SpCnt_19"/>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752475" cy="870585"/>
                  <wp:effectExtent l="0" t="0" r="0" b="0"/>
                  <wp:wrapNone/>
                  <wp:docPr id="198" name="AutoShape_1791_SpCnt_20"/>
                  <wp:cNvGraphicFramePr/>
                  <a:graphic xmlns:a="http://schemas.openxmlformats.org/drawingml/2006/main">
                    <a:graphicData uri="http://schemas.openxmlformats.org/drawingml/2006/picture">
                      <pic:pic xmlns:pic="http://schemas.openxmlformats.org/drawingml/2006/picture">
                        <pic:nvPicPr>
                          <pic:cNvPr id="198" name="AutoShape_1791_SpCnt_20"/>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752475" cy="870585"/>
                  <wp:effectExtent l="0" t="0" r="0" b="0"/>
                  <wp:wrapNone/>
                  <wp:docPr id="224" name="AutoShape_1791_SpCnt_21"/>
                  <wp:cNvGraphicFramePr/>
                  <a:graphic xmlns:a="http://schemas.openxmlformats.org/drawingml/2006/main">
                    <a:graphicData uri="http://schemas.openxmlformats.org/drawingml/2006/picture">
                      <pic:pic xmlns:pic="http://schemas.openxmlformats.org/drawingml/2006/picture">
                        <pic:nvPicPr>
                          <pic:cNvPr id="224" name="AutoShape_1791_SpCnt_21"/>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752475" cy="870585"/>
                  <wp:effectExtent l="0" t="0" r="0" b="0"/>
                  <wp:wrapNone/>
                  <wp:docPr id="199" name="AutoShape_1791_SpCnt_22"/>
                  <wp:cNvGraphicFramePr/>
                  <a:graphic xmlns:a="http://schemas.openxmlformats.org/drawingml/2006/main">
                    <a:graphicData uri="http://schemas.openxmlformats.org/drawingml/2006/picture">
                      <pic:pic xmlns:pic="http://schemas.openxmlformats.org/drawingml/2006/picture">
                        <pic:nvPicPr>
                          <pic:cNvPr id="199" name="AutoShape_1791_SpCnt_22"/>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752475" cy="870585"/>
                  <wp:effectExtent l="0" t="0" r="0" b="0"/>
                  <wp:wrapNone/>
                  <wp:docPr id="225" name="AutoShape_1791_SpCnt_23"/>
                  <wp:cNvGraphicFramePr/>
                  <a:graphic xmlns:a="http://schemas.openxmlformats.org/drawingml/2006/main">
                    <a:graphicData uri="http://schemas.openxmlformats.org/drawingml/2006/picture">
                      <pic:pic xmlns:pic="http://schemas.openxmlformats.org/drawingml/2006/picture">
                        <pic:nvPicPr>
                          <pic:cNvPr id="225" name="AutoShape_1791_SpCnt_23"/>
                          <pic:cNvPicPr/>
                        </pic:nvPicPr>
                        <pic:blipFill>
                          <a:blip r:embed="rId33"/>
                          <a:stretch>
                            <a:fillRect/>
                          </a:stretch>
                        </pic:blipFill>
                        <pic:spPr>
                          <a:xfrm>
                            <a:off x="0" y="0"/>
                            <a:ext cx="752475" cy="870585"/>
                          </a:xfrm>
                          <a:prstGeom prst="rect">
                            <a:avLst/>
                          </a:prstGeom>
                          <a:noFill/>
                          <a:ln>
                            <a:noFill/>
                          </a:ln>
                        </pic:spPr>
                      </pic:pic>
                    </a:graphicData>
                  </a:graphic>
                </wp:anchor>
              </w:drawing>
            </w:r>
            <w:r>
              <w:rPr>
                <w:rFonts w:hint="eastAsia" w:ascii="宋体" w:hAnsi="宋体" w:eastAsia="宋体" w:cs="宋体"/>
                <w:color w:val="000000"/>
                <w:kern w:val="0"/>
                <w:sz w:val="18"/>
                <w:szCs w:val="18"/>
                <w:lang w:bidi="ar"/>
              </w:rPr>
              <w:t>1200*400*1600</w:t>
            </w:r>
          </w:p>
        </w:tc>
        <w:tc>
          <w:tcPr>
            <w:tcW w:w="3683" w:type="dxa"/>
            <w:shd w:val="clear" w:color="auto"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冷轧钢板、厚度≥0.8mm，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1882496" behindDoc="0" locked="0" layoutInCell="1" allowOverlap="1">
                  <wp:simplePos x="0" y="0"/>
                  <wp:positionH relativeFrom="column">
                    <wp:posOffset>533400</wp:posOffset>
                  </wp:positionH>
                  <wp:positionV relativeFrom="paragraph">
                    <wp:posOffset>38100</wp:posOffset>
                  </wp:positionV>
                  <wp:extent cx="898525" cy="901065"/>
                  <wp:effectExtent l="0" t="0" r="15875" b="13335"/>
                  <wp:wrapNone/>
                  <wp:docPr id="208" name="图片_295"/>
                  <wp:cNvGraphicFramePr/>
                  <a:graphic xmlns:a="http://schemas.openxmlformats.org/drawingml/2006/main">
                    <a:graphicData uri="http://schemas.openxmlformats.org/drawingml/2006/picture">
                      <pic:pic xmlns:pic="http://schemas.openxmlformats.org/drawingml/2006/picture">
                        <pic:nvPicPr>
                          <pic:cNvPr id="208" name="图片_295"/>
                          <pic:cNvPicPr/>
                        </pic:nvPicPr>
                        <pic:blipFill>
                          <a:blip r:embed="rId143"/>
                          <a:stretch>
                            <a:fillRect/>
                          </a:stretch>
                        </pic:blipFill>
                        <pic:spPr>
                          <a:xfrm>
                            <a:off x="0" y="0"/>
                            <a:ext cx="898525" cy="901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2</w:t>
            </w:r>
          </w:p>
        </w:tc>
        <w:tc>
          <w:tcPr>
            <w:tcW w:w="808" w:type="dxa"/>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高低床</w:t>
            </w:r>
          </w:p>
        </w:tc>
        <w:tc>
          <w:tcPr>
            <w:tcW w:w="1144"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09" name="AutoShape_1664"/>
                  <wp:cNvGraphicFramePr/>
                  <a:graphic xmlns:a="http://schemas.openxmlformats.org/drawingml/2006/main">
                    <a:graphicData uri="http://schemas.openxmlformats.org/drawingml/2006/picture">
                      <pic:pic xmlns:pic="http://schemas.openxmlformats.org/drawingml/2006/picture">
                        <pic:nvPicPr>
                          <pic:cNvPr id="209" name="AutoShape_166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11" name="AutoShape_1664_SpCnt_1"/>
                  <wp:cNvGraphicFramePr/>
                  <a:graphic xmlns:a="http://schemas.openxmlformats.org/drawingml/2006/main">
                    <a:graphicData uri="http://schemas.openxmlformats.org/drawingml/2006/picture">
                      <pic:pic xmlns:pic="http://schemas.openxmlformats.org/drawingml/2006/picture">
                        <pic:nvPicPr>
                          <pic:cNvPr id="211" name="AutoShape_1664_SpCnt_1"/>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14" name="AutoShape_1664_SpCnt_2"/>
                  <wp:cNvGraphicFramePr/>
                  <a:graphic xmlns:a="http://schemas.openxmlformats.org/drawingml/2006/main">
                    <a:graphicData uri="http://schemas.openxmlformats.org/drawingml/2006/picture">
                      <pic:pic xmlns:pic="http://schemas.openxmlformats.org/drawingml/2006/picture">
                        <pic:nvPicPr>
                          <pic:cNvPr id="214" name="AutoShape_1664_SpCnt_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215" name="AutoShape_1791_SpCnt_24"/>
                  <wp:cNvGraphicFramePr/>
                  <a:graphic xmlns:a="http://schemas.openxmlformats.org/drawingml/2006/main">
                    <a:graphicData uri="http://schemas.openxmlformats.org/drawingml/2006/picture">
                      <pic:pic xmlns:pic="http://schemas.openxmlformats.org/drawingml/2006/picture">
                        <pic:nvPicPr>
                          <pic:cNvPr id="215" name="AutoShape_1791_SpCnt_24"/>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786765" cy="1412240"/>
                  <wp:effectExtent l="0" t="0" r="0" b="0"/>
                  <wp:wrapNone/>
                  <wp:docPr id="216" name="AutoShape_1664_SpCnt_3"/>
                  <wp:cNvGraphicFramePr/>
                  <a:graphic xmlns:a="http://schemas.openxmlformats.org/drawingml/2006/main">
                    <a:graphicData uri="http://schemas.openxmlformats.org/drawingml/2006/picture">
                      <pic:pic xmlns:pic="http://schemas.openxmlformats.org/drawingml/2006/picture">
                        <pic:nvPicPr>
                          <pic:cNvPr id="216" name="AutoShape_1664_SpCnt_3"/>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219" name="AutoShape_1791_SpCnt_25"/>
                  <wp:cNvGraphicFramePr/>
                  <a:graphic xmlns:a="http://schemas.openxmlformats.org/drawingml/2006/main">
                    <a:graphicData uri="http://schemas.openxmlformats.org/drawingml/2006/picture">
                      <pic:pic xmlns:pic="http://schemas.openxmlformats.org/drawingml/2006/picture">
                        <pic:nvPicPr>
                          <pic:cNvPr id="219" name="AutoShape_1791_SpCnt_2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752475" cy="1412240"/>
                  <wp:effectExtent l="0" t="0" r="0" b="0"/>
                  <wp:wrapNone/>
                  <wp:docPr id="221" name="AutoShape_1791_SpCnt_26"/>
                  <wp:cNvGraphicFramePr/>
                  <a:graphic xmlns:a="http://schemas.openxmlformats.org/drawingml/2006/main">
                    <a:graphicData uri="http://schemas.openxmlformats.org/drawingml/2006/picture">
                      <pic:pic xmlns:pic="http://schemas.openxmlformats.org/drawingml/2006/picture">
                        <pic:nvPicPr>
                          <pic:cNvPr id="221" name="AutoShape_1791_SpCnt_26"/>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1" name="AutoShape_1664_SpCnt_4"/>
                  <wp:cNvGraphicFramePr/>
                  <a:graphic xmlns:a="http://schemas.openxmlformats.org/drawingml/2006/main">
                    <a:graphicData uri="http://schemas.openxmlformats.org/drawingml/2006/picture">
                      <pic:pic xmlns:pic="http://schemas.openxmlformats.org/drawingml/2006/picture">
                        <pic:nvPicPr>
                          <pic:cNvPr id="291" name="AutoShape_1664_SpCnt_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3" name="AutoShape_1664_SpCnt_5"/>
                  <wp:cNvGraphicFramePr/>
                  <a:graphic xmlns:a="http://schemas.openxmlformats.org/drawingml/2006/main">
                    <a:graphicData uri="http://schemas.openxmlformats.org/drawingml/2006/picture">
                      <pic:pic xmlns:pic="http://schemas.openxmlformats.org/drawingml/2006/picture">
                        <pic:nvPicPr>
                          <pic:cNvPr id="313" name="AutoShape_1664_SpCnt_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8" name="AutoShape_1664_SpCnt_6"/>
                  <wp:cNvGraphicFramePr/>
                  <a:graphic xmlns:a="http://schemas.openxmlformats.org/drawingml/2006/main">
                    <a:graphicData uri="http://schemas.openxmlformats.org/drawingml/2006/picture">
                      <pic:pic xmlns:pic="http://schemas.openxmlformats.org/drawingml/2006/picture">
                        <pic:nvPicPr>
                          <pic:cNvPr id="318" name="AutoShape_1664_SpCnt_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786765" cy="1412240"/>
                  <wp:effectExtent l="0" t="0" r="0" b="0"/>
                  <wp:wrapNone/>
                  <wp:docPr id="302" name="AutoShape_1664_SpCnt_7"/>
                  <wp:cNvGraphicFramePr/>
                  <a:graphic xmlns:a="http://schemas.openxmlformats.org/drawingml/2006/main">
                    <a:graphicData uri="http://schemas.openxmlformats.org/drawingml/2006/picture">
                      <pic:pic xmlns:pic="http://schemas.openxmlformats.org/drawingml/2006/picture">
                        <pic:nvPicPr>
                          <pic:cNvPr id="302" name="AutoShape_1664_SpCnt_7"/>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4" name="AutoShape_1664_SpCnt_8"/>
                  <wp:cNvGraphicFramePr/>
                  <a:graphic xmlns:a="http://schemas.openxmlformats.org/drawingml/2006/main">
                    <a:graphicData uri="http://schemas.openxmlformats.org/drawingml/2006/picture">
                      <pic:pic xmlns:pic="http://schemas.openxmlformats.org/drawingml/2006/picture">
                        <pic:nvPicPr>
                          <pic:cNvPr id="314" name="AutoShape_1664_SpCnt_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1" name="AutoShape_1664_SpCnt_9"/>
                  <wp:cNvGraphicFramePr/>
                  <a:graphic xmlns:a="http://schemas.openxmlformats.org/drawingml/2006/main">
                    <a:graphicData uri="http://schemas.openxmlformats.org/drawingml/2006/picture">
                      <pic:pic xmlns:pic="http://schemas.openxmlformats.org/drawingml/2006/picture">
                        <pic:nvPicPr>
                          <pic:cNvPr id="301" name="AutoShape_1664_SpCnt_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5" name="AutoShape_1664_SpCnt_10"/>
                  <wp:cNvGraphicFramePr/>
                  <a:graphic xmlns:a="http://schemas.openxmlformats.org/drawingml/2006/main">
                    <a:graphicData uri="http://schemas.openxmlformats.org/drawingml/2006/picture">
                      <pic:pic xmlns:pic="http://schemas.openxmlformats.org/drawingml/2006/picture">
                        <pic:nvPicPr>
                          <pic:cNvPr id="315" name="AutoShape_1664_SpCnt_1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7" name="AutoShape_1664_SpCnt_11"/>
                  <wp:cNvGraphicFramePr/>
                  <a:graphic xmlns:a="http://schemas.openxmlformats.org/drawingml/2006/main">
                    <a:graphicData uri="http://schemas.openxmlformats.org/drawingml/2006/picture">
                      <pic:pic xmlns:pic="http://schemas.openxmlformats.org/drawingml/2006/picture">
                        <pic:nvPicPr>
                          <pic:cNvPr id="307" name="AutoShape_1664_SpCnt_1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9" name="AutoShape_1664_SpCnt_12"/>
                  <wp:cNvGraphicFramePr/>
                  <a:graphic xmlns:a="http://schemas.openxmlformats.org/drawingml/2006/main">
                    <a:graphicData uri="http://schemas.openxmlformats.org/drawingml/2006/picture">
                      <pic:pic xmlns:pic="http://schemas.openxmlformats.org/drawingml/2006/picture">
                        <pic:nvPicPr>
                          <pic:cNvPr id="309" name="AutoShape_1664_SpCnt_1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2" name="AutoShape_1664_SpCnt_13"/>
                  <wp:cNvGraphicFramePr/>
                  <a:graphic xmlns:a="http://schemas.openxmlformats.org/drawingml/2006/main">
                    <a:graphicData uri="http://schemas.openxmlformats.org/drawingml/2006/picture">
                      <pic:pic xmlns:pic="http://schemas.openxmlformats.org/drawingml/2006/picture">
                        <pic:nvPicPr>
                          <pic:cNvPr id="292" name="AutoShape_1664_SpCnt_1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3" name="AutoShape_1664_SpCnt_14"/>
                  <wp:cNvGraphicFramePr/>
                  <a:graphic xmlns:a="http://schemas.openxmlformats.org/drawingml/2006/main">
                    <a:graphicData uri="http://schemas.openxmlformats.org/drawingml/2006/picture">
                      <pic:pic xmlns:pic="http://schemas.openxmlformats.org/drawingml/2006/picture">
                        <pic:nvPicPr>
                          <pic:cNvPr id="303" name="AutoShape_1664_SpCnt_1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786765" cy="859790"/>
                  <wp:effectExtent l="0" t="0" r="0" b="0"/>
                  <wp:wrapNone/>
                  <wp:docPr id="320" name="AutoShape_1664_SpCnt_15"/>
                  <wp:cNvGraphicFramePr/>
                  <a:graphic xmlns:a="http://schemas.openxmlformats.org/drawingml/2006/main">
                    <a:graphicData uri="http://schemas.openxmlformats.org/drawingml/2006/picture">
                      <pic:pic xmlns:pic="http://schemas.openxmlformats.org/drawingml/2006/picture">
                        <pic:nvPicPr>
                          <pic:cNvPr id="320" name="AutoShape_1664_SpCnt_15"/>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8" name="AutoShape_1664_SpCnt_16"/>
                  <wp:cNvGraphicFramePr/>
                  <a:graphic xmlns:a="http://schemas.openxmlformats.org/drawingml/2006/main">
                    <a:graphicData uri="http://schemas.openxmlformats.org/drawingml/2006/picture">
                      <pic:pic xmlns:pic="http://schemas.openxmlformats.org/drawingml/2006/picture">
                        <pic:nvPicPr>
                          <pic:cNvPr id="298" name="AutoShape_1664_SpCnt_1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1" name="AutoShape_1664_SpCnt_17"/>
                  <wp:cNvGraphicFramePr/>
                  <a:graphic xmlns:a="http://schemas.openxmlformats.org/drawingml/2006/main">
                    <a:graphicData uri="http://schemas.openxmlformats.org/drawingml/2006/picture">
                      <pic:pic xmlns:pic="http://schemas.openxmlformats.org/drawingml/2006/picture">
                        <pic:nvPicPr>
                          <pic:cNvPr id="321" name="AutoShape_1664_SpCnt_1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6" name="AutoShape_1664_SpCnt_18"/>
                  <wp:cNvGraphicFramePr/>
                  <a:graphic xmlns:a="http://schemas.openxmlformats.org/drawingml/2006/main">
                    <a:graphicData uri="http://schemas.openxmlformats.org/drawingml/2006/picture">
                      <pic:pic xmlns:pic="http://schemas.openxmlformats.org/drawingml/2006/picture">
                        <pic:nvPicPr>
                          <pic:cNvPr id="296" name="AutoShape_1664_SpCnt_1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5" name="AutoShape_1664_SpCnt_19"/>
                  <wp:cNvGraphicFramePr/>
                  <a:graphic xmlns:a="http://schemas.openxmlformats.org/drawingml/2006/main">
                    <a:graphicData uri="http://schemas.openxmlformats.org/drawingml/2006/picture">
                      <pic:pic xmlns:pic="http://schemas.openxmlformats.org/drawingml/2006/picture">
                        <pic:nvPicPr>
                          <pic:cNvPr id="295" name="AutoShape_1664_SpCnt_1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7" name="AutoShape_1664_SpCnt_20"/>
                  <wp:cNvGraphicFramePr/>
                  <a:graphic xmlns:a="http://schemas.openxmlformats.org/drawingml/2006/main">
                    <a:graphicData uri="http://schemas.openxmlformats.org/drawingml/2006/picture">
                      <pic:pic xmlns:pic="http://schemas.openxmlformats.org/drawingml/2006/picture">
                        <pic:nvPicPr>
                          <pic:cNvPr id="297" name="AutoShape_1664_SpCnt_2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2" name="AutoShape_1664_SpCnt_21"/>
                  <wp:cNvGraphicFramePr/>
                  <a:graphic xmlns:a="http://schemas.openxmlformats.org/drawingml/2006/main">
                    <a:graphicData uri="http://schemas.openxmlformats.org/drawingml/2006/picture">
                      <pic:pic xmlns:pic="http://schemas.openxmlformats.org/drawingml/2006/picture">
                        <pic:nvPicPr>
                          <pic:cNvPr id="312" name="AutoShape_1664_SpCnt_2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4" name="AutoShape_1664_SpCnt_22"/>
                  <wp:cNvGraphicFramePr/>
                  <a:graphic xmlns:a="http://schemas.openxmlformats.org/drawingml/2006/main">
                    <a:graphicData uri="http://schemas.openxmlformats.org/drawingml/2006/picture">
                      <pic:pic xmlns:pic="http://schemas.openxmlformats.org/drawingml/2006/picture">
                        <pic:nvPicPr>
                          <pic:cNvPr id="304" name="AutoShape_1664_SpCnt_2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9" name="AutoShape_1664_SpCnt_23"/>
                  <wp:cNvGraphicFramePr/>
                  <a:graphic xmlns:a="http://schemas.openxmlformats.org/drawingml/2006/main">
                    <a:graphicData uri="http://schemas.openxmlformats.org/drawingml/2006/picture">
                      <pic:pic xmlns:pic="http://schemas.openxmlformats.org/drawingml/2006/picture">
                        <pic:nvPicPr>
                          <pic:cNvPr id="299" name="AutoShape_1664_SpCnt_2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0" name="AutoShape_1664_SpCnt_24"/>
                  <wp:cNvGraphicFramePr/>
                  <a:graphic xmlns:a="http://schemas.openxmlformats.org/drawingml/2006/main">
                    <a:graphicData uri="http://schemas.openxmlformats.org/drawingml/2006/picture">
                      <pic:pic xmlns:pic="http://schemas.openxmlformats.org/drawingml/2006/picture">
                        <pic:nvPicPr>
                          <pic:cNvPr id="290" name="AutoShape_1664_SpCnt_2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0" name="AutoShape_1664_SpCnt_25"/>
                  <wp:cNvGraphicFramePr/>
                  <a:graphic xmlns:a="http://schemas.openxmlformats.org/drawingml/2006/main">
                    <a:graphicData uri="http://schemas.openxmlformats.org/drawingml/2006/picture">
                      <pic:pic xmlns:pic="http://schemas.openxmlformats.org/drawingml/2006/picture">
                        <pic:nvPicPr>
                          <pic:cNvPr id="300" name="AutoShape_1664_SpCnt_2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1" name="AutoShape_1664_SpCnt_26"/>
                  <wp:cNvGraphicFramePr/>
                  <a:graphic xmlns:a="http://schemas.openxmlformats.org/drawingml/2006/main">
                    <a:graphicData uri="http://schemas.openxmlformats.org/drawingml/2006/picture">
                      <pic:pic xmlns:pic="http://schemas.openxmlformats.org/drawingml/2006/picture">
                        <pic:nvPicPr>
                          <pic:cNvPr id="311" name="AutoShape_1664_SpCnt_2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3" name="AutoShape_1664_SpCnt_27"/>
                  <wp:cNvGraphicFramePr/>
                  <a:graphic xmlns:a="http://schemas.openxmlformats.org/drawingml/2006/main">
                    <a:graphicData uri="http://schemas.openxmlformats.org/drawingml/2006/picture">
                      <pic:pic xmlns:pic="http://schemas.openxmlformats.org/drawingml/2006/picture">
                        <pic:nvPicPr>
                          <pic:cNvPr id="293" name="AutoShape_1664_SpCnt_2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0" name="AutoShape_1664_SpCnt_28"/>
                  <wp:cNvGraphicFramePr/>
                  <a:graphic xmlns:a="http://schemas.openxmlformats.org/drawingml/2006/main">
                    <a:graphicData uri="http://schemas.openxmlformats.org/drawingml/2006/picture">
                      <pic:pic xmlns:pic="http://schemas.openxmlformats.org/drawingml/2006/picture">
                        <pic:nvPicPr>
                          <pic:cNvPr id="310" name="AutoShape_1664_SpCnt_2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6" name="AutoShape_1664_SpCnt_29"/>
                  <wp:cNvGraphicFramePr/>
                  <a:graphic xmlns:a="http://schemas.openxmlformats.org/drawingml/2006/main">
                    <a:graphicData uri="http://schemas.openxmlformats.org/drawingml/2006/picture">
                      <pic:pic xmlns:pic="http://schemas.openxmlformats.org/drawingml/2006/picture">
                        <pic:nvPicPr>
                          <pic:cNvPr id="316" name="AutoShape_1664_SpCnt_2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5" name="AutoShape_1664_SpCnt_30"/>
                  <wp:cNvGraphicFramePr/>
                  <a:graphic xmlns:a="http://schemas.openxmlformats.org/drawingml/2006/main">
                    <a:graphicData uri="http://schemas.openxmlformats.org/drawingml/2006/picture">
                      <pic:pic xmlns:pic="http://schemas.openxmlformats.org/drawingml/2006/picture">
                        <pic:nvPicPr>
                          <pic:cNvPr id="305" name="AutoShape_1664_SpCnt_3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786765" cy="859790"/>
                  <wp:effectExtent l="0" t="0" r="0" b="0"/>
                  <wp:wrapNone/>
                  <wp:docPr id="306" name="AutoShape_1664_SpCnt_31"/>
                  <wp:cNvGraphicFramePr/>
                  <a:graphic xmlns:a="http://schemas.openxmlformats.org/drawingml/2006/main">
                    <a:graphicData uri="http://schemas.openxmlformats.org/drawingml/2006/picture">
                      <pic:pic xmlns:pic="http://schemas.openxmlformats.org/drawingml/2006/picture">
                        <pic:nvPicPr>
                          <pic:cNvPr id="306" name="AutoShape_1664_SpCnt_3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9" name="AutoShape_1664_SpCnt_32"/>
                  <wp:cNvGraphicFramePr/>
                  <a:graphic xmlns:a="http://schemas.openxmlformats.org/drawingml/2006/main">
                    <a:graphicData uri="http://schemas.openxmlformats.org/drawingml/2006/picture">
                      <pic:pic xmlns:pic="http://schemas.openxmlformats.org/drawingml/2006/picture">
                        <pic:nvPicPr>
                          <pic:cNvPr id="319" name="AutoShape_1664_SpCnt_3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08" name="AutoShape_1664_SpCnt_33"/>
                  <wp:cNvGraphicFramePr/>
                  <a:graphic xmlns:a="http://schemas.openxmlformats.org/drawingml/2006/main">
                    <a:graphicData uri="http://schemas.openxmlformats.org/drawingml/2006/picture">
                      <pic:pic xmlns:pic="http://schemas.openxmlformats.org/drawingml/2006/picture">
                        <pic:nvPicPr>
                          <pic:cNvPr id="308" name="AutoShape_1664_SpCnt_3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294" name="AutoShape_1664_SpCnt_34"/>
                  <wp:cNvGraphicFramePr/>
                  <a:graphic xmlns:a="http://schemas.openxmlformats.org/drawingml/2006/main">
                    <a:graphicData uri="http://schemas.openxmlformats.org/drawingml/2006/picture">
                      <pic:pic xmlns:pic="http://schemas.openxmlformats.org/drawingml/2006/picture">
                        <pic:nvPicPr>
                          <pic:cNvPr id="294" name="AutoShape_1664_SpCnt_3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17" name="AutoShape_1664_SpCnt_35"/>
                  <wp:cNvGraphicFramePr/>
                  <a:graphic xmlns:a="http://schemas.openxmlformats.org/drawingml/2006/main">
                    <a:graphicData uri="http://schemas.openxmlformats.org/drawingml/2006/picture">
                      <pic:pic xmlns:pic="http://schemas.openxmlformats.org/drawingml/2006/picture">
                        <pic:nvPicPr>
                          <pic:cNvPr id="317" name="AutoShape_1664_SpCnt_3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0" name="AutoShape_1664_SpCnt_36"/>
                  <wp:cNvGraphicFramePr/>
                  <a:graphic xmlns:a="http://schemas.openxmlformats.org/drawingml/2006/main">
                    <a:graphicData uri="http://schemas.openxmlformats.org/drawingml/2006/picture">
                      <pic:pic xmlns:pic="http://schemas.openxmlformats.org/drawingml/2006/picture">
                        <pic:nvPicPr>
                          <pic:cNvPr id="350" name="AutoShape_1664_SpCnt_3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4" name="AutoShape_1664_SpCnt_37"/>
                  <wp:cNvGraphicFramePr/>
                  <a:graphic xmlns:a="http://schemas.openxmlformats.org/drawingml/2006/main">
                    <a:graphicData uri="http://schemas.openxmlformats.org/drawingml/2006/picture">
                      <pic:pic xmlns:pic="http://schemas.openxmlformats.org/drawingml/2006/picture">
                        <pic:nvPicPr>
                          <pic:cNvPr id="344" name="AutoShape_1664_SpCnt_3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7" name="AutoShape_1664_SpCnt_38"/>
                  <wp:cNvGraphicFramePr/>
                  <a:graphic xmlns:a="http://schemas.openxmlformats.org/drawingml/2006/main">
                    <a:graphicData uri="http://schemas.openxmlformats.org/drawingml/2006/picture">
                      <pic:pic xmlns:pic="http://schemas.openxmlformats.org/drawingml/2006/picture">
                        <pic:nvPicPr>
                          <pic:cNvPr id="327" name="AutoShape_1664_SpCnt_3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1" name="AutoShape_1664_SpCnt_39"/>
                  <wp:cNvGraphicFramePr/>
                  <a:graphic xmlns:a="http://schemas.openxmlformats.org/drawingml/2006/main">
                    <a:graphicData uri="http://schemas.openxmlformats.org/drawingml/2006/picture">
                      <pic:pic xmlns:pic="http://schemas.openxmlformats.org/drawingml/2006/picture">
                        <pic:nvPicPr>
                          <pic:cNvPr id="351" name="AutoShape_1664_SpCnt_3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2" name="AutoShape_1664_SpCnt_40"/>
                  <wp:cNvGraphicFramePr/>
                  <a:graphic xmlns:a="http://schemas.openxmlformats.org/drawingml/2006/main">
                    <a:graphicData uri="http://schemas.openxmlformats.org/drawingml/2006/picture">
                      <pic:pic xmlns:pic="http://schemas.openxmlformats.org/drawingml/2006/picture">
                        <pic:nvPicPr>
                          <pic:cNvPr id="352" name="AutoShape_1664_SpCnt_4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3" name="AutoShape_1664_SpCnt_41"/>
                  <wp:cNvGraphicFramePr/>
                  <a:graphic xmlns:a="http://schemas.openxmlformats.org/drawingml/2006/main">
                    <a:graphicData uri="http://schemas.openxmlformats.org/drawingml/2006/picture">
                      <pic:pic xmlns:pic="http://schemas.openxmlformats.org/drawingml/2006/picture">
                        <pic:nvPicPr>
                          <pic:cNvPr id="333" name="AutoShape_1664_SpCnt_4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2" name="AutoShape_1664_SpCnt_42"/>
                  <wp:cNvGraphicFramePr/>
                  <a:graphic xmlns:a="http://schemas.openxmlformats.org/drawingml/2006/main">
                    <a:graphicData uri="http://schemas.openxmlformats.org/drawingml/2006/picture">
                      <pic:pic xmlns:pic="http://schemas.openxmlformats.org/drawingml/2006/picture">
                        <pic:nvPicPr>
                          <pic:cNvPr id="342" name="AutoShape_1664_SpCnt_4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2" name="AutoShape_1664_SpCnt_43"/>
                  <wp:cNvGraphicFramePr/>
                  <a:graphic xmlns:a="http://schemas.openxmlformats.org/drawingml/2006/main">
                    <a:graphicData uri="http://schemas.openxmlformats.org/drawingml/2006/picture">
                      <pic:pic xmlns:pic="http://schemas.openxmlformats.org/drawingml/2006/picture">
                        <pic:nvPicPr>
                          <pic:cNvPr id="322" name="AutoShape_1664_SpCnt_4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3" name="AutoShape_1664_SpCnt_44"/>
                  <wp:cNvGraphicFramePr/>
                  <a:graphic xmlns:a="http://schemas.openxmlformats.org/drawingml/2006/main">
                    <a:graphicData uri="http://schemas.openxmlformats.org/drawingml/2006/picture">
                      <pic:pic xmlns:pic="http://schemas.openxmlformats.org/drawingml/2006/picture">
                        <pic:nvPicPr>
                          <pic:cNvPr id="353" name="AutoShape_1664_SpCnt_4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7" name="AutoShape_1664_SpCnt_45"/>
                  <wp:cNvGraphicFramePr/>
                  <a:graphic xmlns:a="http://schemas.openxmlformats.org/drawingml/2006/main">
                    <a:graphicData uri="http://schemas.openxmlformats.org/drawingml/2006/picture">
                      <pic:pic xmlns:pic="http://schemas.openxmlformats.org/drawingml/2006/picture">
                        <pic:nvPicPr>
                          <pic:cNvPr id="347" name="AutoShape_1664_SpCnt_4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3" name="AutoShape_1664_SpCnt_46"/>
                  <wp:cNvGraphicFramePr/>
                  <a:graphic xmlns:a="http://schemas.openxmlformats.org/drawingml/2006/main">
                    <a:graphicData uri="http://schemas.openxmlformats.org/drawingml/2006/picture">
                      <pic:pic xmlns:pic="http://schemas.openxmlformats.org/drawingml/2006/picture">
                        <pic:nvPicPr>
                          <pic:cNvPr id="323" name="AutoShape_1664_SpCnt_4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786765" cy="859790"/>
                  <wp:effectExtent l="0" t="0" r="0" b="0"/>
                  <wp:wrapNone/>
                  <wp:docPr id="334" name="AutoShape_1664_SpCnt_47"/>
                  <wp:cNvGraphicFramePr/>
                  <a:graphic xmlns:a="http://schemas.openxmlformats.org/drawingml/2006/main">
                    <a:graphicData uri="http://schemas.openxmlformats.org/drawingml/2006/picture">
                      <pic:pic xmlns:pic="http://schemas.openxmlformats.org/drawingml/2006/picture">
                        <pic:nvPicPr>
                          <pic:cNvPr id="334" name="AutoShape_1664_SpCnt_4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7" name="AutoShape_1664_SpCnt_48"/>
                  <wp:cNvGraphicFramePr/>
                  <a:graphic xmlns:a="http://schemas.openxmlformats.org/drawingml/2006/main">
                    <a:graphicData uri="http://schemas.openxmlformats.org/drawingml/2006/picture">
                      <pic:pic xmlns:pic="http://schemas.openxmlformats.org/drawingml/2006/picture">
                        <pic:nvPicPr>
                          <pic:cNvPr id="337" name="AutoShape_1664_SpCnt_4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8" name="AutoShape_1664_SpCnt_49"/>
                  <wp:cNvGraphicFramePr/>
                  <a:graphic xmlns:a="http://schemas.openxmlformats.org/drawingml/2006/main">
                    <a:graphicData uri="http://schemas.openxmlformats.org/drawingml/2006/picture">
                      <pic:pic xmlns:pic="http://schemas.openxmlformats.org/drawingml/2006/picture">
                        <pic:nvPicPr>
                          <pic:cNvPr id="328" name="AutoShape_1664_SpCnt_4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9" name="AutoShape_1664_SpCnt_50"/>
                  <wp:cNvGraphicFramePr/>
                  <a:graphic xmlns:a="http://schemas.openxmlformats.org/drawingml/2006/main">
                    <a:graphicData uri="http://schemas.openxmlformats.org/drawingml/2006/picture">
                      <pic:pic xmlns:pic="http://schemas.openxmlformats.org/drawingml/2006/picture">
                        <pic:nvPicPr>
                          <pic:cNvPr id="329" name="AutoShape_1664_SpCnt_5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786765" cy="859790"/>
                  <wp:effectExtent l="0" t="0" r="0" b="0"/>
                  <wp:wrapNone/>
                  <wp:docPr id="324" name="AutoShape_1664_SpCnt_51"/>
                  <wp:cNvGraphicFramePr/>
                  <a:graphic xmlns:a="http://schemas.openxmlformats.org/drawingml/2006/main">
                    <a:graphicData uri="http://schemas.openxmlformats.org/drawingml/2006/picture">
                      <pic:pic xmlns:pic="http://schemas.openxmlformats.org/drawingml/2006/picture">
                        <pic:nvPicPr>
                          <pic:cNvPr id="324" name="AutoShape_1664_SpCnt_5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3" name="AutoShape_1664_SpCnt_52"/>
                  <wp:cNvGraphicFramePr/>
                  <a:graphic xmlns:a="http://schemas.openxmlformats.org/drawingml/2006/main">
                    <a:graphicData uri="http://schemas.openxmlformats.org/drawingml/2006/picture">
                      <pic:pic xmlns:pic="http://schemas.openxmlformats.org/drawingml/2006/picture">
                        <pic:nvPicPr>
                          <pic:cNvPr id="343" name="AutoShape_1664_SpCnt_5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26" name="AutoShape_1791_SpCnt_27"/>
                  <wp:cNvGraphicFramePr/>
                  <a:graphic xmlns:a="http://schemas.openxmlformats.org/drawingml/2006/main">
                    <a:graphicData uri="http://schemas.openxmlformats.org/drawingml/2006/picture">
                      <pic:pic xmlns:pic="http://schemas.openxmlformats.org/drawingml/2006/picture">
                        <pic:nvPicPr>
                          <pic:cNvPr id="326" name="AutoShape_1791_SpCnt_27"/>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5" name="AutoShape_1664_SpCnt_53"/>
                  <wp:cNvGraphicFramePr/>
                  <a:graphic xmlns:a="http://schemas.openxmlformats.org/drawingml/2006/main">
                    <a:graphicData uri="http://schemas.openxmlformats.org/drawingml/2006/picture">
                      <pic:pic xmlns:pic="http://schemas.openxmlformats.org/drawingml/2006/picture">
                        <pic:nvPicPr>
                          <pic:cNvPr id="335" name="AutoShape_1664_SpCnt_5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48" name="AutoShape_1791_SpCnt_28"/>
                  <wp:cNvGraphicFramePr/>
                  <a:graphic xmlns:a="http://schemas.openxmlformats.org/drawingml/2006/main">
                    <a:graphicData uri="http://schemas.openxmlformats.org/drawingml/2006/picture">
                      <pic:pic xmlns:pic="http://schemas.openxmlformats.org/drawingml/2006/picture">
                        <pic:nvPicPr>
                          <pic:cNvPr id="348" name="AutoShape_1791_SpCnt_2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38" name="AutoShape_1791_SpCnt_29"/>
                  <wp:cNvGraphicFramePr/>
                  <a:graphic xmlns:a="http://schemas.openxmlformats.org/drawingml/2006/main">
                    <a:graphicData uri="http://schemas.openxmlformats.org/drawingml/2006/picture">
                      <pic:pic xmlns:pic="http://schemas.openxmlformats.org/drawingml/2006/picture">
                        <pic:nvPicPr>
                          <pic:cNvPr id="338" name="AutoShape_1791_SpCnt_2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0" name="AutoShape_1664_SpCnt_54"/>
                  <wp:cNvGraphicFramePr/>
                  <a:graphic xmlns:a="http://schemas.openxmlformats.org/drawingml/2006/main">
                    <a:graphicData uri="http://schemas.openxmlformats.org/drawingml/2006/picture">
                      <pic:pic xmlns:pic="http://schemas.openxmlformats.org/drawingml/2006/picture">
                        <pic:nvPicPr>
                          <pic:cNvPr id="330" name="AutoShape_1664_SpCnt_5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36" name="AutoShape_1791_SpCnt_30"/>
                  <wp:cNvGraphicFramePr/>
                  <a:graphic xmlns:a="http://schemas.openxmlformats.org/drawingml/2006/main">
                    <a:graphicData uri="http://schemas.openxmlformats.org/drawingml/2006/picture">
                      <pic:pic xmlns:pic="http://schemas.openxmlformats.org/drawingml/2006/picture">
                        <pic:nvPicPr>
                          <pic:cNvPr id="336" name="AutoShape_1791_SpCnt_3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9" name="AutoShape_1664_SpCnt_55"/>
                  <wp:cNvGraphicFramePr/>
                  <a:graphic xmlns:a="http://schemas.openxmlformats.org/drawingml/2006/main">
                    <a:graphicData uri="http://schemas.openxmlformats.org/drawingml/2006/picture">
                      <pic:pic xmlns:pic="http://schemas.openxmlformats.org/drawingml/2006/picture">
                        <pic:nvPicPr>
                          <pic:cNvPr id="339" name="AutoShape_1664_SpCnt_5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25" name="AutoShape_1664_SpCnt_56"/>
                  <wp:cNvGraphicFramePr/>
                  <a:graphic xmlns:a="http://schemas.openxmlformats.org/drawingml/2006/main">
                    <a:graphicData uri="http://schemas.openxmlformats.org/drawingml/2006/picture">
                      <pic:pic xmlns:pic="http://schemas.openxmlformats.org/drawingml/2006/picture">
                        <pic:nvPicPr>
                          <pic:cNvPr id="325" name="AutoShape_1664_SpCnt_5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49" name="AutoShape_1791_SpCnt_31"/>
                  <wp:cNvGraphicFramePr/>
                  <a:graphic xmlns:a="http://schemas.openxmlformats.org/drawingml/2006/main">
                    <a:graphicData uri="http://schemas.openxmlformats.org/drawingml/2006/picture">
                      <pic:pic xmlns:pic="http://schemas.openxmlformats.org/drawingml/2006/picture">
                        <pic:nvPicPr>
                          <pic:cNvPr id="349" name="AutoShape_1791_SpCnt_31"/>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31" name="AutoShape_1664_SpCnt_57"/>
                  <wp:cNvGraphicFramePr/>
                  <a:graphic xmlns:a="http://schemas.openxmlformats.org/drawingml/2006/main">
                    <a:graphicData uri="http://schemas.openxmlformats.org/drawingml/2006/picture">
                      <pic:pic xmlns:pic="http://schemas.openxmlformats.org/drawingml/2006/picture">
                        <pic:nvPicPr>
                          <pic:cNvPr id="331" name="AutoShape_1664_SpCnt_5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332" name="AutoShape_1791_SpCnt_32"/>
                  <wp:cNvGraphicFramePr/>
                  <a:graphic xmlns:a="http://schemas.openxmlformats.org/drawingml/2006/main">
                    <a:graphicData uri="http://schemas.openxmlformats.org/drawingml/2006/picture">
                      <pic:pic xmlns:pic="http://schemas.openxmlformats.org/drawingml/2006/picture">
                        <pic:nvPicPr>
                          <pic:cNvPr id="332" name="AutoShape_1791_SpCnt_3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0" name="AutoShape_1664_SpCnt_58"/>
                  <wp:cNvGraphicFramePr/>
                  <a:graphic xmlns:a="http://schemas.openxmlformats.org/drawingml/2006/main">
                    <a:graphicData uri="http://schemas.openxmlformats.org/drawingml/2006/picture">
                      <pic:pic xmlns:pic="http://schemas.openxmlformats.org/drawingml/2006/picture">
                        <pic:nvPicPr>
                          <pic:cNvPr id="340" name="AutoShape_1664_SpCnt_5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1" name="AutoShape_1664_SpCnt_59"/>
                  <wp:cNvGraphicFramePr/>
                  <a:graphic xmlns:a="http://schemas.openxmlformats.org/drawingml/2006/main">
                    <a:graphicData uri="http://schemas.openxmlformats.org/drawingml/2006/picture">
                      <pic:pic xmlns:pic="http://schemas.openxmlformats.org/drawingml/2006/picture">
                        <pic:nvPicPr>
                          <pic:cNvPr id="341" name="AutoShape_1664_SpCnt_5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45" name="AutoShape_1791_SpCnt_33"/>
                  <wp:cNvGraphicFramePr/>
                  <a:graphic xmlns:a="http://schemas.openxmlformats.org/drawingml/2006/main">
                    <a:graphicData uri="http://schemas.openxmlformats.org/drawingml/2006/picture">
                      <pic:pic xmlns:pic="http://schemas.openxmlformats.org/drawingml/2006/picture">
                        <pic:nvPicPr>
                          <pic:cNvPr id="345" name="AutoShape_1791_SpCnt_3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46" name="AutoShape_1664_SpCnt_60"/>
                  <wp:cNvGraphicFramePr/>
                  <a:graphic xmlns:a="http://schemas.openxmlformats.org/drawingml/2006/main">
                    <a:graphicData uri="http://schemas.openxmlformats.org/drawingml/2006/picture">
                      <pic:pic xmlns:pic="http://schemas.openxmlformats.org/drawingml/2006/picture">
                        <pic:nvPicPr>
                          <pic:cNvPr id="346" name="AutoShape_1664_SpCnt_6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70" name="AutoShape_1791_SpCnt_34"/>
                  <wp:cNvGraphicFramePr/>
                  <a:graphic xmlns:a="http://schemas.openxmlformats.org/drawingml/2006/main">
                    <a:graphicData uri="http://schemas.openxmlformats.org/drawingml/2006/picture">
                      <pic:pic xmlns:pic="http://schemas.openxmlformats.org/drawingml/2006/picture">
                        <pic:nvPicPr>
                          <pic:cNvPr id="370" name="AutoShape_1791_SpCnt_34"/>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7" name="AutoShape_1664_SpCnt_61"/>
                  <wp:cNvGraphicFramePr/>
                  <a:graphic xmlns:a="http://schemas.openxmlformats.org/drawingml/2006/main">
                    <a:graphicData uri="http://schemas.openxmlformats.org/drawingml/2006/picture">
                      <pic:pic xmlns:pic="http://schemas.openxmlformats.org/drawingml/2006/picture">
                        <pic:nvPicPr>
                          <pic:cNvPr id="367" name="AutoShape_1664_SpCnt_6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7" name="AutoShape_1664_SpCnt_62"/>
                  <wp:cNvGraphicFramePr/>
                  <a:graphic xmlns:a="http://schemas.openxmlformats.org/drawingml/2006/main">
                    <a:graphicData uri="http://schemas.openxmlformats.org/drawingml/2006/picture">
                      <pic:pic xmlns:pic="http://schemas.openxmlformats.org/drawingml/2006/picture">
                        <pic:nvPicPr>
                          <pic:cNvPr id="357" name="AutoShape_1664_SpCnt_6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752475" cy="982345"/>
                  <wp:effectExtent l="0" t="0" r="0" b="0"/>
                  <wp:wrapNone/>
                  <wp:docPr id="355" name="AutoShape_1791_SpCnt_35"/>
                  <wp:cNvGraphicFramePr/>
                  <a:graphic xmlns:a="http://schemas.openxmlformats.org/drawingml/2006/main">
                    <a:graphicData uri="http://schemas.openxmlformats.org/drawingml/2006/picture">
                      <pic:pic xmlns:pic="http://schemas.openxmlformats.org/drawingml/2006/picture">
                        <pic:nvPicPr>
                          <pic:cNvPr id="355" name="AutoShape_1791_SpCnt_3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0" name="AutoShape_1664_SpCnt_63"/>
                  <wp:cNvGraphicFramePr/>
                  <a:graphic xmlns:a="http://schemas.openxmlformats.org/drawingml/2006/main">
                    <a:graphicData uri="http://schemas.openxmlformats.org/drawingml/2006/picture">
                      <pic:pic xmlns:pic="http://schemas.openxmlformats.org/drawingml/2006/picture">
                        <pic:nvPicPr>
                          <pic:cNvPr id="360" name="AutoShape_1664_SpCnt_6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8" name="AutoShape_1664_SpCnt_64"/>
                  <wp:cNvGraphicFramePr/>
                  <a:graphic xmlns:a="http://schemas.openxmlformats.org/drawingml/2006/main">
                    <a:graphicData uri="http://schemas.openxmlformats.org/drawingml/2006/picture">
                      <pic:pic xmlns:pic="http://schemas.openxmlformats.org/drawingml/2006/picture">
                        <pic:nvPicPr>
                          <pic:cNvPr id="368" name="AutoShape_1664_SpCnt_6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6" name="AutoShape_1664_SpCnt_65"/>
                  <wp:cNvGraphicFramePr/>
                  <a:graphic xmlns:a="http://schemas.openxmlformats.org/drawingml/2006/main">
                    <a:graphicData uri="http://schemas.openxmlformats.org/drawingml/2006/picture">
                      <pic:pic xmlns:pic="http://schemas.openxmlformats.org/drawingml/2006/picture">
                        <pic:nvPicPr>
                          <pic:cNvPr id="356" name="AutoShape_1664_SpCnt_6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8" name="AutoShape_1664_SpCnt_66"/>
                  <wp:cNvGraphicFramePr/>
                  <a:graphic xmlns:a="http://schemas.openxmlformats.org/drawingml/2006/main">
                    <a:graphicData uri="http://schemas.openxmlformats.org/drawingml/2006/picture">
                      <pic:pic xmlns:pic="http://schemas.openxmlformats.org/drawingml/2006/picture">
                        <pic:nvPicPr>
                          <pic:cNvPr id="358" name="AutoShape_1664_SpCnt_6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1" name="AutoShape_1664_SpCnt_67"/>
                  <wp:cNvGraphicFramePr/>
                  <a:graphic xmlns:a="http://schemas.openxmlformats.org/drawingml/2006/main">
                    <a:graphicData uri="http://schemas.openxmlformats.org/drawingml/2006/picture">
                      <pic:pic xmlns:pic="http://schemas.openxmlformats.org/drawingml/2006/picture">
                        <pic:nvPicPr>
                          <pic:cNvPr id="361" name="AutoShape_1664_SpCnt_6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85" name="AutoShape_1664_SpCnt_68"/>
                  <wp:cNvGraphicFramePr/>
                  <a:graphic xmlns:a="http://schemas.openxmlformats.org/drawingml/2006/main">
                    <a:graphicData uri="http://schemas.openxmlformats.org/drawingml/2006/picture">
                      <pic:pic xmlns:pic="http://schemas.openxmlformats.org/drawingml/2006/picture">
                        <pic:nvPicPr>
                          <pic:cNvPr id="385" name="AutoShape_1664_SpCnt_6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3" name="AutoShape_1664_SpCnt_69"/>
                  <wp:cNvGraphicFramePr/>
                  <a:graphic xmlns:a="http://schemas.openxmlformats.org/drawingml/2006/main">
                    <a:graphicData uri="http://schemas.openxmlformats.org/drawingml/2006/picture">
                      <pic:pic xmlns:pic="http://schemas.openxmlformats.org/drawingml/2006/picture">
                        <pic:nvPicPr>
                          <pic:cNvPr id="373" name="AutoShape_1664_SpCnt_6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84" name="AutoShape_1791_SpCnt_36"/>
                  <wp:cNvGraphicFramePr/>
                  <a:graphic xmlns:a="http://schemas.openxmlformats.org/drawingml/2006/main">
                    <a:graphicData uri="http://schemas.openxmlformats.org/drawingml/2006/picture">
                      <pic:pic xmlns:pic="http://schemas.openxmlformats.org/drawingml/2006/picture">
                        <pic:nvPicPr>
                          <pic:cNvPr id="384" name="AutoShape_1791_SpCnt_36"/>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4" name="AutoShape_1664_SpCnt_70"/>
                  <wp:cNvGraphicFramePr/>
                  <a:graphic xmlns:a="http://schemas.openxmlformats.org/drawingml/2006/main">
                    <a:graphicData uri="http://schemas.openxmlformats.org/drawingml/2006/picture">
                      <pic:pic xmlns:pic="http://schemas.openxmlformats.org/drawingml/2006/picture">
                        <pic:nvPicPr>
                          <pic:cNvPr id="364" name="AutoShape_1664_SpCnt_7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5" name="AutoShape_1664_SpCnt_71"/>
                  <wp:cNvGraphicFramePr/>
                  <a:graphic xmlns:a="http://schemas.openxmlformats.org/drawingml/2006/main">
                    <a:graphicData uri="http://schemas.openxmlformats.org/drawingml/2006/picture">
                      <pic:pic xmlns:pic="http://schemas.openxmlformats.org/drawingml/2006/picture">
                        <pic:nvPicPr>
                          <pic:cNvPr id="365" name="AutoShape_1664_SpCnt_7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1" name="AutoShape_1664_SpCnt_72"/>
                  <wp:cNvGraphicFramePr/>
                  <a:graphic xmlns:a="http://schemas.openxmlformats.org/drawingml/2006/main">
                    <a:graphicData uri="http://schemas.openxmlformats.org/drawingml/2006/picture">
                      <pic:pic xmlns:pic="http://schemas.openxmlformats.org/drawingml/2006/picture">
                        <pic:nvPicPr>
                          <pic:cNvPr id="371" name="AutoShape_1664_SpCnt_7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4" name="AutoShape_1664_SpCnt_73"/>
                  <wp:cNvGraphicFramePr/>
                  <a:graphic xmlns:a="http://schemas.openxmlformats.org/drawingml/2006/main">
                    <a:graphicData uri="http://schemas.openxmlformats.org/drawingml/2006/picture">
                      <pic:pic xmlns:pic="http://schemas.openxmlformats.org/drawingml/2006/picture">
                        <pic:nvPicPr>
                          <pic:cNvPr id="354" name="AutoShape_1664_SpCnt_7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3" name="AutoShape_1664_SpCnt_74"/>
                  <wp:cNvGraphicFramePr/>
                  <a:graphic xmlns:a="http://schemas.openxmlformats.org/drawingml/2006/main">
                    <a:graphicData uri="http://schemas.openxmlformats.org/drawingml/2006/picture">
                      <pic:pic xmlns:pic="http://schemas.openxmlformats.org/drawingml/2006/picture">
                        <pic:nvPicPr>
                          <pic:cNvPr id="363" name="AutoShape_1664_SpCnt_7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8" name="AutoShape_1664_SpCnt_75"/>
                  <wp:cNvGraphicFramePr/>
                  <a:graphic xmlns:a="http://schemas.openxmlformats.org/drawingml/2006/main">
                    <a:graphicData uri="http://schemas.openxmlformats.org/drawingml/2006/picture">
                      <pic:pic xmlns:pic="http://schemas.openxmlformats.org/drawingml/2006/picture">
                        <pic:nvPicPr>
                          <pic:cNvPr id="378" name="AutoShape_1664_SpCnt_7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9" name="AutoShape_1664_SpCnt_76"/>
                  <wp:cNvGraphicFramePr/>
                  <a:graphic xmlns:a="http://schemas.openxmlformats.org/drawingml/2006/main">
                    <a:graphicData uri="http://schemas.openxmlformats.org/drawingml/2006/picture">
                      <pic:pic xmlns:pic="http://schemas.openxmlformats.org/drawingml/2006/picture">
                        <pic:nvPicPr>
                          <pic:cNvPr id="369" name="AutoShape_1664_SpCnt_7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786765" cy="859790"/>
                  <wp:effectExtent l="0" t="0" r="0" b="0"/>
                  <wp:wrapNone/>
                  <wp:docPr id="372" name="AutoShape_1664_SpCnt_77"/>
                  <wp:cNvGraphicFramePr/>
                  <a:graphic xmlns:a="http://schemas.openxmlformats.org/drawingml/2006/main">
                    <a:graphicData uri="http://schemas.openxmlformats.org/drawingml/2006/picture">
                      <pic:pic xmlns:pic="http://schemas.openxmlformats.org/drawingml/2006/picture">
                        <pic:nvPicPr>
                          <pic:cNvPr id="372" name="AutoShape_1664_SpCnt_7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4" name="AutoShape_1664_SpCnt_78"/>
                  <wp:cNvGraphicFramePr/>
                  <a:graphic xmlns:a="http://schemas.openxmlformats.org/drawingml/2006/main">
                    <a:graphicData uri="http://schemas.openxmlformats.org/drawingml/2006/picture">
                      <pic:pic xmlns:pic="http://schemas.openxmlformats.org/drawingml/2006/picture">
                        <pic:nvPicPr>
                          <pic:cNvPr id="374" name="AutoShape_1664_SpCnt_7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59" name="AutoShape_1664_SpCnt_79"/>
                  <wp:cNvGraphicFramePr/>
                  <a:graphic xmlns:a="http://schemas.openxmlformats.org/drawingml/2006/main">
                    <a:graphicData uri="http://schemas.openxmlformats.org/drawingml/2006/picture">
                      <pic:pic xmlns:pic="http://schemas.openxmlformats.org/drawingml/2006/picture">
                        <pic:nvPicPr>
                          <pic:cNvPr id="359" name="AutoShape_1664_SpCnt_7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6" name="AutoShape_1664_SpCnt_80"/>
                  <wp:cNvGraphicFramePr/>
                  <a:graphic xmlns:a="http://schemas.openxmlformats.org/drawingml/2006/main">
                    <a:graphicData uri="http://schemas.openxmlformats.org/drawingml/2006/picture">
                      <pic:pic xmlns:pic="http://schemas.openxmlformats.org/drawingml/2006/picture">
                        <pic:nvPicPr>
                          <pic:cNvPr id="366" name="AutoShape_1664_SpCnt_8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9" name="AutoShape_1664_SpCnt_81"/>
                  <wp:cNvGraphicFramePr/>
                  <a:graphic xmlns:a="http://schemas.openxmlformats.org/drawingml/2006/main">
                    <a:graphicData uri="http://schemas.openxmlformats.org/drawingml/2006/picture">
                      <pic:pic xmlns:pic="http://schemas.openxmlformats.org/drawingml/2006/picture">
                        <pic:nvPicPr>
                          <pic:cNvPr id="379" name="AutoShape_1664_SpCnt_8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5" name="AutoShape_1664_SpCnt_82"/>
                  <wp:cNvGraphicFramePr/>
                  <a:graphic xmlns:a="http://schemas.openxmlformats.org/drawingml/2006/main">
                    <a:graphicData uri="http://schemas.openxmlformats.org/drawingml/2006/picture">
                      <pic:pic xmlns:pic="http://schemas.openxmlformats.org/drawingml/2006/picture">
                        <pic:nvPicPr>
                          <pic:cNvPr id="375" name="AutoShape_1664_SpCnt_8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62" name="AutoShape_1664_SpCnt_83"/>
                  <wp:cNvGraphicFramePr/>
                  <a:graphic xmlns:a="http://schemas.openxmlformats.org/drawingml/2006/main">
                    <a:graphicData uri="http://schemas.openxmlformats.org/drawingml/2006/picture">
                      <pic:pic xmlns:pic="http://schemas.openxmlformats.org/drawingml/2006/picture">
                        <pic:nvPicPr>
                          <pic:cNvPr id="362" name="AutoShape_1664_SpCnt_8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7" name="AutoShape_1664_SpCnt_84"/>
                  <wp:cNvGraphicFramePr/>
                  <a:graphic xmlns:a="http://schemas.openxmlformats.org/drawingml/2006/main">
                    <a:graphicData uri="http://schemas.openxmlformats.org/drawingml/2006/picture">
                      <pic:pic xmlns:pic="http://schemas.openxmlformats.org/drawingml/2006/picture">
                        <pic:nvPicPr>
                          <pic:cNvPr id="377" name="AutoShape_1664_SpCnt_8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82" name="AutoShape_1791_SpCnt_37"/>
                  <wp:cNvGraphicFramePr/>
                  <a:graphic xmlns:a="http://schemas.openxmlformats.org/drawingml/2006/main">
                    <a:graphicData uri="http://schemas.openxmlformats.org/drawingml/2006/picture">
                      <pic:pic xmlns:pic="http://schemas.openxmlformats.org/drawingml/2006/picture">
                        <pic:nvPicPr>
                          <pic:cNvPr id="382" name="AutoShape_1791_SpCnt_37"/>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76" name="AutoShape_1664_SpCnt_85"/>
                  <wp:cNvGraphicFramePr/>
                  <a:graphic xmlns:a="http://schemas.openxmlformats.org/drawingml/2006/main">
                    <a:graphicData uri="http://schemas.openxmlformats.org/drawingml/2006/picture">
                      <pic:pic xmlns:pic="http://schemas.openxmlformats.org/drawingml/2006/picture">
                        <pic:nvPicPr>
                          <pic:cNvPr id="376" name="AutoShape_1664_SpCnt_8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80" name="AutoShape_1664_SpCnt_86"/>
                  <wp:cNvGraphicFramePr/>
                  <a:graphic xmlns:a="http://schemas.openxmlformats.org/drawingml/2006/main">
                    <a:graphicData uri="http://schemas.openxmlformats.org/drawingml/2006/picture">
                      <pic:pic xmlns:pic="http://schemas.openxmlformats.org/drawingml/2006/picture">
                        <pic:nvPicPr>
                          <pic:cNvPr id="380" name="AutoShape_1664_SpCnt_8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81" name="AutoShape_1664_SpCnt_87"/>
                  <wp:cNvGraphicFramePr/>
                  <a:graphic xmlns:a="http://schemas.openxmlformats.org/drawingml/2006/main">
                    <a:graphicData uri="http://schemas.openxmlformats.org/drawingml/2006/picture">
                      <pic:pic xmlns:pic="http://schemas.openxmlformats.org/drawingml/2006/picture">
                        <pic:nvPicPr>
                          <pic:cNvPr id="381" name="AutoShape_1664_SpCnt_8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786765" cy="1412240"/>
                  <wp:effectExtent l="0" t="0" r="0" b="0"/>
                  <wp:wrapNone/>
                  <wp:docPr id="383" name="AutoShape_1664_SpCnt_88"/>
                  <wp:cNvGraphicFramePr/>
                  <a:graphic xmlns:a="http://schemas.openxmlformats.org/drawingml/2006/main">
                    <a:graphicData uri="http://schemas.openxmlformats.org/drawingml/2006/picture">
                      <pic:pic xmlns:pic="http://schemas.openxmlformats.org/drawingml/2006/picture">
                        <pic:nvPicPr>
                          <pic:cNvPr id="383" name="AutoShape_1664_SpCnt_88"/>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6" name="AutoShape_1664_SpCnt_89"/>
                  <wp:cNvGraphicFramePr/>
                  <a:graphic xmlns:a="http://schemas.openxmlformats.org/drawingml/2006/main">
                    <a:graphicData uri="http://schemas.openxmlformats.org/drawingml/2006/picture">
                      <pic:pic xmlns:pic="http://schemas.openxmlformats.org/drawingml/2006/picture">
                        <pic:nvPicPr>
                          <pic:cNvPr id="416" name="AutoShape_1664_SpCnt_8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6" name="AutoShape_1664_SpCnt_90"/>
                  <wp:cNvGraphicFramePr/>
                  <a:graphic xmlns:a="http://schemas.openxmlformats.org/drawingml/2006/main">
                    <a:graphicData uri="http://schemas.openxmlformats.org/drawingml/2006/picture">
                      <pic:pic xmlns:pic="http://schemas.openxmlformats.org/drawingml/2006/picture">
                        <pic:nvPicPr>
                          <pic:cNvPr id="396" name="AutoShape_1664_SpCnt_9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88" name="AutoShape_1791_SpCnt_38"/>
                  <wp:cNvGraphicFramePr/>
                  <a:graphic xmlns:a="http://schemas.openxmlformats.org/drawingml/2006/main">
                    <a:graphicData uri="http://schemas.openxmlformats.org/drawingml/2006/picture">
                      <pic:pic xmlns:pic="http://schemas.openxmlformats.org/drawingml/2006/picture">
                        <pic:nvPicPr>
                          <pic:cNvPr id="388" name="AutoShape_1791_SpCnt_3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0" name="AutoShape_1664_SpCnt_91"/>
                  <wp:cNvGraphicFramePr/>
                  <a:graphic xmlns:a="http://schemas.openxmlformats.org/drawingml/2006/main">
                    <a:graphicData uri="http://schemas.openxmlformats.org/drawingml/2006/picture">
                      <pic:pic xmlns:pic="http://schemas.openxmlformats.org/drawingml/2006/picture">
                        <pic:nvPicPr>
                          <pic:cNvPr id="400" name="AutoShape_1664_SpCnt_9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1" name="AutoShape_1664_SpCnt_92"/>
                  <wp:cNvGraphicFramePr/>
                  <a:graphic xmlns:a="http://schemas.openxmlformats.org/drawingml/2006/main">
                    <a:graphicData uri="http://schemas.openxmlformats.org/drawingml/2006/picture">
                      <pic:pic xmlns:pic="http://schemas.openxmlformats.org/drawingml/2006/picture">
                        <pic:nvPicPr>
                          <pic:cNvPr id="401" name="AutoShape_1664_SpCnt_9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5" name="AutoShape_1664_SpCnt_93"/>
                  <wp:cNvGraphicFramePr/>
                  <a:graphic xmlns:a="http://schemas.openxmlformats.org/drawingml/2006/main">
                    <a:graphicData uri="http://schemas.openxmlformats.org/drawingml/2006/picture">
                      <pic:pic xmlns:pic="http://schemas.openxmlformats.org/drawingml/2006/picture">
                        <pic:nvPicPr>
                          <pic:cNvPr id="405" name="AutoShape_1664_SpCnt_9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786765" cy="903605"/>
                  <wp:effectExtent l="0" t="0" r="0" b="0"/>
                  <wp:wrapNone/>
                  <wp:docPr id="397" name="AutoShape_1664_SpCnt_94"/>
                  <wp:cNvGraphicFramePr/>
                  <a:graphic xmlns:a="http://schemas.openxmlformats.org/drawingml/2006/main">
                    <a:graphicData uri="http://schemas.openxmlformats.org/drawingml/2006/picture">
                      <pic:pic xmlns:pic="http://schemas.openxmlformats.org/drawingml/2006/picture">
                        <pic:nvPicPr>
                          <pic:cNvPr id="397" name="AutoShape_1664_SpCnt_9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1" name="AutoShape_1664_SpCnt_95"/>
                  <wp:cNvGraphicFramePr/>
                  <a:graphic xmlns:a="http://schemas.openxmlformats.org/drawingml/2006/main">
                    <a:graphicData uri="http://schemas.openxmlformats.org/drawingml/2006/picture">
                      <pic:pic xmlns:pic="http://schemas.openxmlformats.org/drawingml/2006/picture">
                        <pic:nvPicPr>
                          <pic:cNvPr id="391" name="AutoShape_1664_SpCnt_9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2" name="AutoShape_1664_SpCnt_96"/>
                  <wp:cNvGraphicFramePr/>
                  <a:graphic xmlns:a="http://schemas.openxmlformats.org/drawingml/2006/main">
                    <a:graphicData uri="http://schemas.openxmlformats.org/drawingml/2006/picture">
                      <pic:pic xmlns:pic="http://schemas.openxmlformats.org/drawingml/2006/picture">
                        <pic:nvPicPr>
                          <pic:cNvPr id="412" name="AutoShape_1664_SpCnt_9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6" name="AutoShape_1664_SpCnt_97"/>
                  <wp:cNvGraphicFramePr/>
                  <a:graphic xmlns:a="http://schemas.openxmlformats.org/drawingml/2006/main">
                    <a:graphicData uri="http://schemas.openxmlformats.org/drawingml/2006/picture">
                      <pic:pic xmlns:pic="http://schemas.openxmlformats.org/drawingml/2006/picture">
                        <pic:nvPicPr>
                          <pic:cNvPr id="406" name="AutoShape_1664_SpCnt_9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90" name="AutoShape_1791_SpCnt_39"/>
                  <wp:cNvGraphicFramePr/>
                  <a:graphic xmlns:a="http://schemas.openxmlformats.org/drawingml/2006/main">
                    <a:graphicData uri="http://schemas.openxmlformats.org/drawingml/2006/picture">
                      <pic:pic xmlns:pic="http://schemas.openxmlformats.org/drawingml/2006/picture">
                        <pic:nvPicPr>
                          <pic:cNvPr id="390" name="AutoShape_1791_SpCnt_3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9" name="AutoShape_1664_SpCnt_98"/>
                  <wp:cNvGraphicFramePr/>
                  <a:graphic xmlns:a="http://schemas.openxmlformats.org/drawingml/2006/main">
                    <a:graphicData uri="http://schemas.openxmlformats.org/drawingml/2006/picture">
                      <pic:pic xmlns:pic="http://schemas.openxmlformats.org/drawingml/2006/picture">
                        <pic:nvPicPr>
                          <pic:cNvPr id="399" name="AutoShape_1664_SpCnt_9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2" name="AutoShape_1664_SpCnt_99"/>
                  <wp:cNvGraphicFramePr/>
                  <a:graphic xmlns:a="http://schemas.openxmlformats.org/drawingml/2006/main">
                    <a:graphicData uri="http://schemas.openxmlformats.org/drawingml/2006/picture">
                      <pic:pic xmlns:pic="http://schemas.openxmlformats.org/drawingml/2006/picture">
                        <pic:nvPicPr>
                          <pic:cNvPr id="392" name="AutoShape_1664_SpCnt_9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3" name="AutoShape_1664_SpCnt_100"/>
                  <wp:cNvGraphicFramePr/>
                  <a:graphic xmlns:a="http://schemas.openxmlformats.org/drawingml/2006/main">
                    <a:graphicData uri="http://schemas.openxmlformats.org/drawingml/2006/picture">
                      <pic:pic xmlns:pic="http://schemas.openxmlformats.org/drawingml/2006/picture">
                        <pic:nvPicPr>
                          <pic:cNvPr id="413" name="AutoShape_1664_SpCnt_10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394" name="AutoShape_1664_SpCnt_101"/>
                  <wp:cNvGraphicFramePr/>
                  <a:graphic xmlns:a="http://schemas.openxmlformats.org/drawingml/2006/main">
                    <a:graphicData uri="http://schemas.openxmlformats.org/drawingml/2006/picture">
                      <pic:pic xmlns:pic="http://schemas.openxmlformats.org/drawingml/2006/picture">
                        <pic:nvPicPr>
                          <pic:cNvPr id="394" name="AutoShape_1664_SpCnt_10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389" name="AutoShape_1664_SpCnt_102"/>
                  <wp:cNvGraphicFramePr/>
                  <a:graphic xmlns:a="http://schemas.openxmlformats.org/drawingml/2006/main">
                    <a:graphicData uri="http://schemas.openxmlformats.org/drawingml/2006/picture">
                      <pic:pic xmlns:pic="http://schemas.openxmlformats.org/drawingml/2006/picture">
                        <pic:nvPicPr>
                          <pic:cNvPr id="389" name="AutoShape_1664_SpCnt_10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3" name="AutoShape_1664_SpCnt_103"/>
                  <wp:cNvGraphicFramePr/>
                  <a:graphic xmlns:a="http://schemas.openxmlformats.org/drawingml/2006/main">
                    <a:graphicData uri="http://schemas.openxmlformats.org/drawingml/2006/picture">
                      <pic:pic xmlns:pic="http://schemas.openxmlformats.org/drawingml/2006/picture">
                        <pic:nvPicPr>
                          <pic:cNvPr id="403" name="AutoShape_1664_SpCnt_10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4" name="AutoShape_1664_SpCnt_104"/>
                  <wp:cNvGraphicFramePr/>
                  <a:graphic xmlns:a="http://schemas.openxmlformats.org/drawingml/2006/main">
                    <a:graphicData uri="http://schemas.openxmlformats.org/drawingml/2006/picture">
                      <pic:pic xmlns:pic="http://schemas.openxmlformats.org/drawingml/2006/picture">
                        <pic:nvPicPr>
                          <pic:cNvPr id="404" name="AutoShape_1664_SpCnt_10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7" name="AutoShape_1664_SpCnt_105"/>
                  <wp:cNvGraphicFramePr/>
                  <a:graphic xmlns:a="http://schemas.openxmlformats.org/drawingml/2006/main">
                    <a:graphicData uri="http://schemas.openxmlformats.org/drawingml/2006/picture">
                      <pic:pic xmlns:pic="http://schemas.openxmlformats.org/drawingml/2006/picture">
                        <pic:nvPicPr>
                          <pic:cNvPr id="407" name="AutoShape_1664_SpCnt_10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08" name="AutoShape_1791_SpCnt_40"/>
                  <wp:cNvGraphicFramePr/>
                  <a:graphic xmlns:a="http://schemas.openxmlformats.org/drawingml/2006/main">
                    <a:graphicData uri="http://schemas.openxmlformats.org/drawingml/2006/picture">
                      <pic:pic xmlns:pic="http://schemas.openxmlformats.org/drawingml/2006/picture">
                        <pic:nvPicPr>
                          <pic:cNvPr id="408" name="AutoShape_1791_SpCnt_4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8" name="AutoShape_1664_SpCnt_106"/>
                  <wp:cNvGraphicFramePr/>
                  <a:graphic xmlns:a="http://schemas.openxmlformats.org/drawingml/2006/main">
                    <a:graphicData uri="http://schemas.openxmlformats.org/drawingml/2006/picture">
                      <pic:pic xmlns:pic="http://schemas.openxmlformats.org/drawingml/2006/picture">
                        <pic:nvPicPr>
                          <pic:cNvPr id="398" name="AutoShape_1664_SpCnt_10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3" name="AutoShape_1664_SpCnt_107"/>
                  <wp:cNvGraphicFramePr/>
                  <a:graphic xmlns:a="http://schemas.openxmlformats.org/drawingml/2006/main">
                    <a:graphicData uri="http://schemas.openxmlformats.org/drawingml/2006/picture">
                      <pic:pic xmlns:pic="http://schemas.openxmlformats.org/drawingml/2006/picture">
                        <pic:nvPicPr>
                          <pic:cNvPr id="393" name="AutoShape_1664_SpCnt_10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7" name="AutoShape_1664_SpCnt_108"/>
                  <wp:cNvGraphicFramePr/>
                  <a:graphic xmlns:a="http://schemas.openxmlformats.org/drawingml/2006/main">
                    <a:graphicData uri="http://schemas.openxmlformats.org/drawingml/2006/picture">
                      <pic:pic xmlns:pic="http://schemas.openxmlformats.org/drawingml/2006/picture">
                        <pic:nvPicPr>
                          <pic:cNvPr id="417" name="AutoShape_1664_SpCnt_10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2" name="AutoShape_1664_SpCnt_109"/>
                  <wp:cNvGraphicFramePr/>
                  <a:graphic xmlns:a="http://schemas.openxmlformats.org/drawingml/2006/main">
                    <a:graphicData uri="http://schemas.openxmlformats.org/drawingml/2006/picture">
                      <pic:pic xmlns:pic="http://schemas.openxmlformats.org/drawingml/2006/picture">
                        <pic:nvPicPr>
                          <pic:cNvPr id="402" name="AutoShape_1664_SpCnt_10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86" name="AutoShape_1664_SpCnt_110"/>
                  <wp:cNvGraphicFramePr/>
                  <a:graphic xmlns:a="http://schemas.openxmlformats.org/drawingml/2006/main">
                    <a:graphicData uri="http://schemas.openxmlformats.org/drawingml/2006/picture">
                      <pic:pic xmlns:pic="http://schemas.openxmlformats.org/drawingml/2006/picture">
                        <pic:nvPicPr>
                          <pic:cNvPr id="386" name="AutoShape_1664_SpCnt_11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09" name="AutoShape_1664_SpCnt_111"/>
                  <wp:cNvGraphicFramePr/>
                  <a:graphic xmlns:a="http://schemas.openxmlformats.org/drawingml/2006/main">
                    <a:graphicData uri="http://schemas.openxmlformats.org/drawingml/2006/picture">
                      <pic:pic xmlns:pic="http://schemas.openxmlformats.org/drawingml/2006/picture">
                        <pic:nvPicPr>
                          <pic:cNvPr id="409" name="AutoShape_1664_SpCnt_11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395" name="AutoShape_1664_SpCnt_112"/>
                  <wp:cNvGraphicFramePr/>
                  <a:graphic xmlns:a="http://schemas.openxmlformats.org/drawingml/2006/main">
                    <a:graphicData uri="http://schemas.openxmlformats.org/drawingml/2006/picture">
                      <pic:pic xmlns:pic="http://schemas.openxmlformats.org/drawingml/2006/picture">
                        <pic:nvPicPr>
                          <pic:cNvPr id="395" name="AutoShape_1664_SpCnt_11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387" name="AutoShape_1791_SpCnt_41"/>
                  <wp:cNvGraphicFramePr/>
                  <a:graphic xmlns:a="http://schemas.openxmlformats.org/drawingml/2006/main">
                    <a:graphicData uri="http://schemas.openxmlformats.org/drawingml/2006/picture">
                      <pic:pic xmlns:pic="http://schemas.openxmlformats.org/drawingml/2006/picture">
                        <pic:nvPicPr>
                          <pic:cNvPr id="387" name="AutoShape_1791_SpCnt_41"/>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0" name="AutoShape_1664_SpCnt_113"/>
                  <wp:cNvGraphicFramePr/>
                  <a:graphic xmlns:a="http://schemas.openxmlformats.org/drawingml/2006/main">
                    <a:graphicData uri="http://schemas.openxmlformats.org/drawingml/2006/picture">
                      <pic:pic xmlns:pic="http://schemas.openxmlformats.org/drawingml/2006/picture">
                        <pic:nvPicPr>
                          <pic:cNvPr id="410" name="AutoShape_1664_SpCnt_11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1" name="AutoShape_1664_SpCnt_114"/>
                  <wp:cNvGraphicFramePr/>
                  <a:graphic xmlns:a="http://schemas.openxmlformats.org/drawingml/2006/main">
                    <a:graphicData uri="http://schemas.openxmlformats.org/drawingml/2006/picture">
                      <pic:pic xmlns:pic="http://schemas.openxmlformats.org/drawingml/2006/picture">
                        <pic:nvPicPr>
                          <pic:cNvPr id="411" name="AutoShape_1664_SpCnt_11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4" name="AutoShape_1664_SpCnt_115"/>
                  <wp:cNvGraphicFramePr/>
                  <a:graphic xmlns:a="http://schemas.openxmlformats.org/drawingml/2006/main">
                    <a:graphicData uri="http://schemas.openxmlformats.org/drawingml/2006/picture">
                      <pic:pic xmlns:pic="http://schemas.openxmlformats.org/drawingml/2006/picture">
                        <pic:nvPicPr>
                          <pic:cNvPr id="414" name="AutoShape_1664_SpCnt_11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786765" cy="1412240"/>
                  <wp:effectExtent l="0" t="0" r="0" b="0"/>
                  <wp:wrapNone/>
                  <wp:docPr id="415" name="AutoShape_1664_SpCnt_116"/>
                  <wp:cNvGraphicFramePr/>
                  <a:graphic xmlns:a="http://schemas.openxmlformats.org/drawingml/2006/main">
                    <a:graphicData uri="http://schemas.openxmlformats.org/drawingml/2006/picture">
                      <pic:pic xmlns:pic="http://schemas.openxmlformats.org/drawingml/2006/picture">
                        <pic:nvPicPr>
                          <pic:cNvPr id="415" name="AutoShape_1664_SpCnt_116"/>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41" name="AutoShape_1664_SpCnt_117"/>
                  <wp:cNvGraphicFramePr/>
                  <a:graphic xmlns:a="http://schemas.openxmlformats.org/drawingml/2006/main">
                    <a:graphicData uri="http://schemas.openxmlformats.org/drawingml/2006/picture">
                      <pic:pic xmlns:pic="http://schemas.openxmlformats.org/drawingml/2006/picture">
                        <pic:nvPicPr>
                          <pic:cNvPr id="441" name="AutoShape_1664_SpCnt_11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49" name="AutoShape_1791_SpCnt_42"/>
                  <wp:cNvGraphicFramePr/>
                  <a:graphic xmlns:a="http://schemas.openxmlformats.org/drawingml/2006/main">
                    <a:graphicData uri="http://schemas.openxmlformats.org/drawingml/2006/picture">
                      <pic:pic xmlns:pic="http://schemas.openxmlformats.org/drawingml/2006/picture">
                        <pic:nvPicPr>
                          <pic:cNvPr id="449" name="AutoShape_1791_SpCnt_42"/>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32" name="AutoShape_1664_SpCnt_118"/>
                  <wp:cNvGraphicFramePr/>
                  <a:graphic xmlns:a="http://schemas.openxmlformats.org/drawingml/2006/main">
                    <a:graphicData uri="http://schemas.openxmlformats.org/drawingml/2006/picture">
                      <pic:pic xmlns:pic="http://schemas.openxmlformats.org/drawingml/2006/picture">
                        <pic:nvPicPr>
                          <pic:cNvPr id="432" name="AutoShape_1664_SpCnt_11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26" name="AutoShape_1791_SpCnt_43"/>
                  <wp:cNvGraphicFramePr/>
                  <a:graphic xmlns:a="http://schemas.openxmlformats.org/drawingml/2006/main">
                    <a:graphicData uri="http://schemas.openxmlformats.org/drawingml/2006/picture">
                      <pic:pic xmlns:pic="http://schemas.openxmlformats.org/drawingml/2006/picture">
                        <pic:nvPicPr>
                          <pic:cNvPr id="426" name="AutoShape_1791_SpCnt_4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22" name="AutoShape_1791_SpCnt_44"/>
                  <wp:cNvGraphicFramePr/>
                  <a:graphic xmlns:a="http://schemas.openxmlformats.org/drawingml/2006/main">
                    <a:graphicData uri="http://schemas.openxmlformats.org/drawingml/2006/picture">
                      <pic:pic xmlns:pic="http://schemas.openxmlformats.org/drawingml/2006/picture">
                        <pic:nvPicPr>
                          <pic:cNvPr id="422" name="AutoShape_1791_SpCnt_44"/>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38" name="AutoShape_1664_SpCnt_119"/>
                  <wp:cNvGraphicFramePr/>
                  <a:graphic xmlns:a="http://schemas.openxmlformats.org/drawingml/2006/main">
                    <a:graphicData uri="http://schemas.openxmlformats.org/drawingml/2006/picture">
                      <pic:pic xmlns:pic="http://schemas.openxmlformats.org/drawingml/2006/picture">
                        <pic:nvPicPr>
                          <pic:cNvPr id="438" name="AutoShape_1664_SpCnt_11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33" name="AutoShape_1791_SpCnt_45"/>
                  <wp:cNvGraphicFramePr/>
                  <a:graphic xmlns:a="http://schemas.openxmlformats.org/drawingml/2006/main">
                    <a:graphicData uri="http://schemas.openxmlformats.org/drawingml/2006/picture">
                      <pic:pic xmlns:pic="http://schemas.openxmlformats.org/drawingml/2006/picture">
                        <pic:nvPicPr>
                          <pic:cNvPr id="433" name="AutoShape_1791_SpCnt_45"/>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786765" cy="1412240"/>
                  <wp:effectExtent l="0" t="0" r="0" b="0"/>
                  <wp:wrapNone/>
                  <wp:docPr id="445" name="AutoShape_1664_SpCnt_120"/>
                  <wp:cNvGraphicFramePr/>
                  <a:graphic xmlns:a="http://schemas.openxmlformats.org/drawingml/2006/main">
                    <a:graphicData uri="http://schemas.openxmlformats.org/drawingml/2006/picture">
                      <pic:pic xmlns:pic="http://schemas.openxmlformats.org/drawingml/2006/picture">
                        <pic:nvPicPr>
                          <pic:cNvPr id="445" name="AutoShape_1664_SpCnt_120"/>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29" name="AutoShape_1664_SpCnt_121"/>
                  <wp:cNvGraphicFramePr/>
                  <a:graphic xmlns:a="http://schemas.openxmlformats.org/drawingml/2006/main">
                    <a:graphicData uri="http://schemas.openxmlformats.org/drawingml/2006/picture">
                      <pic:pic xmlns:pic="http://schemas.openxmlformats.org/drawingml/2006/picture">
                        <pic:nvPicPr>
                          <pic:cNvPr id="429" name="AutoShape_1664_SpCnt_12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34" name="AutoShape_1791_SpCnt_46"/>
                  <wp:cNvGraphicFramePr/>
                  <a:graphic xmlns:a="http://schemas.openxmlformats.org/drawingml/2006/main">
                    <a:graphicData uri="http://schemas.openxmlformats.org/drawingml/2006/picture">
                      <pic:pic xmlns:pic="http://schemas.openxmlformats.org/drawingml/2006/picture">
                        <pic:nvPicPr>
                          <pic:cNvPr id="434" name="AutoShape_1791_SpCnt_46"/>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35" name="AutoShape_1664_SpCnt_122"/>
                  <wp:cNvGraphicFramePr/>
                  <a:graphic xmlns:a="http://schemas.openxmlformats.org/drawingml/2006/main">
                    <a:graphicData uri="http://schemas.openxmlformats.org/drawingml/2006/picture">
                      <pic:pic xmlns:pic="http://schemas.openxmlformats.org/drawingml/2006/picture">
                        <pic:nvPicPr>
                          <pic:cNvPr id="435" name="AutoShape_1664_SpCnt_12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31" name="AutoShape_1791_SpCnt_47"/>
                  <wp:cNvGraphicFramePr/>
                  <a:graphic xmlns:a="http://schemas.openxmlformats.org/drawingml/2006/main">
                    <a:graphicData uri="http://schemas.openxmlformats.org/drawingml/2006/picture">
                      <pic:pic xmlns:pic="http://schemas.openxmlformats.org/drawingml/2006/picture">
                        <pic:nvPicPr>
                          <pic:cNvPr id="431" name="AutoShape_1791_SpCnt_47"/>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21" name="AutoShape_1664_SpCnt_123"/>
                  <wp:cNvGraphicFramePr/>
                  <a:graphic xmlns:a="http://schemas.openxmlformats.org/drawingml/2006/main">
                    <a:graphicData uri="http://schemas.openxmlformats.org/drawingml/2006/picture">
                      <pic:pic xmlns:pic="http://schemas.openxmlformats.org/drawingml/2006/picture">
                        <pic:nvPicPr>
                          <pic:cNvPr id="421" name="AutoShape_1664_SpCnt_12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9" name="AutoShape_1664_SpCnt_124"/>
                  <wp:cNvGraphicFramePr/>
                  <a:graphic xmlns:a="http://schemas.openxmlformats.org/drawingml/2006/main">
                    <a:graphicData uri="http://schemas.openxmlformats.org/drawingml/2006/picture">
                      <pic:pic xmlns:pic="http://schemas.openxmlformats.org/drawingml/2006/picture">
                        <pic:nvPicPr>
                          <pic:cNvPr id="419" name="AutoShape_1664_SpCnt_12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23" name="AutoShape_1791_SpCnt_48"/>
                  <wp:cNvGraphicFramePr/>
                  <a:graphic xmlns:a="http://schemas.openxmlformats.org/drawingml/2006/main">
                    <a:graphicData uri="http://schemas.openxmlformats.org/drawingml/2006/picture">
                      <pic:pic xmlns:pic="http://schemas.openxmlformats.org/drawingml/2006/picture">
                        <pic:nvPicPr>
                          <pic:cNvPr id="423" name="AutoShape_1791_SpCnt_4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27" name="AutoShape_1791_SpCnt_49"/>
                  <wp:cNvGraphicFramePr/>
                  <a:graphic xmlns:a="http://schemas.openxmlformats.org/drawingml/2006/main">
                    <a:graphicData uri="http://schemas.openxmlformats.org/drawingml/2006/picture">
                      <pic:pic xmlns:pic="http://schemas.openxmlformats.org/drawingml/2006/picture">
                        <pic:nvPicPr>
                          <pic:cNvPr id="427" name="AutoShape_1791_SpCnt_4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28" name="AutoShape_1791_SpCnt_50"/>
                  <wp:cNvGraphicFramePr/>
                  <a:graphic xmlns:a="http://schemas.openxmlformats.org/drawingml/2006/main">
                    <a:graphicData uri="http://schemas.openxmlformats.org/drawingml/2006/picture">
                      <pic:pic xmlns:pic="http://schemas.openxmlformats.org/drawingml/2006/picture">
                        <pic:nvPicPr>
                          <pic:cNvPr id="428" name="AutoShape_1791_SpCnt_5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18" name="AutoShape_1664_SpCnt_125"/>
                  <wp:cNvGraphicFramePr/>
                  <a:graphic xmlns:a="http://schemas.openxmlformats.org/drawingml/2006/main">
                    <a:graphicData uri="http://schemas.openxmlformats.org/drawingml/2006/picture">
                      <pic:pic xmlns:pic="http://schemas.openxmlformats.org/drawingml/2006/picture">
                        <pic:nvPicPr>
                          <pic:cNvPr id="418" name="AutoShape_1664_SpCnt_12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36" name="AutoShape_1664_SpCnt_126"/>
                  <wp:cNvGraphicFramePr/>
                  <a:graphic xmlns:a="http://schemas.openxmlformats.org/drawingml/2006/main">
                    <a:graphicData uri="http://schemas.openxmlformats.org/drawingml/2006/picture">
                      <pic:pic xmlns:pic="http://schemas.openxmlformats.org/drawingml/2006/picture">
                        <pic:nvPicPr>
                          <pic:cNvPr id="436" name="AutoShape_1664_SpCnt_12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37" name="AutoShape_1791_SpCnt_51"/>
                  <wp:cNvGraphicFramePr/>
                  <a:graphic xmlns:a="http://schemas.openxmlformats.org/drawingml/2006/main">
                    <a:graphicData uri="http://schemas.openxmlformats.org/drawingml/2006/picture">
                      <pic:pic xmlns:pic="http://schemas.openxmlformats.org/drawingml/2006/picture">
                        <pic:nvPicPr>
                          <pic:cNvPr id="437" name="AutoShape_1791_SpCnt_51"/>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24" name="AutoShape_1664_SpCnt_127"/>
                  <wp:cNvGraphicFramePr/>
                  <a:graphic xmlns:a="http://schemas.openxmlformats.org/drawingml/2006/main">
                    <a:graphicData uri="http://schemas.openxmlformats.org/drawingml/2006/picture">
                      <pic:pic xmlns:pic="http://schemas.openxmlformats.org/drawingml/2006/picture">
                        <pic:nvPicPr>
                          <pic:cNvPr id="424" name="AutoShape_1664_SpCnt_12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20" name="AutoShape_1664_SpCnt_128"/>
                  <wp:cNvGraphicFramePr/>
                  <a:graphic xmlns:a="http://schemas.openxmlformats.org/drawingml/2006/main">
                    <a:graphicData uri="http://schemas.openxmlformats.org/drawingml/2006/picture">
                      <pic:pic xmlns:pic="http://schemas.openxmlformats.org/drawingml/2006/picture">
                        <pic:nvPicPr>
                          <pic:cNvPr id="420" name="AutoShape_1664_SpCnt_12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44" name="AutoShape_1664_SpCnt_129"/>
                  <wp:cNvGraphicFramePr/>
                  <a:graphic xmlns:a="http://schemas.openxmlformats.org/drawingml/2006/main">
                    <a:graphicData uri="http://schemas.openxmlformats.org/drawingml/2006/picture">
                      <pic:pic xmlns:pic="http://schemas.openxmlformats.org/drawingml/2006/picture">
                        <pic:nvPicPr>
                          <pic:cNvPr id="444" name="AutoShape_1664_SpCnt_12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439" name="AutoShape_1664_SpCnt_130"/>
                  <wp:cNvGraphicFramePr/>
                  <a:graphic xmlns:a="http://schemas.openxmlformats.org/drawingml/2006/main">
                    <a:graphicData uri="http://schemas.openxmlformats.org/drawingml/2006/picture">
                      <pic:pic xmlns:pic="http://schemas.openxmlformats.org/drawingml/2006/picture">
                        <pic:nvPicPr>
                          <pic:cNvPr id="439" name="AutoShape_1664_SpCnt_130"/>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752475" cy="1412240"/>
                  <wp:effectExtent l="0" t="0" r="0" b="0"/>
                  <wp:wrapNone/>
                  <wp:docPr id="446" name="AutoShape_1791_SpCnt_52"/>
                  <wp:cNvGraphicFramePr/>
                  <a:graphic xmlns:a="http://schemas.openxmlformats.org/drawingml/2006/main">
                    <a:graphicData uri="http://schemas.openxmlformats.org/drawingml/2006/picture">
                      <pic:pic xmlns:pic="http://schemas.openxmlformats.org/drawingml/2006/picture">
                        <pic:nvPicPr>
                          <pic:cNvPr id="446" name="AutoShape_1791_SpCnt_52"/>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30" name="AutoShape_1664_SpCnt_131"/>
                  <wp:cNvGraphicFramePr/>
                  <a:graphic xmlns:a="http://schemas.openxmlformats.org/drawingml/2006/main">
                    <a:graphicData uri="http://schemas.openxmlformats.org/drawingml/2006/picture">
                      <pic:pic xmlns:pic="http://schemas.openxmlformats.org/drawingml/2006/picture">
                        <pic:nvPicPr>
                          <pic:cNvPr id="430" name="AutoShape_1664_SpCnt_13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25" name="AutoShape_1664_SpCnt_132"/>
                  <wp:cNvGraphicFramePr/>
                  <a:graphic xmlns:a="http://schemas.openxmlformats.org/drawingml/2006/main">
                    <a:graphicData uri="http://schemas.openxmlformats.org/drawingml/2006/picture">
                      <pic:pic xmlns:pic="http://schemas.openxmlformats.org/drawingml/2006/picture">
                        <pic:nvPicPr>
                          <pic:cNvPr id="425" name="AutoShape_1664_SpCnt_13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47" name="AutoShape_1791_SpCnt_53"/>
                  <wp:cNvGraphicFramePr/>
                  <a:graphic xmlns:a="http://schemas.openxmlformats.org/drawingml/2006/main">
                    <a:graphicData uri="http://schemas.openxmlformats.org/drawingml/2006/picture">
                      <pic:pic xmlns:pic="http://schemas.openxmlformats.org/drawingml/2006/picture">
                        <pic:nvPicPr>
                          <pic:cNvPr id="447" name="AutoShape_1791_SpCnt_5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40" name="AutoShape_1664_SpCnt_133"/>
                  <wp:cNvGraphicFramePr/>
                  <a:graphic xmlns:a="http://schemas.openxmlformats.org/drawingml/2006/main">
                    <a:graphicData uri="http://schemas.openxmlformats.org/drawingml/2006/picture">
                      <pic:pic xmlns:pic="http://schemas.openxmlformats.org/drawingml/2006/picture">
                        <pic:nvPicPr>
                          <pic:cNvPr id="440" name="AutoShape_1664_SpCnt_13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442" name="AutoShape_1664_SpCnt_134"/>
                  <wp:cNvGraphicFramePr/>
                  <a:graphic xmlns:a="http://schemas.openxmlformats.org/drawingml/2006/main">
                    <a:graphicData uri="http://schemas.openxmlformats.org/drawingml/2006/picture">
                      <pic:pic xmlns:pic="http://schemas.openxmlformats.org/drawingml/2006/picture">
                        <pic:nvPicPr>
                          <pic:cNvPr id="442" name="AutoShape_1664_SpCnt_13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786765" cy="859790"/>
                  <wp:effectExtent l="0" t="0" r="0" b="0"/>
                  <wp:wrapNone/>
                  <wp:docPr id="443" name="AutoShape_1664_SpCnt_135"/>
                  <wp:cNvGraphicFramePr/>
                  <a:graphic xmlns:a="http://schemas.openxmlformats.org/drawingml/2006/main">
                    <a:graphicData uri="http://schemas.openxmlformats.org/drawingml/2006/picture">
                      <pic:pic xmlns:pic="http://schemas.openxmlformats.org/drawingml/2006/picture">
                        <pic:nvPicPr>
                          <pic:cNvPr id="443" name="AutoShape_1664_SpCnt_135"/>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448" name="AutoShape_1791_SpCnt_54"/>
                  <wp:cNvGraphicFramePr/>
                  <a:graphic xmlns:a="http://schemas.openxmlformats.org/drawingml/2006/main">
                    <a:graphicData uri="http://schemas.openxmlformats.org/drawingml/2006/picture">
                      <pic:pic xmlns:pic="http://schemas.openxmlformats.org/drawingml/2006/picture">
                        <pic:nvPicPr>
                          <pic:cNvPr id="448" name="AutoShape_1791_SpCnt_5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786765" cy="859790"/>
                  <wp:effectExtent l="0" t="0" r="0" b="0"/>
                  <wp:wrapNone/>
                  <wp:docPr id="465" name="AutoShape_1664_SpCnt_136"/>
                  <wp:cNvGraphicFramePr/>
                  <a:graphic xmlns:a="http://schemas.openxmlformats.org/drawingml/2006/main">
                    <a:graphicData uri="http://schemas.openxmlformats.org/drawingml/2006/picture">
                      <pic:pic xmlns:pic="http://schemas.openxmlformats.org/drawingml/2006/picture">
                        <pic:nvPicPr>
                          <pic:cNvPr id="465" name="AutoShape_1664_SpCnt_136"/>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752475" cy="859790"/>
                  <wp:effectExtent l="0" t="0" r="0" b="0"/>
                  <wp:wrapNone/>
                  <wp:docPr id="464" name="AutoShape_1791_SpCnt_55"/>
                  <wp:cNvGraphicFramePr/>
                  <a:graphic xmlns:a="http://schemas.openxmlformats.org/drawingml/2006/main">
                    <a:graphicData uri="http://schemas.openxmlformats.org/drawingml/2006/picture">
                      <pic:pic xmlns:pic="http://schemas.openxmlformats.org/drawingml/2006/picture">
                        <pic:nvPicPr>
                          <pic:cNvPr id="464" name="AutoShape_1791_SpCnt_55"/>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786765" cy="859790"/>
                  <wp:effectExtent l="0" t="0" r="0" b="0"/>
                  <wp:wrapNone/>
                  <wp:docPr id="480" name="AutoShape_1664_SpCnt_137"/>
                  <wp:cNvGraphicFramePr/>
                  <a:graphic xmlns:a="http://schemas.openxmlformats.org/drawingml/2006/main">
                    <a:graphicData uri="http://schemas.openxmlformats.org/drawingml/2006/picture">
                      <pic:pic xmlns:pic="http://schemas.openxmlformats.org/drawingml/2006/picture">
                        <pic:nvPicPr>
                          <pic:cNvPr id="480" name="AutoShape_1664_SpCnt_13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752475" cy="859790"/>
                  <wp:effectExtent l="0" t="0" r="0" b="0"/>
                  <wp:wrapNone/>
                  <wp:docPr id="450" name="AutoShape_1791_SpCnt_56"/>
                  <wp:cNvGraphicFramePr/>
                  <a:graphic xmlns:a="http://schemas.openxmlformats.org/drawingml/2006/main">
                    <a:graphicData uri="http://schemas.openxmlformats.org/drawingml/2006/picture">
                      <pic:pic xmlns:pic="http://schemas.openxmlformats.org/drawingml/2006/picture">
                        <pic:nvPicPr>
                          <pic:cNvPr id="450" name="AutoShape_1791_SpCnt_56"/>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786765" cy="859790"/>
                  <wp:effectExtent l="0" t="0" r="0" b="0"/>
                  <wp:wrapNone/>
                  <wp:docPr id="470" name="AutoShape_1664_SpCnt_138"/>
                  <wp:cNvGraphicFramePr/>
                  <a:graphic xmlns:a="http://schemas.openxmlformats.org/drawingml/2006/main">
                    <a:graphicData uri="http://schemas.openxmlformats.org/drawingml/2006/picture">
                      <pic:pic xmlns:pic="http://schemas.openxmlformats.org/drawingml/2006/picture">
                        <pic:nvPicPr>
                          <pic:cNvPr id="470" name="AutoShape_1664_SpCnt_13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752475" cy="859790"/>
                  <wp:effectExtent l="0" t="0" r="0" b="0"/>
                  <wp:wrapNone/>
                  <wp:docPr id="451" name="AutoShape_1791_SpCnt_57"/>
                  <wp:cNvGraphicFramePr/>
                  <a:graphic xmlns:a="http://schemas.openxmlformats.org/drawingml/2006/main">
                    <a:graphicData uri="http://schemas.openxmlformats.org/drawingml/2006/picture">
                      <pic:pic xmlns:pic="http://schemas.openxmlformats.org/drawingml/2006/picture">
                        <pic:nvPicPr>
                          <pic:cNvPr id="451" name="AutoShape_1791_SpCnt_57"/>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786765" cy="903605"/>
                  <wp:effectExtent l="0" t="0" r="0" b="0"/>
                  <wp:wrapNone/>
                  <wp:docPr id="474" name="AutoShape_1664_SpCnt_139"/>
                  <wp:cNvGraphicFramePr/>
                  <a:graphic xmlns:a="http://schemas.openxmlformats.org/drawingml/2006/main">
                    <a:graphicData uri="http://schemas.openxmlformats.org/drawingml/2006/picture">
                      <pic:pic xmlns:pic="http://schemas.openxmlformats.org/drawingml/2006/picture">
                        <pic:nvPicPr>
                          <pic:cNvPr id="474" name="AutoShape_1664_SpCnt_139"/>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786765" cy="859790"/>
                  <wp:effectExtent l="0" t="0" r="0" b="0"/>
                  <wp:wrapNone/>
                  <wp:docPr id="467" name="AutoShape_1664_SpCnt_140"/>
                  <wp:cNvGraphicFramePr/>
                  <a:graphic xmlns:a="http://schemas.openxmlformats.org/drawingml/2006/main">
                    <a:graphicData uri="http://schemas.openxmlformats.org/drawingml/2006/picture">
                      <pic:pic xmlns:pic="http://schemas.openxmlformats.org/drawingml/2006/picture">
                        <pic:nvPicPr>
                          <pic:cNvPr id="467" name="AutoShape_1664_SpCnt_140"/>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752475" cy="859790"/>
                  <wp:effectExtent l="0" t="0" r="0" b="0"/>
                  <wp:wrapNone/>
                  <wp:docPr id="452" name="AutoShape_1791_SpCnt_58"/>
                  <wp:cNvGraphicFramePr/>
                  <a:graphic xmlns:a="http://schemas.openxmlformats.org/drawingml/2006/main">
                    <a:graphicData uri="http://schemas.openxmlformats.org/drawingml/2006/picture">
                      <pic:pic xmlns:pic="http://schemas.openxmlformats.org/drawingml/2006/picture">
                        <pic:nvPicPr>
                          <pic:cNvPr id="452" name="AutoShape_1791_SpCnt_58"/>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786765" cy="859790"/>
                  <wp:effectExtent l="0" t="0" r="0" b="0"/>
                  <wp:wrapNone/>
                  <wp:docPr id="471" name="AutoShape_1664_SpCnt_141"/>
                  <wp:cNvGraphicFramePr/>
                  <a:graphic xmlns:a="http://schemas.openxmlformats.org/drawingml/2006/main">
                    <a:graphicData uri="http://schemas.openxmlformats.org/drawingml/2006/picture">
                      <pic:pic xmlns:pic="http://schemas.openxmlformats.org/drawingml/2006/picture">
                        <pic:nvPicPr>
                          <pic:cNvPr id="471" name="AutoShape_1664_SpCnt_14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53" name="AutoShape_1791_SpCnt_59"/>
                  <wp:cNvGraphicFramePr/>
                  <a:graphic xmlns:a="http://schemas.openxmlformats.org/drawingml/2006/main">
                    <a:graphicData uri="http://schemas.openxmlformats.org/drawingml/2006/picture">
                      <pic:pic xmlns:pic="http://schemas.openxmlformats.org/drawingml/2006/picture">
                        <pic:nvPicPr>
                          <pic:cNvPr id="453" name="AutoShape_1791_SpCnt_5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786765" cy="859790"/>
                  <wp:effectExtent l="0" t="0" r="0" b="0"/>
                  <wp:wrapNone/>
                  <wp:docPr id="478" name="AutoShape_1664_SpCnt_142"/>
                  <wp:cNvGraphicFramePr/>
                  <a:graphic xmlns:a="http://schemas.openxmlformats.org/drawingml/2006/main">
                    <a:graphicData uri="http://schemas.openxmlformats.org/drawingml/2006/picture">
                      <pic:pic xmlns:pic="http://schemas.openxmlformats.org/drawingml/2006/picture">
                        <pic:nvPicPr>
                          <pic:cNvPr id="478" name="AutoShape_1664_SpCnt_142"/>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786765" cy="859790"/>
                  <wp:effectExtent l="0" t="0" r="0" b="0"/>
                  <wp:wrapNone/>
                  <wp:docPr id="456" name="AutoShape_1664_SpCnt_143"/>
                  <wp:cNvGraphicFramePr/>
                  <a:graphic xmlns:a="http://schemas.openxmlformats.org/drawingml/2006/main">
                    <a:graphicData uri="http://schemas.openxmlformats.org/drawingml/2006/picture">
                      <pic:pic xmlns:pic="http://schemas.openxmlformats.org/drawingml/2006/picture">
                        <pic:nvPicPr>
                          <pic:cNvPr id="456" name="AutoShape_1664_SpCnt_14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752475" cy="859790"/>
                  <wp:effectExtent l="0" t="0" r="0" b="0"/>
                  <wp:wrapNone/>
                  <wp:docPr id="457" name="AutoShape_1791_SpCnt_60"/>
                  <wp:cNvGraphicFramePr/>
                  <a:graphic xmlns:a="http://schemas.openxmlformats.org/drawingml/2006/main">
                    <a:graphicData uri="http://schemas.openxmlformats.org/drawingml/2006/picture">
                      <pic:pic xmlns:pic="http://schemas.openxmlformats.org/drawingml/2006/picture">
                        <pic:nvPicPr>
                          <pic:cNvPr id="457" name="AutoShape_1791_SpCnt_60"/>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752475" cy="982345"/>
                  <wp:effectExtent l="0" t="0" r="0" b="0"/>
                  <wp:wrapNone/>
                  <wp:docPr id="466" name="AutoShape_1791_SpCnt_61"/>
                  <wp:cNvGraphicFramePr/>
                  <a:graphic xmlns:a="http://schemas.openxmlformats.org/drawingml/2006/main">
                    <a:graphicData uri="http://schemas.openxmlformats.org/drawingml/2006/picture">
                      <pic:pic xmlns:pic="http://schemas.openxmlformats.org/drawingml/2006/picture">
                        <pic:nvPicPr>
                          <pic:cNvPr id="466" name="AutoShape_1791_SpCnt_6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752475" cy="859790"/>
                  <wp:effectExtent l="0" t="0" r="0" b="0"/>
                  <wp:wrapNone/>
                  <wp:docPr id="475" name="AutoShape_1791_SpCnt_62"/>
                  <wp:cNvGraphicFramePr/>
                  <a:graphic xmlns:a="http://schemas.openxmlformats.org/drawingml/2006/main">
                    <a:graphicData uri="http://schemas.openxmlformats.org/drawingml/2006/picture">
                      <pic:pic xmlns:pic="http://schemas.openxmlformats.org/drawingml/2006/picture">
                        <pic:nvPicPr>
                          <pic:cNvPr id="475" name="AutoShape_1791_SpCnt_62"/>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786765" cy="859790"/>
                  <wp:effectExtent l="0" t="0" r="0" b="0"/>
                  <wp:wrapNone/>
                  <wp:docPr id="468" name="AutoShape_1664_SpCnt_144"/>
                  <wp:cNvGraphicFramePr/>
                  <a:graphic xmlns:a="http://schemas.openxmlformats.org/drawingml/2006/main">
                    <a:graphicData uri="http://schemas.openxmlformats.org/drawingml/2006/picture">
                      <pic:pic xmlns:pic="http://schemas.openxmlformats.org/drawingml/2006/picture">
                        <pic:nvPicPr>
                          <pic:cNvPr id="468" name="AutoShape_1664_SpCnt_144"/>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469" name="AutoShape_1664_SpCnt_145"/>
                  <wp:cNvGraphicFramePr/>
                  <a:graphic xmlns:a="http://schemas.openxmlformats.org/drawingml/2006/main">
                    <a:graphicData uri="http://schemas.openxmlformats.org/drawingml/2006/picture">
                      <pic:pic xmlns:pic="http://schemas.openxmlformats.org/drawingml/2006/picture">
                        <pic:nvPicPr>
                          <pic:cNvPr id="469" name="AutoShape_1664_SpCnt_14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752475" cy="982345"/>
                  <wp:effectExtent l="0" t="0" r="0" b="0"/>
                  <wp:wrapNone/>
                  <wp:docPr id="459" name="AutoShape_1791_SpCnt_63"/>
                  <wp:cNvGraphicFramePr/>
                  <a:graphic xmlns:a="http://schemas.openxmlformats.org/drawingml/2006/main">
                    <a:graphicData uri="http://schemas.openxmlformats.org/drawingml/2006/picture">
                      <pic:pic xmlns:pic="http://schemas.openxmlformats.org/drawingml/2006/picture">
                        <pic:nvPicPr>
                          <pic:cNvPr id="459" name="AutoShape_1791_SpCnt_6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472" name="AutoShape_1664_SpCnt_146"/>
                  <wp:cNvGraphicFramePr/>
                  <a:graphic xmlns:a="http://schemas.openxmlformats.org/drawingml/2006/main">
                    <a:graphicData uri="http://schemas.openxmlformats.org/drawingml/2006/picture">
                      <pic:pic xmlns:pic="http://schemas.openxmlformats.org/drawingml/2006/picture">
                        <pic:nvPicPr>
                          <pic:cNvPr id="472" name="AutoShape_1664_SpCnt_14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476" name="AutoShape_1664_SpCnt_147"/>
                  <wp:cNvGraphicFramePr/>
                  <a:graphic xmlns:a="http://schemas.openxmlformats.org/drawingml/2006/main">
                    <a:graphicData uri="http://schemas.openxmlformats.org/drawingml/2006/picture">
                      <pic:pic xmlns:pic="http://schemas.openxmlformats.org/drawingml/2006/picture">
                        <pic:nvPicPr>
                          <pic:cNvPr id="476" name="AutoShape_1664_SpCnt_14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473" name="AutoShape_1664_SpCnt_148"/>
                  <wp:cNvGraphicFramePr/>
                  <a:graphic xmlns:a="http://schemas.openxmlformats.org/drawingml/2006/main">
                    <a:graphicData uri="http://schemas.openxmlformats.org/drawingml/2006/picture">
                      <pic:pic xmlns:pic="http://schemas.openxmlformats.org/drawingml/2006/picture">
                        <pic:nvPicPr>
                          <pic:cNvPr id="473" name="AutoShape_1664_SpCnt_14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752475" cy="1412240"/>
                  <wp:effectExtent l="0" t="0" r="0" b="0"/>
                  <wp:wrapNone/>
                  <wp:docPr id="477" name="AutoShape_1791_SpCnt_64"/>
                  <wp:cNvGraphicFramePr/>
                  <a:graphic xmlns:a="http://schemas.openxmlformats.org/drawingml/2006/main">
                    <a:graphicData uri="http://schemas.openxmlformats.org/drawingml/2006/picture">
                      <pic:pic xmlns:pic="http://schemas.openxmlformats.org/drawingml/2006/picture">
                        <pic:nvPicPr>
                          <pic:cNvPr id="477" name="AutoShape_1791_SpCnt_64"/>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479" name="AutoShape_1664_SpCnt_149"/>
                  <wp:cNvGraphicFramePr/>
                  <a:graphic xmlns:a="http://schemas.openxmlformats.org/drawingml/2006/main">
                    <a:graphicData uri="http://schemas.openxmlformats.org/drawingml/2006/picture">
                      <pic:pic xmlns:pic="http://schemas.openxmlformats.org/drawingml/2006/picture">
                        <pic:nvPicPr>
                          <pic:cNvPr id="479" name="AutoShape_1664_SpCnt_14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454" name="AutoShape_1664_SpCnt_150"/>
                  <wp:cNvGraphicFramePr/>
                  <a:graphic xmlns:a="http://schemas.openxmlformats.org/drawingml/2006/main">
                    <a:graphicData uri="http://schemas.openxmlformats.org/drawingml/2006/picture">
                      <pic:pic xmlns:pic="http://schemas.openxmlformats.org/drawingml/2006/picture">
                        <pic:nvPicPr>
                          <pic:cNvPr id="454" name="AutoShape_1664_SpCnt_15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752475" cy="1412240"/>
                  <wp:effectExtent l="0" t="0" r="0" b="0"/>
                  <wp:wrapNone/>
                  <wp:docPr id="463" name="AutoShape_1791_SpCnt_65"/>
                  <wp:cNvGraphicFramePr/>
                  <a:graphic xmlns:a="http://schemas.openxmlformats.org/drawingml/2006/main">
                    <a:graphicData uri="http://schemas.openxmlformats.org/drawingml/2006/picture">
                      <pic:pic xmlns:pic="http://schemas.openxmlformats.org/drawingml/2006/picture">
                        <pic:nvPicPr>
                          <pic:cNvPr id="463" name="AutoShape_1791_SpCnt_65"/>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1" name="AutoShape_1664_SpCnt_151"/>
                  <wp:cNvGraphicFramePr/>
                  <a:graphic xmlns:a="http://schemas.openxmlformats.org/drawingml/2006/main">
                    <a:graphicData uri="http://schemas.openxmlformats.org/drawingml/2006/picture">
                      <pic:pic xmlns:pic="http://schemas.openxmlformats.org/drawingml/2006/picture">
                        <pic:nvPicPr>
                          <pic:cNvPr id="481" name="AutoShape_1664_SpCnt_15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455" name="AutoShape_1664_SpCnt_152"/>
                  <wp:cNvGraphicFramePr/>
                  <a:graphic xmlns:a="http://schemas.openxmlformats.org/drawingml/2006/main">
                    <a:graphicData uri="http://schemas.openxmlformats.org/drawingml/2006/picture">
                      <pic:pic xmlns:pic="http://schemas.openxmlformats.org/drawingml/2006/picture">
                        <pic:nvPicPr>
                          <pic:cNvPr id="455" name="AutoShape_1664_SpCnt_15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752475" cy="982345"/>
                  <wp:effectExtent l="0" t="0" r="0" b="0"/>
                  <wp:wrapNone/>
                  <wp:docPr id="460" name="AutoShape_1791_SpCnt_66"/>
                  <wp:cNvGraphicFramePr/>
                  <a:graphic xmlns:a="http://schemas.openxmlformats.org/drawingml/2006/main">
                    <a:graphicData uri="http://schemas.openxmlformats.org/drawingml/2006/picture">
                      <pic:pic xmlns:pic="http://schemas.openxmlformats.org/drawingml/2006/picture">
                        <pic:nvPicPr>
                          <pic:cNvPr id="460" name="AutoShape_1791_SpCnt_6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786765" cy="859790"/>
                  <wp:effectExtent l="0" t="0" r="0" b="0"/>
                  <wp:wrapNone/>
                  <wp:docPr id="458" name="AutoShape_1664_SpCnt_153"/>
                  <wp:cNvGraphicFramePr/>
                  <a:graphic xmlns:a="http://schemas.openxmlformats.org/drawingml/2006/main">
                    <a:graphicData uri="http://schemas.openxmlformats.org/drawingml/2006/picture">
                      <pic:pic xmlns:pic="http://schemas.openxmlformats.org/drawingml/2006/picture">
                        <pic:nvPicPr>
                          <pic:cNvPr id="458" name="AutoShape_1664_SpCnt_15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752475" cy="982345"/>
                  <wp:effectExtent l="0" t="0" r="0" b="0"/>
                  <wp:wrapNone/>
                  <wp:docPr id="461" name="AutoShape_1791_SpCnt_67"/>
                  <wp:cNvGraphicFramePr/>
                  <a:graphic xmlns:a="http://schemas.openxmlformats.org/drawingml/2006/main">
                    <a:graphicData uri="http://schemas.openxmlformats.org/drawingml/2006/picture">
                      <pic:pic xmlns:pic="http://schemas.openxmlformats.org/drawingml/2006/picture">
                        <pic:nvPicPr>
                          <pic:cNvPr id="461" name="AutoShape_1791_SpCnt_6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462" name="AutoShape_1664_SpCnt_154"/>
                  <wp:cNvGraphicFramePr/>
                  <a:graphic xmlns:a="http://schemas.openxmlformats.org/drawingml/2006/main">
                    <a:graphicData uri="http://schemas.openxmlformats.org/drawingml/2006/picture">
                      <pic:pic xmlns:pic="http://schemas.openxmlformats.org/drawingml/2006/picture">
                        <pic:nvPicPr>
                          <pic:cNvPr id="462" name="AutoShape_1664_SpCnt_15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8" name="AutoShape_1664_SpCnt_155"/>
                  <wp:cNvGraphicFramePr/>
                  <a:graphic xmlns:a="http://schemas.openxmlformats.org/drawingml/2006/main">
                    <a:graphicData uri="http://schemas.openxmlformats.org/drawingml/2006/picture">
                      <pic:pic xmlns:pic="http://schemas.openxmlformats.org/drawingml/2006/picture">
                        <pic:nvPicPr>
                          <pic:cNvPr id="508" name="AutoShape_1664_SpCnt_15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752475" cy="982345"/>
                  <wp:effectExtent l="0" t="0" r="0" b="0"/>
                  <wp:wrapNone/>
                  <wp:docPr id="512" name="AutoShape_1791_SpCnt_68"/>
                  <wp:cNvGraphicFramePr/>
                  <a:graphic xmlns:a="http://schemas.openxmlformats.org/drawingml/2006/main">
                    <a:graphicData uri="http://schemas.openxmlformats.org/drawingml/2006/picture">
                      <pic:pic xmlns:pic="http://schemas.openxmlformats.org/drawingml/2006/picture">
                        <pic:nvPicPr>
                          <pic:cNvPr id="512" name="AutoShape_1791_SpCnt_6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9" name="AutoShape_1664_SpCnt_156"/>
                  <wp:cNvGraphicFramePr/>
                  <a:graphic xmlns:a="http://schemas.openxmlformats.org/drawingml/2006/main">
                    <a:graphicData uri="http://schemas.openxmlformats.org/drawingml/2006/picture">
                      <pic:pic xmlns:pic="http://schemas.openxmlformats.org/drawingml/2006/picture">
                        <pic:nvPicPr>
                          <pic:cNvPr id="489" name="AutoShape_1664_SpCnt_15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752475" cy="982345"/>
                  <wp:effectExtent l="0" t="0" r="0" b="0"/>
                  <wp:wrapNone/>
                  <wp:docPr id="504" name="AutoShape_1791_SpCnt_69"/>
                  <wp:cNvGraphicFramePr/>
                  <a:graphic xmlns:a="http://schemas.openxmlformats.org/drawingml/2006/main">
                    <a:graphicData uri="http://schemas.openxmlformats.org/drawingml/2006/picture">
                      <pic:pic xmlns:pic="http://schemas.openxmlformats.org/drawingml/2006/picture">
                        <pic:nvPicPr>
                          <pic:cNvPr id="504" name="AutoShape_1791_SpCnt_6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7" name="AutoShape_1664_SpCnt_157"/>
                  <wp:cNvGraphicFramePr/>
                  <a:graphic xmlns:a="http://schemas.openxmlformats.org/drawingml/2006/main">
                    <a:graphicData uri="http://schemas.openxmlformats.org/drawingml/2006/picture">
                      <pic:pic xmlns:pic="http://schemas.openxmlformats.org/drawingml/2006/picture">
                        <pic:nvPicPr>
                          <pic:cNvPr id="507" name="AutoShape_1664_SpCnt_15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2" name="AutoShape_1664_SpCnt_158"/>
                  <wp:cNvGraphicFramePr/>
                  <a:graphic xmlns:a="http://schemas.openxmlformats.org/drawingml/2006/main">
                    <a:graphicData uri="http://schemas.openxmlformats.org/drawingml/2006/picture">
                      <pic:pic xmlns:pic="http://schemas.openxmlformats.org/drawingml/2006/picture">
                        <pic:nvPicPr>
                          <pic:cNvPr id="482" name="AutoShape_1664_SpCnt_15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06" name="AutoShape_1664_SpCnt_159"/>
                  <wp:cNvGraphicFramePr/>
                  <a:graphic xmlns:a="http://schemas.openxmlformats.org/drawingml/2006/main">
                    <a:graphicData uri="http://schemas.openxmlformats.org/drawingml/2006/picture">
                      <pic:pic xmlns:pic="http://schemas.openxmlformats.org/drawingml/2006/picture">
                        <pic:nvPicPr>
                          <pic:cNvPr id="506" name="AutoShape_1664_SpCnt_159"/>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752475" cy="1412240"/>
                  <wp:effectExtent l="0" t="0" r="0" b="0"/>
                  <wp:wrapNone/>
                  <wp:docPr id="485" name="AutoShape_1791_SpCnt_70"/>
                  <wp:cNvGraphicFramePr/>
                  <a:graphic xmlns:a="http://schemas.openxmlformats.org/drawingml/2006/main">
                    <a:graphicData uri="http://schemas.openxmlformats.org/drawingml/2006/picture">
                      <pic:pic xmlns:pic="http://schemas.openxmlformats.org/drawingml/2006/picture">
                        <pic:nvPicPr>
                          <pic:cNvPr id="485" name="AutoShape_1791_SpCnt_70"/>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786765" cy="903605"/>
                  <wp:effectExtent l="0" t="0" r="0" b="0"/>
                  <wp:wrapNone/>
                  <wp:docPr id="513" name="AutoShape_1664_SpCnt_160"/>
                  <wp:cNvGraphicFramePr/>
                  <a:graphic xmlns:a="http://schemas.openxmlformats.org/drawingml/2006/main">
                    <a:graphicData uri="http://schemas.openxmlformats.org/drawingml/2006/picture">
                      <pic:pic xmlns:pic="http://schemas.openxmlformats.org/drawingml/2006/picture">
                        <pic:nvPicPr>
                          <pic:cNvPr id="513" name="AutoShape_1664_SpCnt_160"/>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3" name="AutoShape_1664_SpCnt_161"/>
                  <wp:cNvGraphicFramePr/>
                  <a:graphic xmlns:a="http://schemas.openxmlformats.org/drawingml/2006/main">
                    <a:graphicData uri="http://schemas.openxmlformats.org/drawingml/2006/picture">
                      <pic:pic xmlns:pic="http://schemas.openxmlformats.org/drawingml/2006/picture">
                        <pic:nvPicPr>
                          <pic:cNvPr id="503" name="AutoShape_1664_SpCnt_16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509" name="AutoShape_1791_SpCnt_71"/>
                  <wp:cNvGraphicFramePr/>
                  <a:graphic xmlns:a="http://schemas.openxmlformats.org/drawingml/2006/main">
                    <a:graphicData uri="http://schemas.openxmlformats.org/drawingml/2006/picture">
                      <pic:pic xmlns:pic="http://schemas.openxmlformats.org/drawingml/2006/picture">
                        <pic:nvPicPr>
                          <pic:cNvPr id="509" name="AutoShape_1791_SpCnt_7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511" name="AutoShape_1791_SpCnt_72"/>
                  <wp:cNvGraphicFramePr/>
                  <a:graphic xmlns:a="http://schemas.openxmlformats.org/drawingml/2006/main">
                    <a:graphicData uri="http://schemas.openxmlformats.org/drawingml/2006/picture">
                      <pic:pic xmlns:pic="http://schemas.openxmlformats.org/drawingml/2006/picture">
                        <pic:nvPicPr>
                          <pic:cNvPr id="511" name="AutoShape_1791_SpCnt_72"/>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5" name="AutoShape_1664_SpCnt_162"/>
                  <wp:cNvGraphicFramePr/>
                  <a:graphic xmlns:a="http://schemas.openxmlformats.org/drawingml/2006/main">
                    <a:graphicData uri="http://schemas.openxmlformats.org/drawingml/2006/picture">
                      <pic:pic xmlns:pic="http://schemas.openxmlformats.org/drawingml/2006/picture">
                        <pic:nvPicPr>
                          <pic:cNvPr id="505" name="AutoShape_1664_SpCnt_16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752475" cy="982345"/>
                  <wp:effectExtent l="0" t="0" r="0" b="0"/>
                  <wp:wrapNone/>
                  <wp:docPr id="483" name="AutoShape_1791_SpCnt_73"/>
                  <wp:cNvGraphicFramePr/>
                  <a:graphic xmlns:a="http://schemas.openxmlformats.org/drawingml/2006/main">
                    <a:graphicData uri="http://schemas.openxmlformats.org/drawingml/2006/picture">
                      <pic:pic xmlns:pic="http://schemas.openxmlformats.org/drawingml/2006/picture">
                        <pic:nvPicPr>
                          <pic:cNvPr id="483" name="AutoShape_1791_SpCnt_7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10" name="AutoShape_1664_SpCnt_163"/>
                  <wp:cNvGraphicFramePr/>
                  <a:graphic xmlns:a="http://schemas.openxmlformats.org/drawingml/2006/main">
                    <a:graphicData uri="http://schemas.openxmlformats.org/drawingml/2006/picture">
                      <pic:pic xmlns:pic="http://schemas.openxmlformats.org/drawingml/2006/picture">
                        <pic:nvPicPr>
                          <pic:cNvPr id="510" name="AutoShape_1664_SpCnt_16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786765" cy="903605"/>
                  <wp:effectExtent l="0" t="0" r="0" b="0"/>
                  <wp:wrapNone/>
                  <wp:docPr id="484" name="AutoShape_1664_SpCnt_164"/>
                  <wp:cNvGraphicFramePr/>
                  <a:graphic xmlns:a="http://schemas.openxmlformats.org/drawingml/2006/main">
                    <a:graphicData uri="http://schemas.openxmlformats.org/drawingml/2006/picture">
                      <pic:pic xmlns:pic="http://schemas.openxmlformats.org/drawingml/2006/picture">
                        <pic:nvPicPr>
                          <pic:cNvPr id="484" name="AutoShape_1664_SpCnt_16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7" name="AutoShape_1664_SpCnt_165"/>
                  <wp:cNvGraphicFramePr/>
                  <a:graphic xmlns:a="http://schemas.openxmlformats.org/drawingml/2006/main">
                    <a:graphicData uri="http://schemas.openxmlformats.org/drawingml/2006/picture">
                      <pic:pic xmlns:pic="http://schemas.openxmlformats.org/drawingml/2006/picture">
                        <pic:nvPicPr>
                          <pic:cNvPr id="487" name="AutoShape_1664_SpCnt_16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6" name="AutoShape_1664_SpCnt_166"/>
                  <wp:cNvGraphicFramePr/>
                  <a:graphic xmlns:a="http://schemas.openxmlformats.org/drawingml/2006/main">
                    <a:graphicData uri="http://schemas.openxmlformats.org/drawingml/2006/picture">
                      <pic:pic xmlns:pic="http://schemas.openxmlformats.org/drawingml/2006/picture">
                        <pic:nvPicPr>
                          <pic:cNvPr id="486" name="AutoShape_1664_SpCnt_16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488" name="AutoShape_1664_SpCnt_167"/>
                  <wp:cNvGraphicFramePr/>
                  <a:graphic xmlns:a="http://schemas.openxmlformats.org/drawingml/2006/main">
                    <a:graphicData uri="http://schemas.openxmlformats.org/drawingml/2006/picture">
                      <pic:pic xmlns:pic="http://schemas.openxmlformats.org/drawingml/2006/picture">
                        <pic:nvPicPr>
                          <pic:cNvPr id="488" name="AutoShape_1664_SpCnt_16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490" name="AutoShape_1791_SpCnt_74"/>
                  <wp:cNvGraphicFramePr/>
                  <a:graphic xmlns:a="http://schemas.openxmlformats.org/drawingml/2006/main">
                    <a:graphicData uri="http://schemas.openxmlformats.org/drawingml/2006/picture">
                      <pic:pic xmlns:pic="http://schemas.openxmlformats.org/drawingml/2006/picture">
                        <pic:nvPicPr>
                          <pic:cNvPr id="490" name="AutoShape_1791_SpCnt_74"/>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1" name="AutoShape_1664_SpCnt_168"/>
                  <wp:cNvGraphicFramePr/>
                  <a:graphic xmlns:a="http://schemas.openxmlformats.org/drawingml/2006/main">
                    <a:graphicData uri="http://schemas.openxmlformats.org/drawingml/2006/picture">
                      <pic:pic xmlns:pic="http://schemas.openxmlformats.org/drawingml/2006/picture">
                        <pic:nvPicPr>
                          <pic:cNvPr id="491" name="AutoShape_1664_SpCnt_16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6" name="AutoShape_1664_SpCnt_169"/>
                  <wp:cNvGraphicFramePr/>
                  <a:graphic xmlns:a="http://schemas.openxmlformats.org/drawingml/2006/main">
                    <a:graphicData uri="http://schemas.openxmlformats.org/drawingml/2006/picture">
                      <pic:pic xmlns:pic="http://schemas.openxmlformats.org/drawingml/2006/picture">
                        <pic:nvPicPr>
                          <pic:cNvPr id="496" name="AutoShape_1664_SpCnt_16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2" name="AutoShape_1664_SpCnt_170"/>
                  <wp:cNvGraphicFramePr/>
                  <a:graphic xmlns:a="http://schemas.openxmlformats.org/drawingml/2006/main">
                    <a:graphicData uri="http://schemas.openxmlformats.org/drawingml/2006/picture">
                      <pic:pic xmlns:pic="http://schemas.openxmlformats.org/drawingml/2006/picture">
                        <pic:nvPicPr>
                          <pic:cNvPr id="492" name="AutoShape_1664_SpCnt_17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493" name="AutoShape_1664_SpCnt_171"/>
                  <wp:cNvGraphicFramePr/>
                  <a:graphic xmlns:a="http://schemas.openxmlformats.org/drawingml/2006/main">
                    <a:graphicData uri="http://schemas.openxmlformats.org/drawingml/2006/picture">
                      <pic:pic xmlns:pic="http://schemas.openxmlformats.org/drawingml/2006/picture">
                        <pic:nvPicPr>
                          <pic:cNvPr id="493" name="AutoShape_1664_SpCnt_171"/>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786765" cy="903605"/>
                  <wp:effectExtent l="0" t="0" r="0" b="0"/>
                  <wp:wrapNone/>
                  <wp:docPr id="494" name="AutoShape_1664_SpCnt_172"/>
                  <wp:cNvGraphicFramePr/>
                  <a:graphic xmlns:a="http://schemas.openxmlformats.org/drawingml/2006/main">
                    <a:graphicData uri="http://schemas.openxmlformats.org/drawingml/2006/picture">
                      <pic:pic xmlns:pic="http://schemas.openxmlformats.org/drawingml/2006/picture">
                        <pic:nvPicPr>
                          <pic:cNvPr id="494" name="AutoShape_1664_SpCnt_172"/>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1" name="AutoShape_1664_SpCnt_173"/>
                  <wp:cNvGraphicFramePr/>
                  <a:graphic xmlns:a="http://schemas.openxmlformats.org/drawingml/2006/main">
                    <a:graphicData uri="http://schemas.openxmlformats.org/drawingml/2006/picture">
                      <pic:pic xmlns:pic="http://schemas.openxmlformats.org/drawingml/2006/picture">
                        <pic:nvPicPr>
                          <pic:cNvPr id="501" name="AutoShape_1664_SpCnt_17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5" name="AutoShape_1664_SpCnt_174"/>
                  <wp:cNvGraphicFramePr/>
                  <a:graphic xmlns:a="http://schemas.openxmlformats.org/drawingml/2006/main">
                    <a:graphicData uri="http://schemas.openxmlformats.org/drawingml/2006/picture">
                      <pic:pic xmlns:pic="http://schemas.openxmlformats.org/drawingml/2006/picture">
                        <pic:nvPicPr>
                          <pic:cNvPr id="495" name="AutoShape_1664_SpCnt_17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752475" cy="982345"/>
                  <wp:effectExtent l="0" t="0" r="0" b="0"/>
                  <wp:wrapNone/>
                  <wp:docPr id="497" name="AutoShape_1791_SpCnt_75"/>
                  <wp:cNvGraphicFramePr/>
                  <a:graphic xmlns:a="http://schemas.openxmlformats.org/drawingml/2006/main">
                    <a:graphicData uri="http://schemas.openxmlformats.org/drawingml/2006/picture">
                      <pic:pic xmlns:pic="http://schemas.openxmlformats.org/drawingml/2006/picture">
                        <pic:nvPicPr>
                          <pic:cNvPr id="497" name="AutoShape_1791_SpCnt_7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8" name="AutoShape_1664_SpCnt_175"/>
                  <wp:cNvGraphicFramePr/>
                  <a:graphic xmlns:a="http://schemas.openxmlformats.org/drawingml/2006/main">
                    <a:graphicData uri="http://schemas.openxmlformats.org/drawingml/2006/picture">
                      <pic:pic xmlns:pic="http://schemas.openxmlformats.org/drawingml/2006/picture">
                        <pic:nvPicPr>
                          <pic:cNvPr id="498" name="AutoShape_1664_SpCnt_17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499" name="AutoShape_1664_SpCnt_176"/>
                  <wp:cNvGraphicFramePr/>
                  <a:graphic xmlns:a="http://schemas.openxmlformats.org/drawingml/2006/main">
                    <a:graphicData uri="http://schemas.openxmlformats.org/drawingml/2006/picture">
                      <pic:pic xmlns:pic="http://schemas.openxmlformats.org/drawingml/2006/picture">
                        <pic:nvPicPr>
                          <pic:cNvPr id="499" name="AutoShape_1664_SpCnt_17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00" name="AutoShape_1664_SpCnt_177"/>
                  <wp:cNvGraphicFramePr/>
                  <a:graphic xmlns:a="http://schemas.openxmlformats.org/drawingml/2006/main">
                    <a:graphicData uri="http://schemas.openxmlformats.org/drawingml/2006/picture">
                      <pic:pic xmlns:pic="http://schemas.openxmlformats.org/drawingml/2006/picture">
                        <pic:nvPicPr>
                          <pic:cNvPr id="500" name="AutoShape_1664_SpCnt_17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502" name="AutoShape_1791_SpCnt_76"/>
                  <wp:cNvGraphicFramePr/>
                  <a:graphic xmlns:a="http://schemas.openxmlformats.org/drawingml/2006/main">
                    <a:graphicData uri="http://schemas.openxmlformats.org/drawingml/2006/picture">
                      <pic:pic xmlns:pic="http://schemas.openxmlformats.org/drawingml/2006/picture">
                        <pic:nvPicPr>
                          <pic:cNvPr id="502" name="AutoShape_1791_SpCnt_7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0" name="AutoShape_1664_SpCnt_178"/>
                  <wp:cNvGraphicFramePr/>
                  <a:graphic xmlns:a="http://schemas.openxmlformats.org/drawingml/2006/main">
                    <a:graphicData uri="http://schemas.openxmlformats.org/drawingml/2006/picture">
                      <pic:pic xmlns:pic="http://schemas.openxmlformats.org/drawingml/2006/picture">
                        <pic:nvPicPr>
                          <pic:cNvPr id="520" name="AutoShape_1664_SpCnt_17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2" name="AutoShape_1664_SpCnt_179"/>
                  <wp:cNvGraphicFramePr/>
                  <a:graphic xmlns:a="http://schemas.openxmlformats.org/drawingml/2006/main">
                    <a:graphicData uri="http://schemas.openxmlformats.org/drawingml/2006/picture">
                      <pic:pic xmlns:pic="http://schemas.openxmlformats.org/drawingml/2006/picture">
                        <pic:nvPicPr>
                          <pic:cNvPr id="532" name="AutoShape_1664_SpCnt_17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17" name="AutoShape_1664_SpCnt_180"/>
                  <wp:cNvGraphicFramePr/>
                  <a:graphic xmlns:a="http://schemas.openxmlformats.org/drawingml/2006/main">
                    <a:graphicData uri="http://schemas.openxmlformats.org/drawingml/2006/picture">
                      <pic:pic xmlns:pic="http://schemas.openxmlformats.org/drawingml/2006/picture">
                        <pic:nvPicPr>
                          <pic:cNvPr id="517" name="AutoShape_1664_SpCnt_18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533" name="AutoShape_1791_SpCnt_77"/>
                  <wp:cNvGraphicFramePr/>
                  <a:graphic xmlns:a="http://schemas.openxmlformats.org/drawingml/2006/main">
                    <a:graphicData uri="http://schemas.openxmlformats.org/drawingml/2006/picture">
                      <pic:pic xmlns:pic="http://schemas.openxmlformats.org/drawingml/2006/picture">
                        <pic:nvPicPr>
                          <pic:cNvPr id="533" name="AutoShape_1791_SpCnt_7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2" name="AutoShape_1664_SpCnt_181"/>
                  <wp:cNvGraphicFramePr/>
                  <a:graphic xmlns:a="http://schemas.openxmlformats.org/drawingml/2006/main">
                    <a:graphicData uri="http://schemas.openxmlformats.org/drawingml/2006/picture">
                      <pic:pic xmlns:pic="http://schemas.openxmlformats.org/drawingml/2006/picture">
                        <pic:nvPicPr>
                          <pic:cNvPr id="522" name="AutoShape_1664_SpCnt_18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4" name="AutoShape_1664_SpCnt_182"/>
                  <wp:cNvGraphicFramePr/>
                  <a:graphic xmlns:a="http://schemas.openxmlformats.org/drawingml/2006/main">
                    <a:graphicData uri="http://schemas.openxmlformats.org/drawingml/2006/picture">
                      <pic:pic xmlns:pic="http://schemas.openxmlformats.org/drawingml/2006/picture">
                        <pic:nvPicPr>
                          <pic:cNvPr id="534" name="AutoShape_1664_SpCnt_18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8" name="AutoShape_1664_SpCnt_183"/>
                  <wp:cNvGraphicFramePr/>
                  <a:graphic xmlns:a="http://schemas.openxmlformats.org/drawingml/2006/main">
                    <a:graphicData uri="http://schemas.openxmlformats.org/drawingml/2006/picture">
                      <pic:pic xmlns:pic="http://schemas.openxmlformats.org/drawingml/2006/picture">
                        <pic:nvPicPr>
                          <pic:cNvPr id="528" name="AutoShape_1664_SpCnt_18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786765" cy="903605"/>
                  <wp:effectExtent l="0" t="0" r="0" b="0"/>
                  <wp:wrapNone/>
                  <wp:docPr id="519" name="AutoShape_1664_SpCnt_184"/>
                  <wp:cNvGraphicFramePr/>
                  <a:graphic xmlns:a="http://schemas.openxmlformats.org/drawingml/2006/main">
                    <a:graphicData uri="http://schemas.openxmlformats.org/drawingml/2006/picture">
                      <pic:pic xmlns:pic="http://schemas.openxmlformats.org/drawingml/2006/picture">
                        <pic:nvPicPr>
                          <pic:cNvPr id="519" name="AutoShape_1664_SpCnt_18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7" name="AutoShape_1664_SpCnt_185"/>
                  <wp:cNvGraphicFramePr/>
                  <a:graphic xmlns:a="http://schemas.openxmlformats.org/drawingml/2006/main">
                    <a:graphicData uri="http://schemas.openxmlformats.org/drawingml/2006/picture">
                      <pic:pic xmlns:pic="http://schemas.openxmlformats.org/drawingml/2006/picture">
                        <pic:nvPicPr>
                          <pic:cNvPr id="537" name="AutoShape_1664_SpCnt_18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5" name="AutoShape_1664_SpCnt_186"/>
                  <wp:cNvGraphicFramePr/>
                  <a:graphic xmlns:a="http://schemas.openxmlformats.org/drawingml/2006/main">
                    <a:graphicData uri="http://schemas.openxmlformats.org/drawingml/2006/picture">
                      <pic:pic xmlns:pic="http://schemas.openxmlformats.org/drawingml/2006/picture">
                        <pic:nvPicPr>
                          <pic:cNvPr id="535" name="AutoShape_1664_SpCnt_18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0" name="AutoShape_1664_SpCnt_187"/>
                  <wp:cNvGraphicFramePr/>
                  <a:graphic xmlns:a="http://schemas.openxmlformats.org/drawingml/2006/main">
                    <a:graphicData uri="http://schemas.openxmlformats.org/drawingml/2006/picture">
                      <pic:pic xmlns:pic="http://schemas.openxmlformats.org/drawingml/2006/picture">
                        <pic:nvPicPr>
                          <pic:cNvPr id="530" name="AutoShape_1664_SpCnt_18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752475" cy="982345"/>
                  <wp:effectExtent l="0" t="0" r="0" b="0"/>
                  <wp:wrapNone/>
                  <wp:docPr id="536" name="AutoShape_1791_SpCnt_78"/>
                  <wp:cNvGraphicFramePr/>
                  <a:graphic xmlns:a="http://schemas.openxmlformats.org/drawingml/2006/main">
                    <a:graphicData uri="http://schemas.openxmlformats.org/drawingml/2006/picture">
                      <pic:pic xmlns:pic="http://schemas.openxmlformats.org/drawingml/2006/picture">
                        <pic:nvPicPr>
                          <pic:cNvPr id="536" name="AutoShape_1791_SpCnt_7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8" name="AutoShape_1664_SpCnt_188"/>
                  <wp:cNvGraphicFramePr/>
                  <a:graphic xmlns:a="http://schemas.openxmlformats.org/drawingml/2006/main">
                    <a:graphicData uri="http://schemas.openxmlformats.org/drawingml/2006/picture">
                      <pic:pic xmlns:pic="http://schemas.openxmlformats.org/drawingml/2006/picture">
                        <pic:nvPicPr>
                          <pic:cNvPr id="538" name="AutoShape_1664_SpCnt_18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18" name="AutoShape_1664_SpCnt_189"/>
                  <wp:cNvGraphicFramePr/>
                  <a:graphic xmlns:a="http://schemas.openxmlformats.org/drawingml/2006/main">
                    <a:graphicData uri="http://schemas.openxmlformats.org/drawingml/2006/picture">
                      <pic:pic xmlns:pic="http://schemas.openxmlformats.org/drawingml/2006/picture">
                        <pic:nvPicPr>
                          <pic:cNvPr id="518" name="AutoShape_1664_SpCnt_18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4" name="AutoShape_1664_SpCnt_190"/>
                  <wp:cNvGraphicFramePr/>
                  <a:graphic xmlns:a="http://schemas.openxmlformats.org/drawingml/2006/main">
                    <a:graphicData uri="http://schemas.openxmlformats.org/drawingml/2006/picture">
                      <pic:pic xmlns:pic="http://schemas.openxmlformats.org/drawingml/2006/picture">
                        <pic:nvPicPr>
                          <pic:cNvPr id="524" name="AutoShape_1664_SpCnt_19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786765" cy="903605"/>
                  <wp:effectExtent l="0" t="0" r="0" b="0"/>
                  <wp:wrapNone/>
                  <wp:docPr id="523" name="AutoShape_1664_SpCnt_191"/>
                  <wp:cNvGraphicFramePr/>
                  <a:graphic xmlns:a="http://schemas.openxmlformats.org/drawingml/2006/main">
                    <a:graphicData uri="http://schemas.openxmlformats.org/drawingml/2006/picture">
                      <pic:pic xmlns:pic="http://schemas.openxmlformats.org/drawingml/2006/picture">
                        <pic:nvPicPr>
                          <pic:cNvPr id="523" name="AutoShape_1664_SpCnt_191"/>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1" name="AutoShape_1664_SpCnt_192"/>
                  <wp:cNvGraphicFramePr/>
                  <a:graphic xmlns:a="http://schemas.openxmlformats.org/drawingml/2006/main">
                    <a:graphicData uri="http://schemas.openxmlformats.org/drawingml/2006/picture">
                      <pic:pic xmlns:pic="http://schemas.openxmlformats.org/drawingml/2006/picture">
                        <pic:nvPicPr>
                          <pic:cNvPr id="521" name="AutoShape_1664_SpCnt_19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9" name="AutoShape_1664_SpCnt_193"/>
                  <wp:cNvGraphicFramePr/>
                  <a:graphic xmlns:a="http://schemas.openxmlformats.org/drawingml/2006/main">
                    <a:graphicData uri="http://schemas.openxmlformats.org/drawingml/2006/picture">
                      <pic:pic xmlns:pic="http://schemas.openxmlformats.org/drawingml/2006/picture">
                        <pic:nvPicPr>
                          <pic:cNvPr id="529" name="AutoShape_1664_SpCnt_19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14" name="AutoShape_1664_SpCnt_194"/>
                  <wp:cNvGraphicFramePr/>
                  <a:graphic xmlns:a="http://schemas.openxmlformats.org/drawingml/2006/main">
                    <a:graphicData uri="http://schemas.openxmlformats.org/drawingml/2006/picture">
                      <pic:pic xmlns:pic="http://schemas.openxmlformats.org/drawingml/2006/picture">
                        <pic:nvPicPr>
                          <pic:cNvPr id="514" name="AutoShape_1664_SpCnt_19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752475" cy="982345"/>
                  <wp:effectExtent l="0" t="0" r="0" b="0"/>
                  <wp:wrapNone/>
                  <wp:docPr id="531" name="AutoShape_1791_SpCnt_79"/>
                  <wp:cNvGraphicFramePr/>
                  <a:graphic xmlns:a="http://schemas.openxmlformats.org/drawingml/2006/main">
                    <a:graphicData uri="http://schemas.openxmlformats.org/drawingml/2006/picture">
                      <pic:pic xmlns:pic="http://schemas.openxmlformats.org/drawingml/2006/picture">
                        <pic:nvPicPr>
                          <pic:cNvPr id="531" name="AutoShape_1791_SpCnt_7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7" name="AutoShape_1664_SpCnt_195"/>
                  <wp:cNvGraphicFramePr/>
                  <a:graphic xmlns:a="http://schemas.openxmlformats.org/drawingml/2006/main">
                    <a:graphicData uri="http://schemas.openxmlformats.org/drawingml/2006/picture">
                      <pic:pic xmlns:pic="http://schemas.openxmlformats.org/drawingml/2006/picture">
                        <pic:nvPicPr>
                          <pic:cNvPr id="527" name="AutoShape_1664_SpCnt_19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39" name="AutoShape_1664_SpCnt_196"/>
                  <wp:cNvGraphicFramePr/>
                  <a:graphic xmlns:a="http://schemas.openxmlformats.org/drawingml/2006/main">
                    <a:graphicData uri="http://schemas.openxmlformats.org/drawingml/2006/picture">
                      <pic:pic xmlns:pic="http://schemas.openxmlformats.org/drawingml/2006/picture">
                        <pic:nvPicPr>
                          <pic:cNvPr id="539" name="AutoShape_1664_SpCnt_19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15" name="AutoShape_1664_SpCnt_197"/>
                  <wp:cNvGraphicFramePr/>
                  <a:graphic xmlns:a="http://schemas.openxmlformats.org/drawingml/2006/main">
                    <a:graphicData uri="http://schemas.openxmlformats.org/drawingml/2006/picture">
                      <pic:pic xmlns:pic="http://schemas.openxmlformats.org/drawingml/2006/picture">
                        <pic:nvPicPr>
                          <pic:cNvPr id="515" name="AutoShape_1664_SpCnt_19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786765" cy="903605"/>
                  <wp:effectExtent l="0" t="0" r="0" b="0"/>
                  <wp:wrapNone/>
                  <wp:docPr id="516" name="AutoShape_1664_SpCnt_198"/>
                  <wp:cNvGraphicFramePr/>
                  <a:graphic xmlns:a="http://schemas.openxmlformats.org/drawingml/2006/main">
                    <a:graphicData uri="http://schemas.openxmlformats.org/drawingml/2006/picture">
                      <pic:pic xmlns:pic="http://schemas.openxmlformats.org/drawingml/2006/picture">
                        <pic:nvPicPr>
                          <pic:cNvPr id="516" name="AutoShape_1664_SpCnt_19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5" name="AutoShape_1664_SpCnt_199"/>
                  <wp:cNvGraphicFramePr/>
                  <a:graphic xmlns:a="http://schemas.openxmlformats.org/drawingml/2006/main">
                    <a:graphicData uri="http://schemas.openxmlformats.org/drawingml/2006/picture">
                      <pic:pic xmlns:pic="http://schemas.openxmlformats.org/drawingml/2006/picture">
                        <pic:nvPicPr>
                          <pic:cNvPr id="525" name="AutoShape_1664_SpCnt_19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26" name="AutoShape_1664_SpCnt_200"/>
                  <wp:cNvGraphicFramePr/>
                  <a:graphic xmlns:a="http://schemas.openxmlformats.org/drawingml/2006/main">
                    <a:graphicData uri="http://schemas.openxmlformats.org/drawingml/2006/picture">
                      <pic:pic xmlns:pic="http://schemas.openxmlformats.org/drawingml/2006/picture">
                        <pic:nvPicPr>
                          <pic:cNvPr id="526" name="AutoShape_1664_SpCnt_20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752475" cy="982345"/>
                  <wp:effectExtent l="0" t="0" r="0" b="0"/>
                  <wp:wrapNone/>
                  <wp:docPr id="256" name="AutoShape_1791_SpCnt_80"/>
                  <wp:cNvGraphicFramePr/>
                  <a:graphic xmlns:a="http://schemas.openxmlformats.org/drawingml/2006/main">
                    <a:graphicData uri="http://schemas.openxmlformats.org/drawingml/2006/picture">
                      <pic:pic xmlns:pic="http://schemas.openxmlformats.org/drawingml/2006/picture">
                        <pic:nvPicPr>
                          <pic:cNvPr id="256" name="AutoShape_1791_SpCnt_8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30" name="AutoShape_1664_SpCnt_201"/>
                  <wp:cNvGraphicFramePr/>
                  <a:graphic xmlns:a="http://schemas.openxmlformats.org/drawingml/2006/main">
                    <a:graphicData uri="http://schemas.openxmlformats.org/drawingml/2006/picture">
                      <pic:pic xmlns:pic="http://schemas.openxmlformats.org/drawingml/2006/picture">
                        <pic:nvPicPr>
                          <pic:cNvPr id="230" name="AutoShape_1664_SpCnt_20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5" name="AutoShape_1664_SpCnt_202"/>
                  <wp:cNvGraphicFramePr/>
                  <a:graphic xmlns:a="http://schemas.openxmlformats.org/drawingml/2006/main">
                    <a:graphicData uri="http://schemas.openxmlformats.org/drawingml/2006/picture">
                      <pic:pic xmlns:pic="http://schemas.openxmlformats.org/drawingml/2006/picture">
                        <pic:nvPicPr>
                          <pic:cNvPr id="245" name="AutoShape_1664_SpCnt_20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7" name="AutoShape_1664_SpCnt_203"/>
                  <wp:cNvGraphicFramePr/>
                  <a:graphic xmlns:a="http://schemas.openxmlformats.org/drawingml/2006/main">
                    <a:graphicData uri="http://schemas.openxmlformats.org/drawingml/2006/picture">
                      <pic:pic xmlns:pic="http://schemas.openxmlformats.org/drawingml/2006/picture">
                        <pic:nvPicPr>
                          <pic:cNvPr id="257" name="AutoShape_1664_SpCnt_20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786765" cy="859790"/>
                  <wp:effectExtent l="0" t="0" r="0" b="0"/>
                  <wp:wrapNone/>
                  <wp:docPr id="243" name="AutoShape_1664_SpCnt_204"/>
                  <wp:cNvGraphicFramePr/>
                  <a:graphic xmlns:a="http://schemas.openxmlformats.org/drawingml/2006/main">
                    <a:graphicData uri="http://schemas.openxmlformats.org/drawingml/2006/picture">
                      <pic:pic xmlns:pic="http://schemas.openxmlformats.org/drawingml/2006/picture">
                        <pic:nvPicPr>
                          <pic:cNvPr id="243" name="AutoShape_1664_SpCnt_204"/>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8" name="AutoShape_1664_SpCnt_205"/>
                  <wp:cNvGraphicFramePr/>
                  <a:graphic xmlns:a="http://schemas.openxmlformats.org/drawingml/2006/main">
                    <a:graphicData uri="http://schemas.openxmlformats.org/drawingml/2006/picture">
                      <pic:pic xmlns:pic="http://schemas.openxmlformats.org/drawingml/2006/picture">
                        <pic:nvPicPr>
                          <pic:cNvPr id="248" name="AutoShape_1664_SpCnt_20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31" name="AutoShape_1664_SpCnt_206"/>
                  <wp:cNvGraphicFramePr/>
                  <a:graphic xmlns:a="http://schemas.openxmlformats.org/drawingml/2006/main">
                    <a:graphicData uri="http://schemas.openxmlformats.org/drawingml/2006/picture">
                      <pic:pic xmlns:pic="http://schemas.openxmlformats.org/drawingml/2006/picture">
                        <pic:nvPicPr>
                          <pic:cNvPr id="231" name="AutoShape_1664_SpCnt_20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6" name="AutoShape_1664_SpCnt_207"/>
                  <wp:cNvGraphicFramePr/>
                  <a:graphic xmlns:a="http://schemas.openxmlformats.org/drawingml/2006/main">
                    <a:graphicData uri="http://schemas.openxmlformats.org/drawingml/2006/picture">
                      <pic:pic xmlns:pic="http://schemas.openxmlformats.org/drawingml/2006/picture">
                        <pic:nvPicPr>
                          <pic:cNvPr id="246" name="AutoShape_1664_SpCnt_20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752475" cy="982345"/>
                  <wp:effectExtent l="0" t="0" r="0" b="0"/>
                  <wp:wrapNone/>
                  <wp:docPr id="247" name="AutoShape_1791_SpCnt_81"/>
                  <wp:cNvGraphicFramePr/>
                  <a:graphic xmlns:a="http://schemas.openxmlformats.org/drawingml/2006/main">
                    <a:graphicData uri="http://schemas.openxmlformats.org/drawingml/2006/picture">
                      <pic:pic xmlns:pic="http://schemas.openxmlformats.org/drawingml/2006/picture">
                        <pic:nvPicPr>
                          <pic:cNvPr id="247" name="AutoShape_1791_SpCnt_8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26" name="AutoShape_1664_SpCnt_208"/>
                  <wp:cNvGraphicFramePr/>
                  <a:graphic xmlns:a="http://schemas.openxmlformats.org/drawingml/2006/main">
                    <a:graphicData uri="http://schemas.openxmlformats.org/drawingml/2006/picture">
                      <pic:pic xmlns:pic="http://schemas.openxmlformats.org/drawingml/2006/picture">
                        <pic:nvPicPr>
                          <pic:cNvPr id="226" name="AutoShape_1664_SpCnt_20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232" name="AutoShape_1664_SpCnt_209"/>
                  <wp:cNvGraphicFramePr/>
                  <a:graphic xmlns:a="http://schemas.openxmlformats.org/drawingml/2006/main">
                    <a:graphicData uri="http://schemas.openxmlformats.org/drawingml/2006/picture">
                      <pic:pic xmlns:pic="http://schemas.openxmlformats.org/drawingml/2006/picture">
                        <pic:nvPicPr>
                          <pic:cNvPr id="232" name="AutoShape_1664_SpCnt_20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2" name="AutoShape_1664_SpCnt_210"/>
                  <wp:cNvGraphicFramePr/>
                  <a:graphic xmlns:a="http://schemas.openxmlformats.org/drawingml/2006/main">
                    <a:graphicData uri="http://schemas.openxmlformats.org/drawingml/2006/picture">
                      <pic:pic xmlns:pic="http://schemas.openxmlformats.org/drawingml/2006/picture">
                        <pic:nvPicPr>
                          <pic:cNvPr id="252" name="AutoShape_1664_SpCnt_21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786765" cy="903605"/>
                  <wp:effectExtent l="0" t="0" r="0" b="0"/>
                  <wp:wrapNone/>
                  <wp:docPr id="229" name="AutoShape_1664_SpCnt_211"/>
                  <wp:cNvGraphicFramePr/>
                  <a:graphic xmlns:a="http://schemas.openxmlformats.org/drawingml/2006/main">
                    <a:graphicData uri="http://schemas.openxmlformats.org/drawingml/2006/picture">
                      <pic:pic xmlns:pic="http://schemas.openxmlformats.org/drawingml/2006/picture">
                        <pic:nvPicPr>
                          <pic:cNvPr id="229" name="AutoShape_1664_SpCnt_211"/>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5" name="AutoShape_1664_SpCnt_212"/>
                  <wp:cNvGraphicFramePr/>
                  <a:graphic xmlns:a="http://schemas.openxmlformats.org/drawingml/2006/main">
                    <a:graphicData uri="http://schemas.openxmlformats.org/drawingml/2006/picture">
                      <pic:pic xmlns:pic="http://schemas.openxmlformats.org/drawingml/2006/picture">
                        <pic:nvPicPr>
                          <pic:cNvPr id="255" name="AutoShape_1664_SpCnt_21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27" name="AutoShape_1664_SpCnt_213"/>
                  <wp:cNvGraphicFramePr/>
                  <a:graphic xmlns:a="http://schemas.openxmlformats.org/drawingml/2006/main">
                    <a:graphicData uri="http://schemas.openxmlformats.org/drawingml/2006/picture">
                      <pic:pic xmlns:pic="http://schemas.openxmlformats.org/drawingml/2006/picture">
                        <pic:nvPicPr>
                          <pic:cNvPr id="227" name="AutoShape_1664_SpCnt_21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9" name="AutoShape_1664_SpCnt_214"/>
                  <wp:cNvGraphicFramePr/>
                  <a:graphic xmlns:a="http://schemas.openxmlformats.org/drawingml/2006/main">
                    <a:graphicData uri="http://schemas.openxmlformats.org/drawingml/2006/picture">
                      <pic:pic xmlns:pic="http://schemas.openxmlformats.org/drawingml/2006/picture">
                        <pic:nvPicPr>
                          <pic:cNvPr id="249" name="AutoShape_1664_SpCnt_21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33" name="AutoShape_1664_SpCnt_215"/>
                  <wp:cNvGraphicFramePr/>
                  <a:graphic xmlns:a="http://schemas.openxmlformats.org/drawingml/2006/main">
                    <a:graphicData uri="http://schemas.openxmlformats.org/drawingml/2006/picture">
                      <pic:pic xmlns:pic="http://schemas.openxmlformats.org/drawingml/2006/picture">
                        <pic:nvPicPr>
                          <pic:cNvPr id="233" name="AutoShape_1664_SpCnt_21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39" name="AutoShape_1664_SpCnt_216"/>
                  <wp:cNvGraphicFramePr/>
                  <a:graphic xmlns:a="http://schemas.openxmlformats.org/drawingml/2006/main">
                    <a:graphicData uri="http://schemas.openxmlformats.org/drawingml/2006/picture">
                      <pic:pic xmlns:pic="http://schemas.openxmlformats.org/drawingml/2006/picture">
                        <pic:nvPicPr>
                          <pic:cNvPr id="239" name="AutoShape_1664_SpCnt_216"/>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38" name="AutoShape_1664_SpCnt_217"/>
                  <wp:cNvGraphicFramePr/>
                  <a:graphic xmlns:a="http://schemas.openxmlformats.org/drawingml/2006/main">
                    <a:graphicData uri="http://schemas.openxmlformats.org/drawingml/2006/picture">
                      <pic:pic xmlns:pic="http://schemas.openxmlformats.org/drawingml/2006/picture">
                        <pic:nvPicPr>
                          <pic:cNvPr id="238" name="AutoShape_1664_SpCnt_21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0" name="AutoShape_1664_SpCnt_218"/>
                  <wp:cNvGraphicFramePr/>
                  <a:graphic xmlns:a="http://schemas.openxmlformats.org/drawingml/2006/main">
                    <a:graphicData uri="http://schemas.openxmlformats.org/drawingml/2006/picture">
                      <pic:pic xmlns:pic="http://schemas.openxmlformats.org/drawingml/2006/picture">
                        <pic:nvPicPr>
                          <pic:cNvPr id="250" name="AutoShape_1664_SpCnt_21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752475" cy="982345"/>
                  <wp:effectExtent l="0" t="0" r="0" b="0"/>
                  <wp:wrapNone/>
                  <wp:docPr id="251" name="AutoShape_1791_SpCnt_82"/>
                  <wp:cNvGraphicFramePr/>
                  <a:graphic xmlns:a="http://schemas.openxmlformats.org/drawingml/2006/main">
                    <a:graphicData uri="http://schemas.openxmlformats.org/drawingml/2006/picture">
                      <pic:pic xmlns:pic="http://schemas.openxmlformats.org/drawingml/2006/picture">
                        <pic:nvPicPr>
                          <pic:cNvPr id="251" name="AutoShape_1791_SpCnt_8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786765" cy="859790"/>
                  <wp:effectExtent l="0" t="0" r="0" b="0"/>
                  <wp:wrapNone/>
                  <wp:docPr id="253" name="AutoShape_1664_SpCnt_219"/>
                  <wp:cNvGraphicFramePr/>
                  <a:graphic xmlns:a="http://schemas.openxmlformats.org/drawingml/2006/main">
                    <a:graphicData uri="http://schemas.openxmlformats.org/drawingml/2006/picture">
                      <pic:pic xmlns:pic="http://schemas.openxmlformats.org/drawingml/2006/picture">
                        <pic:nvPicPr>
                          <pic:cNvPr id="253" name="AutoShape_1664_SpCnt_219"/>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752475" cy="982345"/>
                  <wp:effectExtent l="0" t="0" r="0" b="0"/>
                  <wp:wrapNone/>
                  <wp:docPr id="235" name="AutoShape_1791_SpCnt_83"/>
                  <wp:cNvGraphicFramePr/>
                  <a:graphic xmlns:a="http://schemas.openxmlformats.org/drawingml/2006/main">
                    <a:graphicData uri="http://schemas.openxmlformats.org/drawingml/2006/picture">
                      <pic:pic xmlns:pic="http://schemas.openxmlformats.org/drawingml/2006/picture">
                        <pic:nvPicPr>
                          <pic:cNvPr id="235" name="AutoShape_1791_SpCnt_8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4" name="AutoShape_1664_SpCnt_220"/>
                  <wp:cNvGraphicFramePr/>
                  <a:graphic xmlns:a="http://schemas.openxmlformats.org/drawingml/2006/main">
                    <a:graphicData uri="http://schemas.openxmlformats.org/drawingml/2006/picture">
                      <pic:pic xmlns:pic="http://schemas.openxmlformats.org/drawingml/2006/picture">
                        <pic:nvPicPr>
                          <pic:cNvPr id="254" name="AutoShape_1664_SpCnt_22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28" name="AutoShape_1664_SpCnt_221"/>
                  <wp:cNvGraphicFramePr/>
                  <a:graphic xmlns:a="http://schemas.openxmlformats.org/drawingml/2006/main">
                    <a:graphicData uri="http://schemas.openxmlformats.org/drawingml/2006/picture">
                      <pic:pic xmlns:pic="http://schemas.openxmlformats.org/drawingml/2006/picture">
                        <pic:nvPicPr>
                          <pic:cNvPr id="228" name="AutoShape_1664_SpCnt_22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752475" cy="982345"/>
                  <wp:effectExtent l="0" t="0" r="0" b="0"/>
                  <wp:wrapNone/>
                  <wp:docPr id="234" name="AutoShape_1791_SpCnt_84"/>
                  <wp:cNvGraphicFramePr/>
                  <a:graphic xmlns:a="http://schemas.openxmlformats.org/drawingml/2006/main">
                    <a:graphicData uri="http://schemas.openxmlformats.org/drawingml/2006/picture">
                      <pic:pic xmlns:pic="http://schemas.openxmlformats.org/drawingml/2006/picture">
                        <pic:nvPicPr>
                          <pic:cNvPr id="234" name="AutoShape_1791_SpCnt_8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0" name="AutoShape_1664_SpCnt_222"/>
                  <wp:cNvGraphicFramePr/>
                  <a:graphic xmlns:a="http://schemas.openxmlformats.org/drawingml/2006/main">
                    <a:graphicData uri="http://schemas.openxmlformats.org/drawingml/2006/picture">
                      <pic:pic xmlns:pic="http://schemas.openxmlformats.org/drawingml/2006/picture">
                        <pic:nvPicPr>
                          <pic:cNvPr id="240" name="AutoShape_1664_SpCnt_22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236" name="AutoShape_1791_SpCnt_85"/>
                  <wp:cNvGraphicFramePr/>
                  <a:graphic xmlns:a="http://schemas.openxmlformats.org/drawingml/2006/main">
                    <a:graphicData uri="http://schemas.openxmlformats.org/drawingml/2006/picture">
                      <pic:pic xmlns:pic="http://schemas.openxmlformats.org/drawingml/2006/picture">
                        <pic:nvPicPr>
                          <pic:cNvPr id="236" name="AutoShape_1791_SpCnt_8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1" name="AutoShape_1664_SpCnt_223"/>
                  <wp:cNvGraphicFramePr/>
                  <a:graphic xmlns:a="http://schemas.openxmlformats.org/drawingml/2006/main">
                    <a:graphicData uri="http://schemas.openxmlformats.org/drawingml/2006/picture">
                      <pic:pic xmlns:pic="http://schemas.openxmlformats.org/drawingml/2006/picture">
                        <pic:nvPicPr>
                          <pic:cNvPr id="241" name="AutoShape_1664_SpCnt_22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786765" cy="903605"/>
                  <wp:effectExtent l="0" t="0" r="0" b="0"/>
                  <wp:wrapNone/>
                  <wp:docPr id="237" name="AutoShape_1664_SpCnt_224"/>
                  <wp:cNvGraphicFramePr/>
                  <a:graphic xmlns:a="http://schemas.openxmlformats.org/drawingml/2006/main">
                    <a:graphicData uri="http://schemas.openxmlformats.org/drawingml/2006/picture">
                      <pic:pic xmlns:pic="http://schemas.openxmlformats.org/drawingml/2006/picture">
                        <pic:nvPicPr>
                          <pic:cNvPr id="237" name="AutoShape_1664_SpCnt_22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752475" cy="982345"/>
                  <wp:effectExtent l="0" t="0" r="0" b="0"/>
                  <wp:wrapNone/>
                  <wp:docPr id="242" name="AutoShape_1791_SpCnt_86"/>
                  <wp:cNvGraphicFramePr/>
                  <a:graphic xmlns:a="http://schemas.openxmlformats.org/drawingml/2006/main">
                    <a:graphicData uri="http://schemas.openxmlformats.org/drawingml/2006/picture">
                      <pic:pic xmlns:pic="http://schemas.openxmlformats.org/drawingml/2006/picture">
                        <pic:nvPicPr>
                          <pic:cNvPr id="242" name="AutoShape_1791_SpCnt_8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44" name="AutoShape_1664_SpCnt_225"/>
                  <wp:cNvGraphicFramePr/>
                  <a:graphic xmlns:a="http://schemas.openxmlformats.org/drawingml/2006/main">
                    <a:graphicData uri="http://schemas.openxmlformats.org/drawingml/2006/picture">
                      <pic:pic xmlns:pic="http://schemas.openxmlformats.org/drawingml/2006/picture">
                        <pic:nvPicPr>
                          <pic:cNvPr id="244" name="AutoShape_1664_SpCnt_22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752475" cy="982345"/>
                  <wp:effectExtent l="0" t="0" r="0" b="0"/>
                  <wp:wrapNone/>
                  <wp:docPr id="282" name="AutoShape_1791_SpCnt_87"/>
                  <wp:cNvGraphicFramePr/>
                  <a:graphic xmlns:a="http://schemas.openxmlformats.org/drawingml/2006/main">
                    <a:graphicData uri="http://schemas.openxmlformats.org/drawingml/2006/picture">
                      <pic:pic xmlns:pic="http://schemas.openxmlformats.org/drawingml/2006/picture">
                        <pic:nvPicPr>
                          <pic:cNvPr id="282" name="AutoShape_1791_SpCnt_8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75" name="AutoShape_1664_SpCnt_226"/>
                  <wp:cNvGraphicFramePr/>
                  <a:graphic xmlns:a="http://schemas.openxmlformats.org/drawingml/2006/main">
                    <a:graphicData uri="http://schemas.openxmlformats.org/drawingml/2006/picture">
                      <pic:pic xmlns:pic="http://schemas.openxmlformats.org/drawingml/2006/picture">
                        <pic:nvPicPr>
                          <pic:cNvPr id="275" name="AutoShape_1664_SpCnt_226"/>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58" name="AutoShape_1664_SpCnt_227"/>
                  <wp:cNvGraphicFramePr/>
                  <a:graphic xmlns:a="http://schemas.openxmlformats.org/drawingml/2006/main">
                    <a:graphicData uri="http://schemas.openxmlformats.org/drawingml/2006/picture">
                      <pic:pic xmlns:pic="http://schemas.openxmlformats.org/drawingml/2006/picture">
                        <pic:nvPicPr>
                          <pic:cNvPr id="258" name="AutoShape_1664_SpCnt_22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752475" cy="982345"/>
                  <wp:effectExtent l="0" t="0" r="0" b="0"/>
                  <wp:wrapNone/>
                  <wp:docPr id="262" name="AutoShape_1791_SpCnt_88"/>
                  <wp:cNvGraphicFramePr/>
                  <a:graphic xmlns:a="http://schemas.openxmlformats.org/drawingml/2006/main">
                    <a:graphicData uri="http://schemas.openxmlformats.org/drawingml/2006/picture">
                      <pic:pic xmlns:pic="http://schemas.openxmlformats.org/drawingml/2006/picture">
                        <pic:nvPicPr>
                          <pic:cNvPr id="262" name="AutoShape_1791_SpCnt_8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84" name="AutoShape_1664_SpCnt_228"/>
                  <wp:cNvGraphicFramePr/>
                  <a:graphic xmlns:a="http://schemas.openxmlformats.org/drawingml/2006/main">
                    <a:graphicData uri="http://schemas.openxmlformats.org/drawingml/2006/picture">
                      <pic:pic xmlns:pic="http://schemas.openxmlformats.org/drawingml/2006/picture">
                        <pic:nvPicPr>
                          <pic:cNvPr id="284" name="AutoShape_1664_SpCnt_22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786765" cy="903605"/>
                  <wp:effectExtent l="0" t="0" r="0" b="0"/>
                  <wp:wrapNone/>
                  <wp:docPr id="285" name="AutoShape_1664_SpCnt_229"/>
                  <wp:cNvGraphicFramePr/>
                  <a:graphic xmlns:a="http://schemas.openxmlformats.org/drawingml/2006/main">
                    <a:graphicData uri="http://schemas.openxmlformats.org/drawingml/2006/picture">
                      <pic:pic xmlns:pic="http://schemas.openxmlformats.org/drawingml/2006/picture">
                        <pic:nvPicPr>
                          <pic:cNvPr id="285" name="AutoShape_1664_SpCnt_229"/>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79" name="AutoShape_1664_SpCnt_230"/>
                  <wp:cNvGraphicFramePr/>
                  <a:graphic xmlns:a="http://schemas.openxmlformats.org/drawingml/2006/main">
                    <a:graphicData uri="http://schemas.openxmlformats.org/drawingml/2006/picture">
                      <pic:pic xmlns:pic="http://schemas.openxmlformats.org/drawingml/2006/picture">
                        <pic:nvPicPr>
                          <pic:cNvPr id="279" name="AutoShape_1664_SpCnt_23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88" name="AutoShape_1664_SpCnt_231"/>
                  <wp:cNvGraphicFramePr/>
                  <a:graphic xmlns:a="http://schemas.openxmlformats.org/drawingml/2006/main">
                    <a:graphicData uri="http://schemas.openxmlformats.org/drawingml/2006/picture">
                      <pic:pic xmlns:pic="http://schemas.openxmlformats.org/drawingml/2006/picture">
                        <pic:nvPicPr>
                          <pic:cNvPr id="288" name="AutoShape_1664_SpCnt_23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274" name="AutoShape_1664_SpCnt_232"/>
                  <wp:cNvGraphicFramePr/>
                  <a:graphic xmlns:a="http://schemas.openxmlformats.org/drawingml/2006/main">
                    <a:graphicData uri="http://schemas.openxmlformats.org/drawingml/2006/picture">
                      <pic:pic xmlns:pic="http://schemas.openxmlformats.org/drawingml/2006/picture">
                        <pic:nvPicPr>
                          <pic:cNvPr id="274" name="AutoShape_1664_SpCnt_23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752475" cy="982345"/>
                  <wp:effectExtent l="0" t="0" r="0" b="0"/>
                  <wp:wrapNone/>
                  <wp:docPr id="289" name="AutoShape_1791_SpCnt_89"/>
                  <wp:cNvGraphicFramePr/>
                  <a:graphic xmlns:a="http://schemas.openxmlformats.org/drawingml/2006/main">
                    <a:graphicData uri="http://schemas.openxmlformats.org/drawingml/2006/picture">
                      <pic:pic xmlns:pic="http://schemas.openxmlformats.org/drawingml/2006/picture">
                        <pic:nvPicPr>
                          <pic:cNvPr id="289" name="AutoShape_1791_SpCnt_8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273" name="AutoShape_1664_SpCnt_233"/>
                  <wp:cNvGraphicFramePr/>
                  <a:graphic xmlns:a="http://schemas.openxmlformats.org/drawingml/2006/main">
                    <a:graphicData uri="http://schemas.openxmlformats.org/drawingml/2006/picture">
                      <pic:pic xmlns:pic="http://schemas.openxmlformats.org/drawingml/2006/picture">
                        <pic:nvPicPr>
                          <pic:cNvPr id="273" name="AutoShape_1664_SpCnt_23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86" name="AutoShape_1664_SpCnt_234"/>
                  <wp:cNvGraphicFramePr/>
                  <a:graphic xmlns:a="http://schemas.openxmlformats.org/drawingml/2006/main">
                    <a:graphicData uri="http://schemas.openxmlformats.org/drawingml/2006/picture">
                      <pic:pic xmlns:pic="http://schemas.openxmlformats.org/drawingml/2006/picture">
                        <pic:nvPicPr>
                          <pic:cNvPr id="286" name="AutoShape_1664_SpCnt_23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265" name="AutoShape_1664_SpCnt_235"/>
                  <wp:cNvGraphicFramePr/>
                  <a:graphic xmlns:a="http://schemas.openxmlformats.org/drawingml/2006/main">
                    <a:graphicData uri="http://schemas.openxmlformats.org/drawingml/2006/picture">
                      <pic:pic xmlns:pic="http://schemas.openxmlformats.org/drawingml/2006/picture">
                        <pic:nvPicPr>
                          <pic:cNvPr id="265" name="AutoShape_1664_SpCnt_23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786765" cy="903605"/>
                  <wp:effectExtent l="0" t="0" r="0" b="0"/>
                  <wp:wrapNone/>
                  <wp:docPr id="272" name="AutoShape_1664_SpCnt_236"/>
                  <wp:cNvGraphicFramePr/>
                  <a:graphic xmlns:a="http://schemas.openxmlformats.org/drawingml/2006/main">
                    <a:graphicData uri="http://schemas.openxmlformats.org/drawingml/2006/picture">
                      <pic:pic xmlns:pic="http://schemas.openxmlformats.org/drawingml/2006/picture">
                        <pic:nvPicPr>
                          <pic:cNvPr id="272" name="AutoShape_1664_SpCnt_236"/>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71" name="AutoShape_1664_SpCnt_237"/>
                  <wp:cNvGraphicFramePr/>
                  <a:graphic xmlns:a="http://schemas.openxmlformats.org/drawingml/2006/main">
                    <a:graphicData uri="http://schemas.openxmlformats.org/drawingml/2006/picture">
                      <pic:pic xmlns:pic="http://schemas.openxmlformats.org/drawingml/2006/picture">
                        <pic:nvPicPr>
                          <pic:cNvPr id="271" name="AutoShape_1664_SpCnt_23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263" name="AutoShape_1664_SpCnt_238"/>
                  <wp:cNvGraphicFramePr/>
                  <a:graphic xmlns:a="http://schemas.openxmlformats.org/drawingml/2006/main">
                    <a:graphicData uri="http://schemas.openxmlformats.org/drawingml/2006/picture">
                      <pic:pic xmlns:pic="http://schemas.openxmlformats.org/drawingml/2006/picture">
                        <pic:nvPicPr>
                          <pic:cNvPr id="263" name="AutoShape_1664_SpCnt_23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276" name="AutoShape_1664_SpCnt_239"/>
                  <wp:cNvGraphicFramePr/>
                  <a:graphic xmlns:a="http://schemas.openxmlformats.org/drawingml/2006/main">
                    <a:graphicData uri="http://schemas.openxmlformats.org/drawingml/2006/picture">
                      <pic:pic xmlns:pic="http://schemas.openxmlformats.org/drawingml/2006/picture">
                        <pic:nvPicPr>
                          <pic:cNvPr id="276" name="AutoShape_1664_SpCnt_23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752475" cy="982345"/>
                  <wp:effectExtent l="0" t="0" r="0" b="0"/>
                  <wp:wrapNone/>
                  <wp:docPr id="277" name="AutoShape_1791_SpCnt_90"/>
                  <wp:cNvGraphicFramePr/>
                  <a:graphic xmlns:a="http://schemas.openxmlformats.org/drawingml/2006/main">
                    <a:graphicData uri="http://schemas.openxmlformats.org/drawingml/2006/picture">
                      <pic:pic xmlns:pic="http://schemas.openxmlformats.org/drawingml/2006/picture">
                        <pic:nvPicPr>
                          <pic:cNvPr id="277" name="AutoShape_1791_SpCnt_9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287" name="AutoShape_1664_SpCnt_240"/>
                  <wp:cNvGraphicFramePr/>
                  <a:graphic xmlns:a="http://schemas.openxmlformats.org/drawingml/2006/main">
                    <a:graphicData uri="http://schemas.openxmlformats.org/drawingml/2006/picture">
                      <pic:pic xmlns:pic="http://schemas.openxmlformats.org/drawingml/2006/picture">
                        <pic:nvPicPr>
                          <pic:cNvPr id="287" name="AutoShape_1664_SpCnt_24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4" name="AutoShape_1664_SpCnt_241"/>
                  <wp:cNvGraphicFramePr/>
                  <a:graphic xmlns:a="http://schemas.openxmlformats.org/drawingml/2006/main">
                    <a:graphicData uri="http://schemas.openxmlformats.org/drawingml/2006/picture">
                      <pic:pic xmlns:pic="http://schemas.openxmlformats.org/drawingml/2006/picture">
                        <pic:nvPicPr>
                          <pic:cNvPr id="264" name="AutoShape_1664_SpCnt_241"/>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6" name="AutoShape_1664_SpCnt_242"/>
                  <wp:cNvGraphicFramePr/>
                  <a:graphic xmlns:a="http://schemas.openxmlformats.org/drawingml/2006/main">
                    <a:graphicData uri="http://schemas.openxmlformats.org/drawingml/2006/picture">
                      <pic:pic xmlns:pic="http://schemas.openxmlformats.org/drawingml/2006/picture">
                        <pic:nvPicPr>
                          <pic:cNvPr id="266" name="AutoShape_1664_SpCnt_24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752475" cy="982345"/>
                  <wp:effectExtent l="0" t="0" r="0" b="0"/>
                  <wp:wrapNone/>
                  <wp:docPr id="278" name="AutoShape_1791_SpCnt_91"/>
                  <wp:cNvGraphicFramePr/>
                  <a:graphic xmlns:a="http://schemas.openxmlformats.org/drawingml/2006/main">
                    <a:graphicData uri="http://schemas.openxmlformats.org/drawingml/2006/picture">
                      <pic:pic xmlns:pic="http://schemas.openxmlformats.org/drawingml/2006/picture">
                        <pic:nvPicPr>
                          <pic:cNvPr id="278" name="AutoShape_1791_SpCnt_9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80" name="AutoShape_1664_SpCnt_243"/>
                  <wp:cNvGraphicFramePr/>
                  <a:graphic xmlns:a="http://schemas.openxmlformats.org/drawingml/2006/main">
                    <a:graphicData uri="http://schemas.openxmlformats.org/drawingml/2006/picture">
                      <pic:pic xmlns:pic="http://schemas.openxmlformats.org/drawingml/2006/picture">
                        <pic:nvPicPr>
                          <pic:cNvPr id="280" name="AutoShape_1664_SpCnt_243"/>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7" name="AutoShape_1664_SpCnt_244"/>
                  <wp:cNvGraphicFramePr/>
                  <a:graphic xmlns:a="http://schemas.openxmlformats.org/drawingml/2006/main">
                    <a:graphicData uri="http://schemas.openxmlformats.org/drawingml/2006/picture">
                      <pic:pic xmlns:pic="http://schemas.openxmlformats.org/drawingml/2006/picture">
                        <pic:nvPicPr>
                          <pic:cNvPr id="267" name="AutoShape_1664_SpCnt_244"/>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59" name="AutoShape_1664_SpCnt_245"/>
                  <wp:cNvGraphicFramePr/>
                  <a:graphic xmlns:a="http://schemas.openxmlformats.org/drawingml/2006/main">
                    <a:graphicData uri="http://schemas.openxmlformats.org/drawingml/2006/picture">
                      <pic:pic xmlns:pic="http://schemas.openxmlformats.org/drawingml/2006/picture">
                        <pic:nvPicPr>
                          <pic:cNvPr id="259" name="AutoShape_1664_SpCnt_245"/>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752475" cy="982345"/>
                  <wp:effectExtent l="0" t="0" r="0" b="0"/>
                  <wp:wrapNone/>
                  <wp:docPr id="261" name="AutoShape_1791_SpCnt_92"/>
                  <wp:cNvGraphicFramePr/>
                  <a:graphic xmlns:a="http://schemas.openxmlformats.org/drawingml/2006/main">
                    <a:graphicData uri="http://schemas.openxmlformats.org/drawingml/2006/picture">
                      <pic:pic xmlns:pic="http://schemas.openxmlformats.org/drawingml/2006/picture">
                        <pic:nvPicPr>
                          <pic:cNvPr id="261" name="AutoShape_1791_SpCnt_9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81" name="AutoShape_1664_SpCnt_246"/>
                  <wp:cNvGraphicFramePr/>
                  <a:graphic xmlns:a="http://schemas.openxmlformats.org/drawingml/2006/main">
                    <a:graphicData uri="http://schemas.openxmlformats.org/drawingml/2006/picture">
                      <pic:pic xmlns:pic="http://schemas.openxmlformats.org/drawingml/2006/picture">
                        <pic:nvPicPr>
                          <pic:cNvPr id="281" name="AutoShape_1664_SpCnt_246"/>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0" name="AutoShape_1664_SpCnt_247"/>
                  <wp:cNvGraphicFramePr/>
                  <a:graphic xmlns:a="http://schemas.openxmlformats.org/drawingml/2006/main">
                    <a:graphicData uri="http://schemas.openxmlformats.org/drawingml/2006/picture">
                      <pic:pic xmlns:pic="http://schemas.openxmlformats.org/drawingml/2006/picture">
                        <pic:nvPicPr>
                          <pic:cNvPr id="260" name="AutoShape_1664_SpCnt_247"/>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8" name="AutoShape_1664_SpCnt_248"/>
                  <wp:cNvGraphicFramePr/>
                  <a:graphic xmlns:a="http://schemas.openxmlformats.org/drawingml/2006/main">
                    <a:graphicData uri="http://schemas.openxmlformats.org/drawingml/2006/picture">
                      <pic:pic xmlns:pic="http://schemas.openxmlformats.org/drawingml/2006/picture">
                        <pic:nvPicPr>
                          <pic:cNvPr id="268" name="AutoShape_1664_SpCnt_248"/>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283" name="AutoShape_1664_SpCnt_249"/>
                  <wp:cNvGraphicFramePr/>
                  <a:graphic xmlns:a="http://schemas.openxmlformats.org/drawingml/2006/main">
                    <a:graphicData uri="http://schemas.openxmlformats.org/drawingml/2006/picture">
                      <pic:pic xmlns:pic="http://schemas.openxmlformats.org/drawingml/2006/picture">
                        <pic:nvPicPr>
                          <pic:cNvPr id="283" name="AutoShape_1664_SpCnt_24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269" name="AutoShape_1664_SpCnt_250"/>
                  <wp:cNvGraphicFramePr/>
                  <a:graphic xmlns:a="http://schemas.openxmlformats.org/drawingml/2006/main">
                    <a:graphicData uri="http://schemas.openxmlformats.org/drawingml/2006/picture">
                      <pic:pic xmlns:pic="http://schemas.openxmlformats.org/drawingml/2006/picture">
                        <pic:nvPicPr>
                          <pic:cNvPr id="269" name="AutoShape_1664_SpCnt_250"/>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270" name="AutoShape_1791_SpCnt_93"/>
                  <wp:cNvGraphicFramePr/>
                  <a:graphic xmlns:a="http://schemas.openxmlformats.org/drawingml/2006/main">
                    <a:graphicData uri="http://schemas.openxmlformats.org/drawingml/2006/picture">
                      <pic:pic xmlns:pic="http://schemas.openxmlformats.org/drawingml/2006/picture">
                        <pic:nvPicPr>
                          <pic:cNvPr id="270" name="AutoShape_1791_SpCnt_9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786765" cy="903605"/>
                  <wp:effectExtent l="0" t="0" r="0" b="0"/>
                  <wp:wrapNone/>
                  <wp:docPr id="556" name="AutoShape_1664_SpCnt_251"/>
                  <wp:cNvGraphicFramePr/>
                  <a:graphic xmlns:a="http://schemas.openxmlformats.org/drawingml/2006/main">
                    <a:graphicData uri="http://schemas.openxmlformats.org/drawingml/2006/picture">
                      <pic:pic xmlns:pic="http://schemas.openxmlformats.org/drawingml/2006/picture">
                        <pic:nvPicPr>
                          <pic:cNvPr id="556" name="AutoShape_1664_SpCnt_251"/>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55" name="AutoShape_1664_SpCnt_252"/>
                  <wp:cNvGraphicFramePr/>
                  <a:graphic xmlns:a="http://schemas.openxmlformats.org/drawingml/2006/main">
                    <a:graphicData uri="http://schemas.openxmlformats.org/drawingml/2006/picture">
                      <pic:pic xmlns:pic="http://schemas.openxmlformats.org/drawingml/2006/picture">
                        <pic:nvPicPr>
                          <pic:cNvPr id="555" name="AutoShape_1664_SpCnt_25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7" name="AutoShape_1664_SpCnt_253"/>
                  <wp:cNvGraphicFramePr/>
                  <a:graphic xmlns:a="http://schemas.openxmlformats.org/drawingml/2006/main">
                    <a:graphicData uri="http://schemas.openxmlformats.org/drawingml/2006/picture">
                      <pic:pic xmlns:pic="http://schemas.openxmlformats.org/drawingml/2006/picture">
                        <pic:nvPicPr>
                          <pic:cNvPr id="567" name="AutoShape_1664_SpCnt_25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1" name="AutoShape_1664_SpCnt_254"/>
                  <wp:cNvGraphicFramePr/>
                  <a:graphic xmlns:a="http://schemas.openxmlformats.org/drawingml/2006/main">
                    <a:graphicData uri="http://schemas.openxmlformats.org/drawingml/2006/picture">
                      <pic:pic xmlns:pic="http://schemas.openxmlformats.org/drawingml/2006/picture">
                        <pic:nvPicPr>
                          <pic:cNvPr id="541" name="AutoShape_1664_SpCnt_254"/>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6" name="AutoShape_1664_SpCnt_255"/>
                  <wp:cNvGraphicFramePr/>
                  <a:graphic xmlns:a="http://schemas.openxmlformats.org/drawingml/2006/main">
                    <a:graphicData uri="http://schemas.openxmlformats.org/drawingml/2006/picture">
                      <pic:pic xmlns:pic="http://schemas.openxmlformats.org/drawingml/2006/picture">
                        <pic:nvPicPr>
                          <pic:cNvPr id="546" name="AutoShape_1664_SpCnt_255"/>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752475" cy="982345"/>
                  <wp:effectExtent l="0" t="0" r="0" b="0"/>
                  <wp:wrapNone/>
                  <wp:docPr id="549" name="AutoShape_1791_SpCnt_94"/>
                  <wp:cNvGraphicFramePr/>
                  <a:graphic xmlns:a="http://schemas.openxmlformats.org/drawingml/2006/main">
                    <a:graphicData uri="http://schemas.openxmlformats.org/drawingml/2006/picture">
                      <pic:pic xmlns:pic="http://schemas.openxmlformats.org/drawingml/2006/picture">
                        <pic:nvPicPr>
                          <pic:cNvPr id="549" name="AutoShape_1791_SpCnt_9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4" name="AutoShape_1664_SpCnt_256"/>
                  <wp:cNvGraphicFramePr/>
                  <a:graphic xmlns:a="http://schemas.openxmlformats.org/drawingml/2006/main">
                    <a:graphicData uri="http://schemas.openxmlformats.org/drawingml/2006/picture">
                      <pic:pic xmlns:pic="http://schemas.openxmlformats.org/drawingml/2006/picture">
                        <pic:nvPicPr>
                          <pic:cNvPr id="544" name="AutoShape_1664_SpCnt_256"/>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752475" cy="982345"/>
                  <wp:effectExtent l="0" t="0" r="0" b="0"/>
                  <wp:wrapNone/>
                  <wp:docPr id="542" name="AutoShape_1791_SpCnt_95"/>
                  <wp:cNvGraphicFramePr/>
                  <a:graphic xmlns:a="http://schemas.openxmlformats.org/drawingml/2006/main">
                    <a:graphicData uri="http://schemas.openxmlformats.org/drawingml/2006/picture">
                      <pic:pic xmlns:pic="http://schemas.openxmlformats.org/drawingml/2006/picture">
                        <pic:nvPicPr>
                          <pic:cNvPr id="542" name="AutoShape_1791_SpCnt_9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60" name="AutoShape_1664_SpCnt_257"/>
                  <wp:cNvGraphicFramePr/>
                  <a:graphic xmlns:a="http://schemas.openxmlformats.org/drawingml/2006/main">
                    <a:graphicData uri="http://schemas.openxmlformats.org/drawingml/2006/picture">
                      <pic:pic xmlns:pic="http://schemas.openxmlformats.org/drawingml/2006/picture">
                        <pic:nvPicPr>
                          <pic:cNvPr id="560" name="AutoShape_1664_SpCnt_257"/>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8" name="AutoShape_1664_SpCnt_258"/>
                  <wp:cNvGraphicFramePr/>
                  <a:graphic xmlns:a="http://schemas.openxmlformats.org/drawingml/2006/main">
                    <a:graphicData uri="http://schemas.openxmlformats.org/drawingml/2006/picture">
                      <pic:pic xmlns:pic="http://schemas.openxmlformats.org/drawingml/2006/picture">
                        <pic:nvPicPr>
                          <pic:cNvPr id="568" name="AutoShape_1664_SpCnt_25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3" name="AutoShape_1664_SpCnt_259"/>
                  <wp:cNvGraphicFramePr/>
                  <a:graphic xmlns:a="http://schemas.openxmlformats.org/drawingml/2006/main">
                    <a:graphicData uri="http://schemas.openxmlformats.org/drawingml/2006/picture">
                      <pic:pic xmlns:pic="http://schemas.openxmlformats.org/drawingml/2006/picture">
                        <pic:nvPicPr>
                          <pic:cNvPr id="543" name="AutoShape_1664_SpCnt_259"/>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5" name="AutoShape_1664_SpCnt_260"/>
                  <wp:cNvGraphicFramePr/>
                  <a:graphic xmlns:a="http://schemas.openxmlformats.org/drawingml/2006/main">
                    <a:graphicData uri="http://schemas.openxmlformats.org/drawingml/2006/picture">
                      <pic:pic xmlns:pic="http://schemas.openxmlformats.org/drawingml/2006/picture">
                        <pic:nvPicPr>
                          <pic:cNvPr id="545" name="AutoShape_1664_SpCnt_260"/>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550" name="AutoShape_1791_SpCnt_96"/>
                  <wp:cNvGraphicFramePr/>
                  <a:graphic xmlns:a="http://schemas.openxmlformats.org/drawingml/2006/main">
                    <a:graphicData uri="http://schemas.openxmlformats.org/drawingml/2006/picture">
                      <pic:pic xmlns:pic="http://schemas.openxmlformats.org/drawingml/2006/picture">
                        <pic:nvPicPr>
                          <pic:cNvPr id="550" name="AutoShape_1791_SpCnt_96"/>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65" name="AutoShape_1664_SpCnt_261"/>
                  <wp:cNvGraphicFramePr/>
                  <a:graphic xmlns:a="http://schemas.openxmlformats.org/drawingml/2006/main">
                    <a:graphicData uri="http://schemas.openxmlformats.org/drawingml/2006/picture">
                      <pic:pic xmlns:pic="http://schemas.openxmlformats.org/drawingml/2006/picture">
                        <pic:nvPicPr>
                          <pic:cNvPr id="565" name="AutoShape_1664_SpCnt_261"/>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71" name="AutoShape_1664_SpCnt_262"/>
                  <wp:cNvGraphicFramePr/>
                  <a:graphic xmlns:a="http://schemas.openxmlformats.org/drawingml/2006/main">
                    <a:graphicData uri="http://schemas.openxmlformats.org/drawingml/2006/picture">
                      <pic:pic xmlns:pic="http://schemas.openxmlformats.org/drawingml/2006/picture">
                        <pic:nvPicPr>
                          <pic:cNvPr id="571" name="AutoShape_1664_SpCnt_26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70" name="AutoShape_1664_SpCnt_263"/>
                  <wp:cNvGraphicFramePr/>
                  <a:graphic xmlns:a="http://schemas.openxmlformats.org/drawingml/2006/main">
                    <a:graphicData uri="http://schemas.openxmlformats.org/drawingml/2006/picture">
                      <pic:pic xmlns:pic="http://schemas.openxmlformats.org/drawingml/2006/picture">
                        <pic:nvPicPr>
                          <pic:cNvPr id="570" name="AutoShape_1664_SpCnt_263"/>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752475" cy="982345"/>
                  <wp:effectExtent l="0" t="0" r="0" b="0"/>
                  <wp:wrapNone/>
                  <wp:docPr id="547" name="AutoShape_1791_SpCnt_97"/>
                  <wp:cNvGraphicFramePr/>
                  <a:graphic xmlns:a="http://schemas.openxmlformats.org/drawingml/2006/main">
                    <a:graphicData uri="http://schemas.openxmlformats.org/drawingml/2006/picture">
                      <pic:pic xmlns:pic="http://schemas.openxmlformats.org/drawingml/2006/picture">
                        <pic:nvPicPr>
                          <pic:cNvPr id="547" name="AutoShape_1791_SpCnt_9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51" name="AutoShape_1664_SpCnt_264"/>
                  <wp:cNvGraphicFramePr/>
                  <a:graphic xmlns:a="http://schemas.openxmlformats.org/drawingml/2006/main">
                    <a:graphicData uri="http://schemas.openxmlformats.org/drawingml/2006/picture">
                      <pic:pic xmlns:pic="http://schemas.openxmlformats.org/drawingml/2006/picture">
                        <pic:nvPicPr>
                          <pic:cNvPr id="551" name="AutoShape_1664_SpCnt_264"/>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61" name="AutoShape_1664_SpCnt_265"/>
                  <wp:cNvGraphicFramePr/>
                  <a:graphic xmlns:a="http://schemas.openxmlformats.org/drawingml/2006/main">
                    <a:graphicData uri="http://schemas.openxmlformats.org/drawingml/2006/picture">
                      <pic:pic xmlns:pic="http://schemas.openxmlformats.org/drawingml/2006/picture">
                        <pic:nvPicPr>
                          <pic:cNvPr id="561" name="AutoShape_1664_SpCnt_265"/>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48" name="AutoShape_1664_SpCnt_266"/>
                  <wp:cNvGraphicFramePr/>
                  <a:graphic xmlns:a="http://schemas.openxmlformats.org/drawingml/2006/main">
                    <a:graphicData uri="http://schemas.openxmlformats.org/drawingml/2006/picture">
                      <pic:pic xmlns:pic="http://schemas.openxmlformats.org/drawingml/2006/picture">
                        <pic:nvPicPr>
                          <pic:cNvPr id="548" name="AutoShape_1664_SpCnt_266"/>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786765" cy="903605"/>
                  <wp:effectExtent l="0" t="0" r="0" b="0"/>
                  <wp:wrapNone/>
                  <wp:docPr id="540" name="AutoShape_1664_SpCnt_267"/>
                  <wp:cNvGraphicFramePr/>
                  <a:graphic xmlns:a="http://schemas.openxmlformats.org/drawingml/2006/main">
                    <a:graphicData uri="http://schemas.openxmlformats.org/drawingml/2006/picture">
                      <pic:pic xmlns:pic="http://schemas.openxmlformats.org/drawingml/2006/picture">
                        <pic:nvPicPr>
                          <pic:cNvPr id="540" name="AutoShape_1664_SpCnt_267"/>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552" name="AutoShape_1664_SpCnt_268"/>
                  <wp:cNvGraphicFramePr/>
                  <a:graphic xmlns:a="http://schemas.openxmlformats.org/drawingml/2006/main">
                    <a:graphicData uri="http://schemas.openxmlformats.org/drawingml/2006/picture">
                      <pic:pic xmlns:pic="http://schemas.openxmlformats.org/drawingml/2006/picture">
                        <pic:nvPicPr>
                          <pic:cNvPr id="552" name="AutoShape_1664_SpCnt_268"/>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53" name="AutoShape_1664_SpCnt_269"/>
                  <wp:cNvGraphicFramePr/>
                  <a:graphic xmlns:a="http://schemas.openxmlformats.org/drawingml/2006/main">
                    <a:graphicData uri="http://schemas.openxmlformats.org/drawingml/2006/picture">
                      <pic:pic xmlns:pic="http://schemas.openxmlformats.org/drawingml/2006/picture">
                        <pic:nvPicPr>
                          <pic:cNvPr id="553" name="AutoShape_1664_SpCnt_26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54" name="AutoShape_1664_SpCnt_270"/>
                  <wp:cNvGraphicFramePr/>
                  <a:graphic xmlns:a="http://schemas.openxmlformats.org/drawingml/2006/main">
                    <a:graphicData uri="http://schemas.openxmlformats.org/drawingml/2006/picture">
                      <pic:pic xmlns:pic="http://schemas.openxmlformats.org/drawingml/2006/picture">
                        <pic:nvPicPr>
                          <pic:cNvPr id="554" name="AutoShape_1664_SpCnt_27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752475" cy="982345"/>
                  <wp:effectExtent l="0" t="0" r="0" b="0"/>
                  <wp:wrapNone/>
                  <wp:docPr id="569" name="AutoShape_1791_SpCnt_98"/>
                  <wp:cNvGraphicFramePr/>
                  <a:graphic xmlns:a="http://schemas.openxmlformats.org/drawingml/2006/main">
                    <a:graphicData uri="http://schemas.openxmlformats.org/drawingml/2006/picture">
                      <pic:pic xmlns:pic="http://schemas.openxmlformats.org/drawingml/2006/picture">
                        <pic:nvPicPr>
                          <pic:cNvPr id="569" name="AutoShape_1791_SpCnt_9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57" name="AutoShape_1664_SpCnt_271"/>
                  <wp:cNvGraphicFramePr/>
                  <a:graphic xmlns:a="http://schemas.openxmlformats.org/drawingml/2006/main">
                    <a:graphicData uri="http://schemas.openxmlformats.org/drawingml/2006/picture">
                      <pic:pic xmlns:pic="http://schemas.openxmlformats.org/drawingml/2006/picture">
                        <pic:nvPicPr>
                          <pic:cNvPr id="557" name="AutoShape_1664_SpCnt_27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58" name="AutoShape_1664_SpCnt_272"/>
                  <wp:cNvGraphicFramePr/>
                  <a:graphic xmlns:a="http://schemas.openxmlformats.org/drawingml/2006/main">
                    <a:graphicData uri="http://schemas.openxmlformats.org/drawingml/2006/picture">
                      <pic:pic xmlns:pic="http://schemas.openxmlformats.org/drawingml/2006/picture">
                        <pic:nvPicPr>
                          <pic:cNvPr id="558" name="AutoShape_1664_SpCnt_27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3" name="AutoShape_1664_SpCnt_273"/>
                  <wp:cNvGraphicFramePr/>
                  <a:graphic xmlns:a="http://schemas.openxmlformats.org/drawingml/2006/main">
                    <a:graphicData uri="http://schemas.openxmlformats.org/drawingml/2006/picture">
                      <pic:pic xmlns:pic="http://schemas.openxmlformats.org/drawingml/2006/picture">
                        <pic:nvPicPr>
                          <pic:cNvPr id="563" name="AutoShape_1664_SpCnt_27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786765" cy="903605"/>
                  <wp:effectExtent l="0" t="0" r="0" b="0"/>
                  <wp:wrapNone/>
                  <wp:docPr id="559" name="AutoShape_1664_SpCnt_274"/>
                  <wp:cNvGraphicFramePr/>
                  <a:graphic xmlns:a="http://schemas.openxmlformats.org/drawingml/2006/main">
                    <a:graphicData uri="http://schemas.openxmlformats.org/drawingml/2006/picture">
                      <pic:pic xmlns:pic="http://schemas.openxmlformats.org/drawingml/2006/picture">
                        <pic:nvPicPr>
                          <pic:cNvPr id="559" name="AutoShape_1664_SpCnt_27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2" name="AutoShape_1664_SpCnt_275"/>
                  <wp:cNvGraphicFramePr/>
                  <a:graphic xmlns:a="http://schemas.openxmlformats.org/drawingml/2006/main">
                    <a:graphicData uri="http://schemas.openxmlformats.org/drawingml/2006/picture">
                      <pic:pic xmlns:pic="http://schemas.openxmlformats.org/drawingml/2006/picture">
                        <pic:nvPicPr>
                          <pic:cNvPr id="562" name="AutoShape_1664_SpCnt_27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6" name="AutoShape_1664_SpCnt_276"/>
                  <wp:cNvGraphicFramePr/>
                  <a:graphic xmlns:a="http://schemas.openxmlformats.org/drawingml/2006/main">
                    <a:graphicData uri="http://schemas.openxmlformats.org/drawingml/2006/picture">
                      <pic:pic xmlns:pic="http://schemas.openxmlformats.org/drawingml/2006/picture">
                        <pic:nvPicPr>
                          <pic:cNvPr id="566" name="AutoShape_1664_SpCnt_27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64" name="AutoShape_1664_SpCnt_277"/>
                  <wp:cNvGraphicFramePr/>
                  <a:graphic xmlns:a="http://schemas.openxmlformats.org/drawingml/2006/main">
                    <a:graphicData uri="http://schemas.openxmlformats.org/drawingml/2006/picture">
                      <pic:pic xmlns:pic="http://schemas.openxmlformats.org/drawingml/2006/picture">
                        <pic:nvPicPr>
                          <pic:cNvPr id="564" name="AutoShape_1664_SpCnt_27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752475" cy="982345"/>
                  <wp:effectExtent l="0" t="0" r="0" b="0"/>
                  <wp:wrapNone/>
                  <wp:docPr id="598" name="AutoShape_1791_SpCnt_99"/>
                  <wp:cNvGraphicFramePr/>
                  <a:graphic xmlns:a="http://schemas.openxmlformats.org/drawingml/2006/main">
                    <a:graphicData uri="http://schemas.openxmlformats.org/drawingml/2006/picture">
                      <pic:pic xmlns:pic="http://schemas.openxmlformats.org/drawingml/2006/picture">
                        <pic:nvPicPr>
                          <pic:cNvPr id="598" name="AutoShape_1791_SpCnt_9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9" name="AutoShape_1664_SpCnt_278"/>
                  <wp:cNvGraphicFramePr/>
                  <a:graphic xmlns:a="http://schemas.openxmlformats.org/drawingml/2006/main">
                    <a:graphicData uri="http://schemas.openxmlformats.org/drawingml/2006/picture">
                      <pic:pic xmlns:pic="http://schemas.openxmlformats.org/drawingml/2006/picture">
                        <pic:nvPicPr>
                          <pic:cNvPr id="599" name="AutoShape_1664_SpCnt_27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2" name="AutoShape_1664_SpCnt_279"/>
                  <wp:cNvGraphicFramePr/>
                  <a:graphic xmlns:a="http://schemas.openxmlformats.org/drawingml/2006/main">
                    <a:graphicData uri="http://schemas.openxmlformats.org/drawingml/2006/picture">
                      <pic:pic xmlns:pic="http://schemas.openxmlformats.org/drawingml/2006/picture">
                        <pic:nvPicPr>
                          <pic:cNvPr id="592" name="AutoShape_1664_SpCnt_27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752475" cy="982345"/>
                  <wp:effectExtent l="0" t="0" r="0" b="0"/>
                  <wp:wrapNone/>
                  <wp:docPr id="575" name="AutoShape_1791_SpCnt_100"/>
                  <wp:cNvGraphicFramePr/>
                  <a:graphic xmlns:a="http://schemas.openxmlformats.org/drawingml/2006/main">
                    <a:graphicData uri="http://schemas.openxmlformats.org/drawingml/2006/picture">
                      <pic:pic xmlns:pic="http://schemas.openxmlformats.org/drawingml/2006/picture">
                        <pic:nvPicPr>
                          <pic:cNvPr id="575" name="AutoShape_1791_SpCnt_10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786765" cy="859790"/>
                  <wp:effectExtent l="0" t="0" r="0" b="0"/>
                  <wp:wrapNone/>
                  <wp:docPr id="587" name="AutoShape_1664_SpCnt_280"/>
                  <wp:cNvGraphicFramePr/>
                  <a:graphic xmlns:a="http://schemas.openxmlformats.org/drawingml/2006/main">
                    <a:graphicData uri="http://schemas.openxmlformats.org/drawingml/2006/picture">
                      <pic:pic xmlns:pic="http://schemas.openxmlformats.org/drawingml/2006/picture">
                        <pic:nvPicPr>
                          <pic:cNvPr id="587" name="AutoShape_1664_SpCnt_280"/>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752475" cy="982345"/>
                  <wp:effectExtent l="0" t="0" r="0" b="0"/>
                  <wp:wrapNone/>
                  <wp:docPr id="600" name="AutoShape_1791_SpCnt_101"/>
                  <wp:cNvGraphicFramePr/>
                  <a:graphic xmlns:a="http://schemas.openxmlformats.org/drawingml/2006/main">
                    <a:graphicData uri="http://schemas.openxmlformats.org/drawingml/2006/picture">
                      <pic:pic xmlns:pic="http://schemas.openxmlformats.org/drawingml/2006/picture">
                        <pic:nvPicPr>
                          <pic:cNvPr id="600" name="AutoShape_1791_SpCnt_10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9" name="AutoShape_1664_SpCnt_281"/>
                  <wp:cNvGraphicFramePr/>
                  <a:graphic xmlns:a="http://schemas.openxmlformats.org/drawingml/2006/main">
                    <a:graphicData uri="http://schemas.openxmlformats.org/drawingml/2006/picture">
                      <pic:pic xmlns:pic="http://schemas.openxmlformats.org/drawingml/2006/picture">
                        <pic:nvPicPr>
                          <pic:cNvPr id="579" name="AutoShape_1664_SpCnt_28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4" name="AutoShape_1664_SpCnt_282"/>
                  <wp:cNvGraphicFramePr/>
                  <a:graphic xmlns:a="http://schemas.openxmlformats.org/drawingml/2006/main">
                    <a:graphicData uri="http://schemas.openxmlformats.org/drawingml/2006/picture">
                      <pic:pic xmlns:pic="http://schemas.openxmlformats.org/drawingml/2006/picture">
                        <pic:nvPicPr>
                          <pic:cNvPr id="594" name="AutoShape_1664_SpCnt_28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786765" cy="859790"/>
                  <wp:effectExtent l="0" t="0" r="0" b="0"/>
                  <wp:wrapNone/>
                  <wp:docPr id="601" name="AutoShape_1664_SpCnt_283"/>
                  <wp:cNvGraphicFramePr/>
                  <a:graphic xmlns:a="http://schemas.openxmlformats.org/drawingml/2006/main">
                    <a:graphicData uri="http://schemas.openxmlformats.org/drawingml/2006/picture">
                      <pic:pic xmlns:pic="http://schemas.openxmlformats.org/drawingml/2006/picture">
                        <pic:nvPicPr>
                          <pic:cNvPr id="601" name="AutoShape_1664_SpCnt_28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86" name="AutoShape_1664_SpCnt_284"/>
                  <wp:cNvGraphicFramePr/>
                  <a:graphic xmlns:a="http://schemas.openxmlformats.org/drawingml/2006/main">
                    <a:graphicData uri="http://schemas.openxmlformats.org/drawingml/2006/picture">
                      <pic:pic xmlns:pic="http://schemas.openxmlformats.org/drawingml/2006/picture">
                        <pic:nvPicPr>
                          <pic:cNvPr id="586" name="AutoShape_1664_SpCnt_28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752475" cy="982345"/>
                  <wp:effectExtent l="0" t="0" r="0" b="0"/>
                  <wp:wrapNone/>
                  <wp:docPr id="580" name="AutoShape_1791_SpCnt_102"/>
                  <wp:cNvGraphicFramePr/>
                  <a:graphic xmlns:a="http://schemas.openxmlformats.org/drawingml/2006/main">
                    <a:graphicData uri="http://schemas.openxmlformats.org/drawingml/2006/picture">
                      <pic:pic xmlns:pic="http://schemas.openxmlformats.org/drawingml/2006/picture">
                        <pic:nvPicPr>
                          <pic:cNvPr id="580" name="AutoShape_1791_SpCnt_10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3" name="AutoShape_1664_SpCnt_285"/>
                  <wp:cNvGraphicFramePr/>
                  <a:graphic xmlns:a="http://schemas.openxmlformats.org/drawingml/2006/main">
                    <a:graphicData uri="http://schemas.openxmlformats.org/drawingml/2006/picture">
                      <pic:pic xmlns:pic="http://schemas.openxmlformats.org/drawingml/2006/picture">
                        <pic:nvPicPr>
                          <pic:cNvPr id="593" name="AutoShape_1664_SpCnt_28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597" name="AutoShape_1791_SpCnt_103"/>
                  <wp:cNvGraphicFramePr/>
                  <a:graphic xmlns:a="http://schemas.openxmlformats.org/drawingml/2006/main">
                    <a:graphicData uri="http://schemas.openxmlformats.org/drawingml/2006/picture">
                      <pic:pic xmlns:pic="http://schemas.openxmlformats.org/drawingml/2006/picture">
                        <pic:nvPicPr>
                          <pic:cNvPr id="597" name="AutoShape_1791_SpCnt_10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584" name="AutoShape_1791_SpCnt_104"/>
                  <wp:cNvGraphicFramePr/>
                  <a:graphic xmlns:a="http://schemas.openxmlformats.org/drawingml/2006/main">
                    <a:graphicData uri="http://schemas.openxmlformats.org/drawingml/2006/picture">
                      <pic:pic xmlns:pic="http://schemas.openxmlformats.org/drawingml/2006/picture">
                        <pic:nvPicPr>
                          <pic:cNvPr id="584" name="AutoShape_1791_SpCnt_10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81" name="AutoShape_1664_SpCnt_286"/>
                  <wp:cNvGraphicFramePr/>
                  <a:graphic xmlns:a="http://schemas.openxmlformats.org/drawingml/2006/main">
                    <a:graphicData uri="http://schemas.openxmlformats.org/drawingml/2006/picture">
                      <pic:pic xmlns:pic="http://schemas.openxmlformats.org/drawingml/2006/picture">
                        <pic:nvPicPr>
                          <pic:cNvPr id="581" name="AutoShape_1664_SpCnt_28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752475" cy="982345"/>
                  <wp:effectExtent l="0" t="0" r="0" b="0"/>
                  <wp:wrapNone/>
                  <wp:docPr id="595" name="AutoShape_1791_SpCnt_105"/>
                  <wp:cNvGraphicFramePr/>
                  <a:graphic xmlns:a="http://schemas.openxmlformats.org/drawingml/2006/main">
                    <a:graphicData uri="http://schemas.openxmlformats.org/drawingml/2006/picture">
                      <pic:pic xmlns:pic="http://schemas.openxmlformats.org/drawingml/2006/picture">
                        <pic:nvPicPr>
                          <pic:cNvPr id="595" name="AutoShape_1791_SpCnt_10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786765" cy="903605"/>
                  <wp:effectExtent l="0" t="0" r="0" b="0"/>
                  <wp:wrapNone/>
                  <wp:docPr id="585" name="AutoShape_1664_SpCnt_287"/>
                  <wp:cNvGraphicFramePr/>
                  <a:graphic xmlns:a="http://schemas.openxmlformats.org/drawingml/2006/main">
                    <a:graphicData uri="http://schemas.openxmlformats.org/drawingml/2006/picture">
                      <pic:pic xmlns:pic="http://schemas.openxmlformats.org/drawingml/2006/picture">
                        <pic:nvPicPr>
                          <pic:cNvPr id="585" name="AutoShape_1664_SpCnt_287"/>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02" name="AutoShape_1664_SpCnt_288"/>
                  <wp:cNvGraphicFramePr/>
                  <a:graphic xmlns:a="http://schemas.openxmlformats.org/drawingml/2006/main">
                    <a:graphicData uri="http://schemas.openxmlformats.org/drawingml/2006/picture">
                      <pic:pic xmlns:pic="http://schemas.openxmlformats.org/drawingml/2006/picture">
                        <pic:nvPicPr>
                          <pic:cNvPr id="602" name="AutoShape_1664_SpCnt_28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752475" cy="982345"/>
                  <wp:effectExtent l="0" t="0" r="0" b="0"/>
                  <wp:wrapNone/>
                  <wp:docPr id="588" name="AutoShape_1791_SpCnt_106"/>
                  <wp:cNvGraphicFramePr/>
                  <a:graphic xmlns:a="http://schemas.openxmlformats.org/drawingml/2006/main">
                    <a:graphicData uri="http://schemas.openxmlformats.org/drawingml/2006/picture">
                      <pic:pic xmlns:pic="http://schemas.openxmlformats.org/drawingml/2006/picture">
                        <pic:nvPicPr>
                          <pic:cNvPr id="588" name="AutoShape_1791_SpCnt_10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4" name="AutoShape_1664_SpCnt_289"/>
                  <wp:cNvGraphicFramePr/>
                  <a:graphic xmlns:a="http://schemas.openxmlformats.org/drawingml/2006/main">
                    <a:graphicData uri="http://schemas.openxmlformats.org/drawingml/2006/picture">
                      <pic:pic xmlns:pic="http://schemas.openxmlformats.org/drawingml/2006/picture">
                        <pic:nvPicPr>
                          <pic:cNvPr id="574" name="AutoShape_1664_SpCnt_28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786765" cy="903605"/>
                  <wp:effectExtent l="0" t="0" r="0" b="0"/>
                  <wp:wrapNone/>
                  <wp:docPr id="589" name="AutoShape_1664_SpCnt_290"/>
                  <wp:cNvGraphicFramePr/>
                  <a:graphic xmlns:a="http://schemas.openxmlformats.org/drawingml/2006/main">
                    <a:graphicData uri="http://schemas.openxmlformats.org/drawingml/2006/picture">
                      <pic:pic xmlns:pic="http://schemas.openxmlformats.org/drawingml/2006/picture">
                        <pic:nvPicPr>
                          <pic:cNvPr id="589" name="AutoShape_1664_SpCnt_290"/>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82" name="AutoShape_1664_SpCnt_291"/>
                  <wp:cNvGraphicFramePr/>
                  <a:graphic xmlns:a="http://schemas.openxmlformats.org/drawingml/2006/main">
                    <a:graphicData uri="http://schemas.openxmlformats.org/drawingml/2006/picture">
                      <pic:pic xmlns:pic="http://schemas.openxmlformats.org/drawingml/2006/picture">
                        <pic:nvPicPr>
                          <pic:cNvPr id="582" name="AutoShape_1664_SpCnt_29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83" name="AutoShape_1664_SpCnt_292"/>
                  <wp:cNvGraphicFramePr/>
                  <a:graphic xmlns:a="http://schemas.openxmlformats.org/drawingml/2006/main">
                    <a:graphicData uri="http://schemas.openxmlformats.org/drawingml/2006/picture">
                      <pic:pic xmlns:pic="http://schemas.openxmlformats.org/drawingml/2006/picture">
                        <pic:nvPicPr>
                          <pic:cNvPr id="583" name="AutoShape_1664_SpCnt_29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03" name="AutoShape_1664_SpCnt_293"/>
                  <wp:cNvGraphicFramePr/>
                  <a:graphic xmlns:a="http://schemas.openxmlformats.org/drawingml/2006/main">
                    <a:graphicData uri="http://schemas.openxmlformats.org/drawingml/2006/picture">
                      <pic:pic xmlns:pic="http://schemas.openxmlformats.org/drawingml/2006/picture">
                        <pic:nvPicPr>
                          <pic:cNvPr id="603" name="AutoShape_1664_SpCnt_29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786765" cy="903605"/>
                  <wp:effectExtent l="0" t="0" r="0" b="0"/>
                  <wp:wrapNone/>
                  <wp:docPr id="576" name="AutoShape_1664_SpCnt_294"/>
                  <wp:cNvGraphicFramePr/>
                  <a:graphic xmlns:a="http://schemas.openxmlformats.org/drawingml/2006/main">
                    <a:graphicData uri="http://schemas.openxmlformats.org/drawingml/2006/picture">
                      <pic:pic xmlns:pic="http://schemas.openxmlformats.org/drawingml/2006/picture">
                        <pic:nvPicPr>
                          <pic:cNvPr id="576" name="AutoShape_1664_SpCnt_294"/>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0" name="AutoShape_1664_SpCnt_295"/>
                  <wp:cNvGraphicFramePr/>
                  <a:graphic xmlns:a="http://schemas.openxmlformats.org/drawingml/2006/main">
                    <a:graphicData uri="http://schemas.openxmlformats.org/drawingml/2006/picture">
                      <pic:pic xmlns:pic="http://schemas.openxmlformats.org/drawingml/2006/picture">
                        <pic:nvPicPr>
                          <pic:cNvPr id="590" name="AutoShape_1664_SpCnt_29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91" name="AutoShape_1664_SpCnt_296"/>
                  <wp:cNvGraphicFramePr/>
                  <a:graphic xmlns:a="http://schemas.openxmlformats.org/drawingml/2006/main">
                    <a:graphicData uri="http://schemas.openxmlformats.org/drawingml/2006/picture">
                      <pic:pic xmlns:pic="http://schemas.openxmlformats.org/drawingml/2006/picture">
                        <pic:nvPicPr>
                          <pic:cNvPr id="591" name="AutoShape_1664_SpCnt_29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8" name="AutoShape_1664_SpCnt_297"/>
                  <wp:cNvGraphicFramePr/>
                  <a:graphic xmlns:a="http://schemas.openxmlformats.org/drawingml/2006/main">
                    <a:graphicData uri="http://schemas.openxmlformats.org/drawingml/2006/picture">
                      <pic:pic xmlns:pic="http://schemas.openxmlformats.org/drawingml/2006/picture">
                        <pic:nvPicPr>
                          <pic:cNvPr id="578" name="AutoShape_1664_SpCnt_29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596" name="AutoShape_1664_SpCnt_298"/>
                  <wp:cNvGraphicFramePr/>
                  <a:graphic xmlns:a="http://schemas.openxmlformats.org/drawingml/2006/main">
                    <a:graphicData uri="http://schemas.openxmlformats.org/drawingml/2006/picture">
                      <pic:pic xmlns:pic="http://schemas.openxmlformats.org/drawingml/2006/picture">
                        <pic:nvPicPr>
                          <pic:cNvPr id="596" name="AutoShape_1664_SpCnt_29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7" name="AutoShape_1664_SpCnt_299"/>
                  <wp:cNvGraphicFramePr/>
                  <a:graphic xmlns:a="http://schemas.openxmlformats.org/drawingml/2006/main">
                    <a:graphicData uri="http://schemas.openxmlformats.org/drawingml/2006/picture">
                      <pic:pic xmlns:pic="http://schemas.openxmlformats.org/drawingml/2006/picture">
                        <pic:nvPicPr>
                          <pic:cNvPr id="577" name="AutoShape_1664_SpCnt_29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2" name="AutoShape_1664_SpCnt_300"/>
                  <wp:cNvGraphicFramePr/>
                  <a:graphic xmlns:a="http://schemas.openxmlformats.org/drawingml/2006/main">
                    <a:graphicData uri="http://schemas.openxmlformats.org/drawingml/2006/picture">
                      <pic:pic xmlns:pic="http://schemas.openxmlformats.org/drawingml/2006/picture">
                        <pic:nvPicPr>
                          <pic:cNvPr id="572" name="AutoShape_1664_SpCnt_30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573" name="AutoShape_1664_SpCnt_301"/>
                  <wp:cNvGraphicFramePr/>
                  <a:graphic xmlns:a="http://schemas.openxmlformats.org/drawingml/2006/main">
                    <a:graphicData uri="http://schemas.openxmlformats.org/drawingml/2006/picture">
                      <pic:pic xmlns:pic="http://schemas.openxmlformats.org/drawingml/2006/picture">
                        <pic:nvPicPr>
                          <pic:cNvPr id="573" name="AutoShape_1664_SpCnt_30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786765" cy="1412240"/>
                  <wp:effectExtent l="0" t="0" r="0" b="0"/>
                  <wp:wrapNone/>
                  <wp:docPr id="625" name="AutoShape_1664_SpCnt_302"/>
                  <wp:cNvGraphicFramePr/>
                  <a:graphic xmlns:a="http://schemas.openxmlformats.org/drawingml/2006/main">
                    <a:graphicData uri="http://schemas.openxmlformats.org/drawingml/2006/picture">
                      <pic:pic xmlns:pic="http://schemas.openxmlformats.org/drawingml/2006/picture">
                        <pic:nvPicPr>
                          <pic:cNvPr id="625" name="AutoShape_1664_SpCnt_302"/>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19" name="AutoShape_1664_SpCnt_303"/>
                  <wp:cNvGraphicFramePr/>
                  <a:graphic xmlns:a="http://schemas.openxmlformats.org/drawingml/2006/main">
                    <a:graphicData uri="http://schemas.openxmlformats.org/drawingml/2006/picture">
                      <pic:pic xmlns:pic="http://schemas.openxmlformats.org/drawingml/2006/picture">
                        <pic:nvPicPr>
                          <pic:cNvPr id="619" name="AutoShape_1664_SpCnt_30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786765" cy="859790"/>
                  <wp:effectExtent l="0" t="0" r="0" b="0"/>
                  <wp:wrapNone/>
                  <wp:docPr id="630" name="AutoShape_1664_SpCnt_304"/>
                  <wp:cNvGraphicFramePr/>
                  <a:graphic xmlns:a="http://schemas.openxmlformats.org/drawingml/2006/main">
                    <a:graphicData uri="http://schemas.openxmlformats.org/drawingml/2006/picture">
                      <pic:pic xmlns:pic="http://schemas.openxmlformats.org/drawingml/2006/picture">
                        <pic:nvPicPr>
                          <pic:cNvPr id="630" name="AutoShape_1664_SpCnt_304"/>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752475" cy="859790"/>
                  <wp:effectExtent l="0" t="0" r="0" b="0"/>
                  <wp:wrapNone/>
                  <wp:docPr id="634" name="AutoShape_1791_SpCnt_107"/>
                  <wp:cNvGraphicFramePr/>
                  <a:graphic xmlns:a="http://schemas.openxmlformats.org/drawingml/2006/main">
                    <a:graphicData uri="http://schemas.openxmlformats.org/drawingml/2006/picture">
                      <pic:pic xmlns:pic="http://schemas.openxmlformats.org/drawingml/2006/picture">
                        <pic:nvPicPr>
                          <pic:cNvPr id="634" name="AutoShape_1791_SpCnt_107"/>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07" name="AutoShape_1791_SpCnt_108"/>
                  <wp:cNvGraphicFramePr/>
                  <a:graphic xmlns:a="http://schemas.openxmlformats.org/drawingml/2006/main">
                    <a:graphicData uri="http://schemas.openxmlformats.org/drawingml/2006/picture">
                      <pic:pic xmlns:pic="http://schemas.openxmlformats.org/drawingml/2006/picture">
                        <pic:nvPicPr>
                          <pic:cNvPr id="607" name="AutoShape_1791_SpCnt_10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752475" cy="859790"/>
                  <wp:effectExtent l="0" t="0" r="0" b="0"/>
                  <wp:wrapNone/>
                  <wp:docPr id="627" name="AutoShape_1791_SpCnt_109"/>
                  <wp:cNvGraphicFramePr/>
                  <a:graphic xmlns:a="http://schemas.openxmlformats.org/drawingml/2006/main">
                    <a:graphicData uri="http://schemas.openxmlformats.org/drawingml/2006/picture">
                      <pic:pic xmlns:pic="http://schemas.openxmlformats.org/drawingml/2006/picture">
                        <pic:nvPicPr>
                          <pic:cNvPr id="627" name="AutoShape_1791_SpCnt_109"/>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786765" cy="1412240"/>
                  <wp:effectExtent l="0" t="0" r="0" b="0"/>
                  <wp:wrapNone/>
                  <wp:docPr id="628" name="AutoShape_1664_SpCnt_305"/>
                  <wp:cNvGraphicFramePr/>
                  <a:graphic xmlns:a="http://schemas.openxmlformats.org/drawingml/2006/main">
                    <a:graphicData uri="http://schemas.openxmlformats.org/drawingml/2006/picture">
                      <pic:pic xmlns:pic="http://schemas.openxmlformats.org/drawingml/2006/picture">
                        <pic:nvPicPr>
                          <pic:cNvPr id="628" name="AutoShape_1664_SpCnt_305"/>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786765" cy="859790"/>
                  <wp:effectExtent l="0" t="0" r="0" b="0"/>
                  <wp:wrapNone/>
                  <wp:docPr id="613" name="AutoShape_1664_SpCnt_306"/>
                  <wp:cNvGraphicFramePr/>
                  <a:graphic xmlns:a="http://schemas.openxmlformats.org/drawingml/2006/main">
                    <a:graphicData uri="http://schemas.openxmlformats.org/drawingml/2006/picture">
                      <pic:pic xmlns:pic="http://schemas.openxmlformats.org/drawingml/2006/picture">
                        <pic:nvPicPr>
                          <pic:cNvPr id="613" name="AutoShape_1664_SpCnt_306"/>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610" name="AutoShape_1791_SpCnt_110"/>
                  <wp:cNvGraphicFramePr/>
                  <a:graphic xmlns:a="http://schemas.openxmlformats.org/drawingml/2006/main">
                    <a:graphicData uri="http://schemas.openxmlformats.org/drawingml/2006/picture">
                      <pic:pic xmlns:pic="http://schemas.openxmlformats.org/drawingml/2006/picture">
                        <pic:nvPicPr>
                          <pic:cNvPr id="610" name="AutoShape_1791_SpCnt_110"/>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786765" cy="859790"/>
                  <wp:effectExtent l="0" t="0" r="0" b="0"/>
                  <wp:wrapNone/>
                  <wp:docPr id="629" name="AutoShape_1664_SpCnt_307"/>
                  <wp:cNvGraphicFramePr/>
                  <a:graphic xmlns:a="http://schemas.openxmlformats.org/drawingml/2006/main">
                    <a:graphicData uri="http://schemas.openxmlformats.org/drawingml/2006/picture">
                      <pic:pic xmlns:pic="http://schemas.openxmlformats.org/drawingml/2006/picture">
                        <pic:nvPicPr>
                          <pic:cNvPr id="629" name="AutoShape_1664_SpCnt_30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12" name="AutoShape_1664_SpCnt_308"/>
                  <wp:cNvGraphicFramePr/>
                  <a:graphic xmlns:a="http://schemas.openxmlformats.org/drawingml/2006/main">
                    <a:graphicData uri="http://schemas.openxmlformats.org/drawingml/2006/picture">
                      <pic:pic xmlns:pic="http://schemas.openxmlformats.org/drawingml/2006/picture">
                        <pic:nvPicPr>
                          <pic:cNvPr id="612" name="AutoShape_1664_SpCnt_30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786765" cy="859790"/>
                  <wp:effectExtent l="0" t="0" r="0" b="0"/>
                  <wp:wrapNone/>
                  <wp:docPr id="609" name="AutoShape_1664_SpCnt_309"/>
                  <wp:cNvGraphicFramePr/>
                  <a:graphic xmlns:a="http://schemas.openxmlformats.org/drawingml/2006/main">
                    <a:graphicData uri="http://schemas.openxmlformats.org/drawingml/2006/picture">
                      <pic:pic xmlns:pic="http://schemas.openxmlformats.org/drawingml/2006/picture">
                        <pic:nvPicPr>
                          <pic:cNvPr id="609" name="AutoShape_1664_SpCnt_309"/>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35" name="AutoShape_1664_SpCnt_310"/>
                  <wp:cNvGraphicFramePr/>
                  <a:graphic xmlns:a="http://schemas.openxmlformats.org/drawingml/2006/main">
                    <a:graphicData uri="http://schemas.openxmlformats.org/drawingml/2006/picture">
                      <pic:pic xmlns:pic="http://schemas.openxmlformats.org/drawingml/2006/picture">
                        <pic:nvPicPr>
                          <pic:cNvPr id="635" name="AutoShape_1664_SpCnt_31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752475" cy="859790"/>
                  <wp:effectExtent l="0" t="0" r="0" b="0"/>
                  <wp:wrapNone/>
                  <wp:docPr id="631" name="AutoShape_1791_SpCnt_111"/>
                  <wp:cNvGraphicFramePr/>
                  <a:graphic xmlns:a="http://schemas.openxmlformats.org/drawingml/2006/main">
                    <a:graphicData uri="http://schemas.openxmlformats.org/drawingml/2006/picture">
                      <pic:pic xmlns:pic="http://schemas.openxmlformats.org/drawingml/2006/picture">
                        <pic:nvPicPr>
                          <pic:cNvPr id="631" name="AutoShape_1791_SpCnt_111"/>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32" name="AutoShape_1664_SpCnt_311"/>
                  <wp:cNvGraphicFramePr/>
                  <a:graphic xmlns:a="http://schemas.openxmlformats.org/drawingml/2006/main">
                    <a:graphicData uri="http://schemas.openxmlformats.org/drawingml/2006/picture">
                      <pic:pic xmlns:pic="http://schemas.openxmlformats.org/drawingml/2006/picture">
                        <pic:nvPicPr>
                          <pic:cNvPr id="632" name="AutoShape_1664_SpCnt_31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752475" cy="859790"/>
                  <wp:effectExtent l="0" t="0" r="0" b="0"/>
                  <wp:wrapNone/>
                  <wp:docPr id="624" name="AutoShape_1791_SpCnt_112"/>
                  <wp:cNvGraphicFramePr/>
                  <a:graphic xmlns:a="http://schemas.openxmlformats.org/drawingml/2006/main">
                    <a:graphicData uri="http://schemas.openxmlformats.org/drawingml/2006/picture">
                      <pic:pic xmlns:pic="http://schemas.openxmlformats.org/drawingml/2006/picture">
                        <pic:nvPicPr>
                          <pic:cNvPr id="624" name="AutoShape_1791_SpCnt_112"/>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33" name="AutoShape_1791_SpCnt_113"/>
                  <wp:cNvGraphicFramePr/>
                  <a:graphic xmlns:a="http://schemas.openxmlformats.org/drawingml/2006/main">
                    <a:graphicData uri="http://schemas.openxmlformats.org/drawingml/2006/picture">
                      <pic:pic xmlns:pic="http://schemas.openxmlformats.org/drawingml/2006/picture">
                        <pic:nvPicPr>
                          <pic:cNvPr id="633" name="AutoShape_1791_SpCnt_113"/>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786765" cy="859790"/>
                  <wp:effectExtent l="0" t="0" r="0" b="0"/>
                  <wp:wrapNone/>
                  <wp:docPr id="618" name="AutoShape_1664_SpCnt_312"/>
                  <wp:cNvGraphicFramePr/>
                  <a:graphic xmlns:a="http://schemas.openxmlformats.org/drawingml/2006/main">
                    <a:graphicData uri="http://schemas.openxmlformats.org/drawingml/2006/picture">
                      <pic:pic xmlns:pic="http://schemas.openxmlformats.org/drawingml/2006/picture">
                        <pic:nvPicPr>
                          <pic:cNvPr id="618" name="AutoShape_1664_SpCnt_312"/>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04" name="AutoShape_1664_SpCnt_313"/>
                  <wp:cNvGraphicFramePr/>
                  <a:graphic xmlns:a="http://schemas.openxmlformats.org/drawingml/2006/main">
                    <a:graphicData uri="http://schemas.openxmlformats.org/drawingml/2006/picture">
                      <pic:pic xmlns:pic="http://schemas.openxmlformats.org/drawingml/2006/picture">
                        <pic:nvPicPr>
                          <pic:cNvPr id="604" name="AutoShape_1664_SpCnt_31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786765" cy="859790"/>
                  <wp:effectExtent l="0" t="0" r="0" b="0"/>
                  <wp:wrapNone/>
                  <wp:docPr id="605" name="AutoShape_1664_SpCnt_314"/>
                  <wp:cNvGraphicFramePr/>
                  <a:graphic xmlns:a="http://schemas.openxmlformats.org/drawingml/2006/main">
                    <a:graphicData uri="http://schemas.openxmlformats.org/drawingml/2006/picture">
                      <pic:pic xmlns:pic="http://schemas.openxmlformats.org/drawingml/2006/picture">
                        <pic:nvPicPr>
                          <pic:cNvPr id="605" name="AutoShape_1664_SpCnt_314"/>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11" name="AutoShape_1791_SpCnt_114"/>
                  <wp:cNvGraphicFramePr/>
                  <a:graphic xmlns:a="http://schemas.openxmlformats.org/drawingml/2006/main">
                    <a:graphicData uri="http://schemas.openxmlformats.org/drawingml/2006/picture">
                      <pic:pic xmlns:pic="http://schemas.openxmlformats.org/drawingml/2006/picture">
                        <pic:nvPicPr>
                          <pic:cNvPr id="611" name="AutoShape_1791_SpCnt_114"/>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786765" cy="859790"/>
                  <wp:effectExtent l="0" t="0" r="0" b="0"/>
                  <wp:wrapNone/>
                  <wp:docPr id="606" name="AutoShape_1664_SpCnt_315"/>
                  <wp:cNvGraphicFramePr/>
                  <a:graphic xmlns:a="http://schemas.openxmlformats.org/drawingml/2006/main">
                    <a:graphicData uri="http://schemas.openxmlformats.org/drawingml/2006/picture">
                      <pic:pic xmlns:pic="http://schemas.openxmlformats.org/drawingml/2006/picture">
                        <pic:nvPicPr>
                          <pic:cNvPr id="606" name="AutoShape_1664_SpCnt_315"/>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16" name="AutoShape_1791_SpCnt_115"/>
                  <wp:cNvGraphicFramePr/>
                  <a:graphic xmlns:a="http://schemas.openxmlformats.org/drawingml/2006/main">
                    <a:graphicData uri="http://schemas.openxmlformats.org/drawingml/2006/picture">
                      <pic:pic xmlns:pic="http://schemas.openxmlformats.org/drawingml/2006/picture">
                        <pic:nvPicPr>
                          <pic:cNvPr id="616" name="AutoShape_1791_SpCnt_115"/>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14" name="AutoShape_1664_SpCnt_316"/>
                  <wp:cNvGraphicFramePr/>
                  <a:graphic xmlns:a="http://schemas.openxmlformats.org/drawingml/2006/main">
                    <a:graphicData uri="http://schemas.openxmlformats.org/drawingml/2006/picture">
                      <pic:pic xmlns:pic="http://schemas.openxmlformats.org/drawingml/2006/picture">
                        <pic:nvPicPr>
                          <pic:cNvPr id="614" name="AutoShape_1664_SpCnt_31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608" name="AutoShape_1791_SpCnt_116"/>
                  <wp:cNvGraphicFramePr/>
                  <a:graphic xmlns:a="http://schemas.openxmlformats.org/drawingml/2006/main">
                    <a:graphicData uri="http://schemas.openxmlformats.org/drawingml/2006/picture">
                      <pic:pic xmlns:pic="http://schemas.openxmlformats.org/drawingml/2006/picture">
                        <pic:nvPicPr>
                          <pic:cNvPr id="608" name="AutoShape_1791_SpCnt_11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23" name="AutoShape_1664_SpCnt_317"/>
                  <wp:cNvGraphicFramePr/>
                  <a:graphic xmlns:a="http://schemas.openxmlformats.org/drawingml/2006/main">
                    <a:graphicData uri="http://schemas.openxmlformats.org/drawingml/2006/picture">
                      <pic:pic xmlns:pic="http://schemas.openxmlformats.org/drawingml/2006/picture">
                        <pic:nvPicPr>
                          <pic:cNvPr id="623" name="AutoShape_1664_SpCnt_31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15" name="AutoShape_1664_SpCnt_318"/>
                  <wp:cNvGraphicFramePr/>
                  <a:graphic xmlns:a="http://schemas.openxmlformats.org/drawingml/2006/main">
                    <a:graphicData uri="http://schemas.openxmlformats.org/drawingml/2006/picture">
                      <pic:pic xmlns:pic="http://schemas.openxmlformats.org/drawingml/2006/picture">
                        <pic:nvPicPr>
                          <pic:cNvPr id="615" name="AutoShape_1664_SpCnt_31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17" name="AutoShape_1664_SpCnt_319"/>
                  <wp:cNvGraphicFramePr/>
                  <a:graphic xmlns:a="http://schemas.openxmlformats.org/drawingml/2006/main">
                    <a:graphicData uri="http://schemas.openxmlformats.org/drawingml/2006/picture">
                      <pic:pic xmlns:pic="http://schemas.openxmlformats.org/drawingml/2006/picture">
                        <pic:nvPicPr>
                          <pic:cNvPr id="617" name="AutoShape_1664_SpCnt_31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20" name="AutoShape_1664_SpCnt_320"/>
                  <wp:cNvGraphicFramePr/>
                  <a:graphic xmlns:a="http://schemas.openxmlformats.org/drawingml/2006/main">
                    <a:graphicData uri="http://schemas.openxmlformats.org/drawingml/2006/picture">
                      <pic:pic xmlns:pic="http://schemas.openxmlformats.org/drawingml/2006/picture">
                        <pic:nvPicPr>
                          <pic:cNvPr id="620" name="AutoShape_1664_SpCnt_32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621" name="AutoShape_1664_SpCnt_321"/>
                  <wp:cNvGraphicFramePr/>
                  <a:graphic xmlns:a="http://schemas.openxmlformats.org/drawingml/2006/main">
                    <a:graphicData uri="http://schemas.openxmlformats.org/drawingml/2006/picture">
                      <pic:pic xmlns:pic="http://schemas.openxmlformats.org/drawingml/2006/picture">
                        <pic:nvPicPr>
                          <pic:cNvPr id="621" name="AutoShape_1664_SpCnt_32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22" name="AutoShape_1664_SpCnt_322"/>
                  <wp:cNvGraphicFramePr/>
                  <a:graphic xmlns:a="http://schemas.openxmlformats.org/drawingml/2006/main">
                    <a:graphicData uri="http://schemas.openxmlformats.org/drawingml/2006/picture">
                      <pic:pic xmlns:pic="http://schemas.openxmlformats.org/drawingml/2006/picture">
                        <pic:nvPicPr>
                          <pic:cNvPr id="622" name="AutoShape_1664_SpCnt_32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26" name="AutoShape_1664_SpCnt_323"/>
                  <wp:cNvGraphicFramePr/>
                  <a:graphic xmlns:a="http://schemas.openxmlformats.org/drawingml/2006/main">
                    <a:graphicData uri="http://schemas.openxmlformats.org/drawingml/2006/picture">
                      <pic:pic xmlns:pic="http://schemas.openxmlformats.org/drawingml/2006/picture">
                        <pic:nvPicPr>
                          <pic:cNvPr id="626" name="AutoShape_1664_SpCnt_32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47" name="AutoShape_1791_SpCnt_117"/>
                  <wp:cNvGraphicFramePr/>
                  <a:graphic xmlns:a="http://schemas.openxmlformats.org/drawingml/2006/main">
                    <a:graphicData uri="http://schemas.openxmlformats.org/drawingml/2006/picture">
                      <pic:pic xmlns:pic="http://schemas.openxmlformats.org/drawingml/2006/picture">
                        <pic:nvPicPr>
                          <pic:cNvPr id="647" name="AutoShape_1791_SpCnt_117"/>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48" name="AutoShape_1664_SpCnt_324"/>
                  <wp:cNvGraphicFramePr/>
                  <a:graphic xmlns:a="http://schemas.openxmlformats.org/drawingml/2006/main">
                    <a:graphicData uri="http://schemas.openxmlformats.org/drawingml/2006/picture">
                      <pic:pic xmlns:pic="http://schemas.openxmlformats.org/drawingml/2006/picture">
                        <pic:nvPicPr>
                          <pic:cNvPr id="648" name="AutoShape_1664_SpCnt_32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50" name="AutoShape_1664_SpCnt_325"/>
                  <wp:cNvGraphicFramePr/>
                  <a:graphic xmlns:a="http://schemas.openxmlformats.org/drawingml/2006/main">
                    <a:graphicData uri="http://schemas.openxmlformats.org/drawingml/2006/picture">
                      <pic:pic xmlns:pic="http://schemas.openxmlformats.org/drawingml/2006/picture">
                        <pic:nvPicPr>
                          <pic:cNvPr id="650" name="AutoShape_1664_SpCnt_32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49" name="AutoShape_1664_SpCnt_326"/>
                  <wp:cNvGraphicFramePr/>
                  <a:graphic xmlns:a="http://schemas.openxmlformats.org/drawingml/2006/main">
                    <a:graphicData uri="http://schemas.openxmlformats.org/drawingml/2006/picture">
                      <pic:pic xmlns:pic="http://schemas.openxmlformats.org/drawingml/2006/picture">
                        <pic:nvPicPr>
                          <pic:cNvPr id="649" name="AutoShape_1664_SpCnt_32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43" name="AutoShape_1664_SpCnt_327"/>
                  <wp:cNvGraphicFramePr/>
                  <a:graphic xmlns:a="http://schemas.openxmlformats.org/drawingml/2006/main">
                    <a:graphicData uri="http://schemas.openxmlformats.org/drawingml/2006/picture">
                      <pic:pic xmlns:pic="http://schemas.openxmlformats.org/drawingml/2006/picture">
                        <pic:nvPicPr>
                          <pic:cNvPr id="643" name="AutoShape_1664_SpCnt_32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38" name="AutoShape_1664_SpCnt_328"/>
                  <wp:cNvGraphicFramePr/>
                  <a:graphic xmlns:a="http://schemas.openxmlformats.org/drawingml/2006/main">
                    <a:graphicData uri="http://schemas.openxmlformats.org/drawingml/2006/picture">
                      <pic:pic xmlns:pic="http://schemas.openxmlformats.org/drawingml/2006/picture">
                        <pic:nvPicPr>
                          <pic:cNvPr id="638" name="AutoShape_1664_SpCnt_32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44" name="AutoShape_1664_SpCnt_329"/>
                  <wp:cNvGraphicFramePr/>
                  <a:graphic xmlns:a="http://schemas.openxmlformats.org/drawingml/2006/main">
                    <a:graphicData uri="http://schemas.openxmlformats.org/drawingml/2006/picture">
                      <pic:pic xmlns:pic="http://schemas.openxmlformats.org/drawingml/2006/picture">
                        <pic:nvPicPr>
                          <pic:cNvPr id="644" name="AutoShape_1664_SpCnt_32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752475" cy="982345"/>
                  <wp:effectExtent l="0" t="0" r="0" b="0"/>
                  <wp:wrapNone/>
                  <wp:docPr id="652" name="AutoShape_1791_SpCnt_118"/>
                  <wp:cNvGraphicFramePr/>
                  <a:graphic xmlns:a="http://schemas.openxmlformats.org/drawingml/2006/main">
                    <a:graphicData uri="http://schemas.openxmlformats.org/drawingml/2006/picture">
                      <pic:pic xmlns:pic="http://schemas.openxmlformats.org/drawingml/2006/picture">
                        <pic:nvPicPr>
                          <pic:cNvPr id="652" name="AutoShape_1791_SpCnt_11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36" name="AutoShape_1791_SpCnt_119"/>
                  <wp:cNvGraphicFramePr/>
                  <a:graphic xmlns:a="http://schemas.openxmlformats.org/drawingml/2006/main">
                    <a:graphicData uri="http://schemas.openxmlformats.org/drawingml/2006/picture">
                      <pic:pic xmlns:pic="http://schemas.openxmlformats.org/drawingml/2006/picture">
                        <pic:nvPicPr>
                          <pic:cNvPr id="636" name="AutoShape_1791_SpCnt_11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752475" cy="982345"/>
                  <wp:effectExtent l="0" t="0" r="0" b="0"/>
                  <wp:wrapNone/>
                  <wp:docPr id="666" name="AutoShape_1791_SpCnt_120"/>
                  <wp:cNvGraphicFramePr/>
                  <a:graphic xmlns:a="http://schemas.openxmlformats.org/drawingml/2006/main">
                    <a:graphicData uri="http://schemas.openxmlformats.org/drawingml/2006/picture">
                      <pic:pic xmlns:pic="http://schemas.openxmlformats.org/drawingml/2006/picture">
                        <pic:nvPicPr>
                          <pic:cNvPr id="666" name="AutoShape_1791_SpCnt_12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39" name="AutoShape_1664_SpCnt_330"/>
                  <wp:cNvGraphicFramePr/>
                  <a:graphic xmlns:a="http://schemas.openxmlformats.org/drawingml/2006/main">
                    <a:graphicData uri="http://schemas.openxmlformats.org/drawingml/2006/picture">
                      <pic:pic xmlns:pic="http://schemas.openxmlformats.org/drawingml/2006/picture">
                        <pic:nvPicPr>
                          <pic:cNvPr id="639" name="AutoShape_1664_SpCnt_33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61" name="AutoShape_1664_SpCnt_331"/>
                  <wp:cNvGraphicFramePr/>
                  <a:graphic xmlns:a="http://schemas.openxmlformats.org/drawingml/2006/main">
                    <a:graphicData uri="http://schemas.openxmlformats.org/drawingml/2006/picture">
                      <pic:pic xmlns:pic="http://schemas.openxmlformats.org/drawingml/2006/picture">
                        <pic:nvPicPr>
                          <pic:cNvPr id="661" name="AutoShape_1664_SpCnt_33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63" name="AutoShape_1664_SpCnt_332"/>
                  <wp:cNvGraphicFramePr/>
                  <a:graphic xmlns:a="http://schemas.openxmlformats.org/drawingml/2006/main">
                    <a:graphicData uri="http://schemas.openxmlformats.org/drawingml/2006/picture">
                      <pic:pic xmlns:pic="http://schemas.openxmlformats.org/drawingml/2006/picture">
                        <pic:nvPicPr>
                          <pic:cNvPr id="663" name="AutoShape_1664_SpCnt_33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45" name="AutoShape_1664_SpCnt_333"/>
                  <wp:cNvGraphicFramePr/>
                  <a:graphic xmlns:a="http://schemas.openxmlformats.org/drawingml/2006/main">
                    <a:graphicData uri="http://schemas.openxmlformats.org/drawingml/2006/picture">
                      <pic:pic xmlns:pic="http://schemas.openxmlformats.org/drawingml/2006/picture">
                        <pic:nvPicPr>
                          <pic:cNvPr id="645" name="AutoShape_1664_SpCnt_33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51" name="AutoShape_1664_SpCnt_334"/>
                  <wp:cNvGraphicFramePr/>
                  <a:graphic xmlns:a="http://schemas.openxmlformats.org/drawingml/2006/main">
                    <a:graphicData uri="http://schemas.openxmlformats.org/drawingml/2006/picture">
                      <pic:pic xmlns:pic="http://schemas.openxmlformats.org/drawingml/2006/picture">
                        <pic:nvPicPr>
                          <pic:cNvPr id="651" name="AutoShape_1664_SpCnt_33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53" name="AutoShape_1664_SpCnt_335"/>
                  <wp:cNvGraphicFramePr/>
                  <a:graphic xmlns:a="http://schemas.openxmlformats.org/drawingml/2006/main">
                    <a:graphicData uri="http://schemas.openxmlformats.org/drawingml/2006/picture">
                      <pic:pic xmlns:pic="http://schemas.openxmlformats.org/drawingml/2006/picture">
                        <pic:nvPicPr>
                          <pic:cNvPr id="653" name="AutoShape_1664_SpCnt_33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752475" cy="982345"/>
                  <wp:effectExtent l="0" t="0" r="0" b="0"/>
                  <wp:wrapNone/>
                  <wp:docPr id="667" name="AutoShape_1791_SpCnt_121"/>
                  <wp:cNvGraphicFramePr/>
                  <a:graphic xmlns:a="http://schemas.openxmlformats.org/drawingml/2006/main">
                    <a:graphicData uri="http://schemas.openxmlformats.org/drawingml/2006/picture">
                      <pic:pic xmlns:pic="http://schemas.openxmlformats.org/drawingml/2006/picture">
                        <pic:nvPicPr>
                          <pic:cNvPr id="667" name="AutoShape_1791_SpCnt_12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656" name="AutoShape_1791_SpCnt_122"/>
                  <wp:cNvGraphicFramePr/>
                  <a:graphic xmlns:a="http://schemas.openxmlformats.org/drawingml/2006/main">
                    <a:graphicData uri="http://schemas.openxmlformats.org/drawingml/2006/picture">
                      <pic:pic xmlns:pic="http://schemas.openxmlformats.org/drawingml/2006/picture">
                        <pic:nvPicPr>
                          <pic:cNvPr id="656" name="AutoShape_1791_SpCnt_12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46" name="AutoShape_1664_SpCnt_336"/>
                  <wp:cNvGraphicFramePr/>
                  <a:graphic xmlns:a="http://schemas.openxmlformats.org/drawingml/2006/main">
                    <a:graphicData uri="http://schemas.openxmlformats.org/drawingml/2006/picture">
                      <pic:pic xmlns:pic="http://schemas.openxmlformats.org/drawingml/2006/picture">
                        <pic:nvPicPr>
                          <pic:cNvPr id="646" name="AutoShape_1664_SpCnt_33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752475" cy="982345"/>
                  <wp:effectExtent l="0" t="0" r="0" b="0"/>
                  <wp:wrapNone/>
                  <wp:docPr id="657" name="AutoShape_1791_SpCnt_123"/>
                  <wp:cNvGraphicFramePr/>
                  <a:graphic xmlns:a="http://schemas.openxmlformats.org/drawingml/2006/main">
                    <a:graphicData uri="http://schemas.openxmlformats.org/drawingml/2006/picture">
                      <pic:pic xmlns:pic="http://schemas.openxmlformats.org/drawingml/2006/picture">
                        <pic:nvPicPr>
                          <pic:cNvPr id="657" name="AutoShape_1791_SpCnt_12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786765" cy="859790"/>
                  <wp:effectExtent l="0" t="0" r="0" b="0"/>
                  <wp:wrapNone/>
                  <wp:docPr id="637" name="AutoShape_1664_SpCnt_337"/>
                  <wp:cNvGraphicFramePr/>
                  <a:graphic xmlns:a="http://schemas.openxmlformats.org/drawingml/2006/main">
                    <a:graphicData uri="http://schemas.openxmlformats.org/drawingml/2006/picture">
                      <pic:pic xmlns:pic="http://schemas.openxmlformats.org/drawingml/2006/picture">
                        <pic:nvPicPr>
                          <pic:cNvPr id="637" name="AutoShape_1664_SpCnt_33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54" name="AutoShape_1664_SpCnt_338"/>
                  <wp:cNvGraphicFramePr/>
                  <a:graphic xmlns:a="http://schemas.openxmlformats.org/drawingml/2006/main">
                    <a:graphicData uri="http://schemas.openxmlformats.org/drawingml/2006/picture">
                      <pic:pic xmlns:pic="http://schemas.openxmlformats.org/drawingml/2006/picture">
                        <pic:nvPicPr>
                          <pic:cNvPr id="654" name="AutoShape_1664_SpCnt_33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58" name="AutoShape_1664_SpCnt_339"/>
                  <wp:cNvGraphicFramePr/>
                  <a:graphic xmlns:a="http://schemas.openxmlformats.org/drawingml/2006/main">
                    <a:graphicData uri="http://schemas.openxmlformats.org/drawingml/2006/picture">
                      <pic:pic xmlns:pic="http://schemas.openxmlformats.org/drawingml/2006/picture">
                        <pic:nvPicPr>
                          <pic:cNvPr id="658" name="AutoShape_1664_SpCnt_33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41" name="AutoShape_1664_SpCnt_340"/>
                  <wp:cNvGraphicFramePr/>
                  <a:graphic xmlns:a="http://schemas.openxmlformats.org/drawingml/2006/main">
                    <a:graphicData uri="http://schemas.openxmlformats.org/drawingml/2006/picture">
                      <pic:pic xmlns:pic="http://schemas.openxmlformats.org/drawingml/2006/picture">
                        <pic:nvPicPr>
                          <pic:cNvPr id="641" name="AutoShape_1664_SpCnt_34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640" name="AutoShape_1791_SpCnt_124"/>
                  <wp:cNvGraphicFramePr/>
                  <a:graphic xmlns:a="http://schemas.openxmlformats.org/drawingml/2006/main">
                    <a:graphicData uri="http://schemas.openxmlformats.org/drawingml/2006/picture">
                      <pic:pic xmlns:pic="http://schemas.openxmlformats.org/drawingml/2006/picture">
                        <pic:nvPicPr>
                          <pic:cNvPr id="640" name="AutoShape_1791_SpCnt_12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42" name="AutoShape_1664_SpCnt_341"/>
                  <wp:cNvGraphicFramePr/>
                  <a:graphic xmlns:a="http://schemas.openxmlformats.org/drawingml/2006/main">
                    <a:graphicData uri="http://schemas.openxmlformats.org/drawingml/2006/picture">
                      <pic:pic xmlns:pic="http://schemas.openxmlformats.org/drawingml/2006/picture">
                        <pic:nvPicPr>
                          <pic:cNvPr id="642" name="AutoShape_1664_SpCnt_34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55" name="AutoShape_1664_SpCnt_342"/>
                  <wp:cNvGraphicFramePr/>
                  <a:graphic xmlns:a="http://schemas.openxmlformats.org/drawingml/2006/main">
                    <a:graphicData uri="http://schemas.openxmlformats.org/drawingml/2006/picture">
                      <pic:pic xmlns:pic="http://schemas.openxmlformats.org/drawingml/2006/picture">
                        <pic:nvPicPr>
                          <pic:cNvPr id="655" name="AutoShape_1664_SpCnt_34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665" name="AutoShape_1664_SpCnt_343"/>
                  <wp:cNvGraphicFramePr/>
                  <a:graphic xmlns:a="http://schemas.openxmlformats.org/drawingml/2006/main">
                    <a:graphicData uri="http://schemas.openxmlformats.org/drawingml/2006/picture">
                      <pic:pic xmlns:pic="http://schemas.openxmlformats.org/drawingml/2006/picture">
                        <pic:nvPicPr>
                          <pic:cNvPr id="665" name="AutoShape_1664_SpCnt_34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59" name="AutoShape_1791_SpCnt_125"/>
                  <wp:cNvGraphicFramePr/>
                  <a:graphic xmlns:a="http://schemas.openxmlformats.org/drawingml/2006/main">
                    <a:graphicData uri="http://schemas.openxmlformats.org/drawingml/2006/picture">
                      <pic:pic xmlns:pic="http://schemas.openxmlformats.org/drawingml/2006/picture">
                        <pic:nvPicPr>
                          <pic:cNvPr id="659" name="AutoShape_1791_SpCnt_125"/>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60" name="AutoShape_1664_SpCnt_344"/>
                  <wp:cNvGraphicFramePr/>
                  <a:graphic xmlns:a="http://schemas.openxmlformats.org/drawingml/2006/main">
                    <a:graphicData uri="http://schemas.openxmlformats.org/drawingml/2006/picture">
                      <pic:pic xmlns:pic="http://schemas.openxmlformats.org/drawingml/2006/picture">
                        <pic:nvPicPr>
                          <pic:cNvPr id="660" name="AutoShape_1664_SpCnt_34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62" name="AutoShape_1791_SpCnt_126"/>
                  <wp:cNvGraphicFramePr/>
                  <a:graphic xmlns:a="http://schemas.openxmlformats.org/drawingml/2006/main">
                    <a:graphicData uri="http://schemas.openxmlformats.org/drawingml/2006/picture">
                      <pic:pic xmlns:pic="http://schemas.openxmlformats.org/drawingml/2006/picture">
                        <pic:nvPicPr>
                          <pic:cNvPr id="662" name="AutoShape_1791_SpCnt_126"/>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64" name="AutoShape_1664_SpCnt_345"/>
                  <wp:cNvGraphicFramePr/>
                  <a:graphic xmlns:a="http://schemas.openxmlformats.org/drawingml/2006/main">
                    <a:graphicData uri="http://schemas.openxmlformats.org/drawingml/2006/picture">
                      <pic:pic xmlns:pic="http://schemas.openxmlformats.org/drawingml/2006/picture">
                        <pic:nvPicPr>
                          <pic:cNvPr id="664" name="AutoShape_1664_SpCnt_34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752475" cy="1412240"/>
                  <wp:effectExtent l="0" t="0" r="0" b="0"/>
                  <wp:wrapNone/>
                  <wp:docPr id="672" name="AutoShape_1791_SpCnt_127"/>
                  <wp:cNvGraphicFramePr/>
                  <a:graphic xmlns:a="http://schemas.openxmlformats.org/drawingml/2006/main">
                    <a:graphicData uri="http://schemas.openxmlformats.org/drawingml/2006/picture">
                      <pic:pic xmlns:pic="http://schemas.openxmlformats.org/drawingml/2006/picture">
                        <pic:nvPicPr>
                          <pic:cNvPr id="672" name="AutoShape_1791_SpCnt_127"/>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7" name="AutoShape_1664_SpCnt_346"/>
                  <wp:cNvGraphicFramePr/>
                  <a:graphic xmlns:a="http://schemas.openxmlformats.org/drawingml/2006/main">
                    <a:graphicData uri="http://schemas.openxmlformats.org/drawingml/2006/picture">
                      <pic:pic xmlns:pic="http://schemas.openxmlformats.org/drawingml/2006/picture">
                        <pic:nvPicPr>
                          <pic:cNvPr id="697" name="AutoShape_1664_SpCnt_34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5" name="AutoShape_1664_SpCnt_347"/>
                  <wp:cNvGraphicFramePr/>
                  <a:graphic xmlns:a="http://schemas.openxmlformats.org/drawingml/2006/main">
                    <a:graphicData uri="http://schemas.openxmlformats.org/drawingml/2006/picture">
                      <pic:pic xmlns:pic="http://schemas.openxmlformats.org/drawingml/2006/picture">
                        <pic:nvPicPr>
                          <pic:cNvPr id="685" name="AutoShape_1664_SpCnt_34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80" name="AutoShape_1664_SpCnt_348"/>
                  <wp:cNvGraphicFramePr/>
                  <a:graphic xmlns:a="http://schemas.openxmlformats.org/drawingml/2006/main">
                    <a:graphicData uri="http://schemas.openxmlformats.org/drawingml/2006/picture">
                      <pic:pic xmlns:pic="http://schemas.openxmlformats.org/drawingml/2006/picture">
                        <pic:nvPicPr>
                          <pic:cNvPr id="680" name="AutoShape_1664_SpCnt_34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70" name="AutoShape_1664_SpCnt_349"/>
                  <wp:cNvGraphicFramePr/>
                  <a:graphic xmlns:a="http://schemas.openxmlformats.org/drawingml/2006/main">
                    <a:graphicData uri="http://schemas.openxmlformats.org/drawingml/2006/picture">
                      <pic:pic xmlns:pic="http://schemas.openxmlformats.org/drawingml/2006/picture">
                        <pic:nvPicPr>
                          <pic:cNvPr id="670" name="AutoShape_1664_SpCnt_34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683" name="AutoShape_1664_SpCnt_350"/>
                  <wp:cNvGraphicFramePr/>
                  <a:graphic xmlns:a="http://schemas.openxmlformats.org/drawingml/2006/main">
                    <a:graphicData uri="http://schemas.openxmlformats.org/drawingml/2006/picture">
                      <pic:pic xmlns:pic="http://schemas.openxmlformats.org/drawingml/2006/picture">
                        <pic:nvPicPr>
                          <pic:cNvPr id="683" name="AutoShape_1664_SpCnt_35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8" name="AutoShape_1664_SpCnt_351"/>
                  <wp:cNvGraphicFramePr/>
                  <a:graphic xmlns:a="http://schemas.openxmlformats.org/drawingml/2006/main">
                    <a:graphicData uri="http://schemas.openxmlformats.org/drawingml/2006/picture">
                      <pic:pic xmlns:pic="http://schemas.openxmlformats.org/drawingml/2006/picture">
                        <pic:nvPicPr>
                          <pic:cNvPr id="688" name="AutoShape_1664_SpCnt_35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77" name="AutoShape_1664_SpCnt_352"/>
                  <wp:cNvGraphicFramePr/>
                  <a:graphic xmlns:a="http://schemas.openxmlformats.org/drawingml/2006/main">
                    <a:graphicData uri="http://schemas.openxmlformats.org/drawingml/2006/picture">
                      <pic:pic xmlns:pic="http://schemas.openxmlformats.org/drawingml/2006/picture">
                        <pic:nvPicPr>
                          <pic:cNvPr id="677" name="AutoShape_1664_SpCnt_35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76" name="AutoShape_1791_SpCnt_128"/>
                  <wp:cNvGraphicFramePr/>
                  <a:graphic xmlns:a="http://schemas.openxmlformats.org/drawingml/2006/main">
                    <a:graphicData uri="http://schemas.openxmlformats.org/drawingml/2006/picture">
                      <pic:pic xmlns:pic="http://schemas.openxmlformats.org/drawingml/2006/picture">
                        <pic:nvPicPr>
                          <pic:cNvPr id="676" name="AutoShape_1791_SpCnt_12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78" name="AutoShape_1664_SpCnt_353"/>
                  <wp:cNvGraphicFramePr/>
                  <a:graphic xmlns:a="http://schemas.openxmlformats.org/drawingml/2006/main">
                    <a:graphicData uri="http://schemas.openxmlformats.org/drawingml/2006/picture">
                      <pic:pic xmlns:pic="http://schemas.openxmlformats.org/drawingml/2006/picture">
                        <pic:nvPicPr>
                          <pic:cNvPr id="678" name="AutoShape_1664_SpCnt_35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9" name="AutoShape_1664_SpCnt_354"/>
                  <wp:cNvGraphicFramePr/>
                  <a:graphic xmlns:a="http://schemas.openxmlformats.org/drawingml/2006/main">
                    <a:graphicData uri="http://schemas.openxmlformats.org/drawingml/2006/picture">
                      <pic:pic xmlns:pic="http://schemas.openxmlformats.org/drawingml/2006/picture">
                        <pic:nvPicPr>
                          <pic:cNvPr id="689" name="AutoShape_1664_SpCnt_35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6" name="AutoShape_1664_SpCnt_355"/>
                  <wp:cNvGraphicFramePr/>
                  <a:graphic xmlns:a="http://schemas.openxmlformats.org/drawingml/2006/main">
                    <a:graphicData uri="http://schemas.openxmlformats.org/drawingml/2006/picture">
                      <pic:pic xmlns:pic="http://schemas.openxmlformats.org/drawingml/2006/picture">
                        <pic:nvPicPr>
                          <pic:cNvPr id="696" name="AutoShape_1664_SpCnt_35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4" name="AutoShape_1664_SpCnt_356"/>
                  <wp:cNvGraphicFramePr/>
                  <a:graphic xmlns:a="http://schemas.openxmlformats.org/drawingml/2006/main">
                    <a:graphicData uri="http://schemas.openxmlformats.org/drawingml/2006/picture">
                      <pic:pic xmlns:pic="http://schemas.openxmlformats.org/drawingml/2006/picture">
                        <pic:nvPicPr>
                          <pic:cNvPr id="684" name="AutoShape_1664_SpCnt_35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0" name="AutoShape_1664_SpCnt_357"/>
                  <wp:cNvGraphicFramePr/>
                  <a:graphic xmlns:a="http://schemas.openxmlformats.org/drawingml/2006/main">
                    <a:graphicData uri="http://schemas.openxmlformats.org/drawingml/2006/picture">
                      <pic:pic xmlns:pic="http://schemas.openxmlformats.org/drawingml/2006/picture">
                        <pic:nvPicPr>
                          <pic:cNvPr id="690" name="AutoShape_1664_SpCnt_35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6" name="AutoShape_1664_SpCnt_358"/>
                  <wp:cNvGraphicFramePr/>
                  <a:graphic xmlns:a="http://schemas.openxmlformats.org/drawingml/2006/main">
                    <a:graphicData uri="http://schemas.openxmlformats.org/drawingml/2006/picture">
                      <pic:pic xmlns:pic="http://schemas.openxmlformats.org/drawingml/2006/picture">
                        <pic:nvPicPr>
                          <pic:cNvPr id="686" name="AutoShape_1664_SpCnt_358"/>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4" name="AutoShape_1664_SpCnt_359"/>
                  <wp:cNvGraphicFramePr/>
                  <a:graphic xmlns:a="http://schemas.openxmlformats.org/drawingml/2006/main">
                    <a:graphicData uri="http://schemas.openxmlformats.org/drawingml/2006/picture">
                      <pic:pic xmlns:pic="http://schemas.openxmlformats.org/drawingml/2006/picture">
                        <pic:nvPicPr>
                          <pic:cNvPr id="694" name="AutoShape_1664_SpCnt_35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71" name="AutoShape_1664_SpCnt_360"/>
                  <wp:cNvGraphicFramePr/>
                  <a:graphic xmlns:a="http://schemas.openxmlformats.org/drawingml/2006/main">
                    <a:graphicData uri="http://schemas.openxmlformats.org/drawingml/2006/picture">
                      <pic:pic xmlns:pic="http://schemas.openxmlformats.org/drawingml/2006/picture">
                        <pic:nvPicPr>
                          <pic:cNvPr id="671" name="AutoShape_1664_SpCnt_36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8" name="AutoShape_1664_SpCnt_361"/>
                  <wp:cNvGraphicFramePr/>
                  <a:graphic xmlns:a="http://schemas.openxmlformats.org/drawingml/2006/main">
                    <a:graphicData uri="http://schemas.openxmlformats.org/drawingml/2006/picture">
                      <pic:pic xmlns:pic="http://schemas.openxmlformats.org/drawingml/2006/picture">
                        <pic:nvPicPr>
                          <pic:cNvPr id="698" name="AutoShape_1664_SpCnt_36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99" name="AutoShape_1664_SpCnt_362"/>
                  <wp:cNvGraphicFramePr/>
                  <a:graphic xmlns:a="http://schemas.openxmlformats.org/drawingml/2006/main">
                    <a:graphicData uri="http://schemas.openxmlformats.org/drawingml/2006/picture">
                      <pic:pic xmlns:pic="http://schemas.openxmlformats.org/drawingml/2006/picture">
                        <pic:nvPicPr>
                          <pic:cNvPr id="699" name="AutoShape_1664_SpCnt_36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1" name="AutoShape_1664_SpCnt_363"/>
                  <wp:cNvGraphicFramePr/>
                  <a:graphic xmlns:a="http://schemas.openxmlformats.org/drawingml/2006/main">
                    <a:graphicData uri="http://schemas.openxmlformats.org/drawingml/2006/picture">
                      <pic:pic xmlns:pic="http://schemas.openxmlformats.org/drawingml/2006/picture">
                        <pic:nvPicPr>
                          <pic:cNvPr id="691" name="AutoShape_1664_SpCnt_36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95" name="AutoShape_1664_SpCnt_364"/>
                  <wp:cNvGraphicFramePr/>
                  <a:graphic xmlns:a="http://schemas.openxmlformats.org/drawingml/2006/main">
                    <a:graphicData uri="http://schemas.openxmlformats.org/drawingml/2006/picture">
                      <pic:pic xmlns:pic="http://schemas.openxmlformats.org/drawingml/2006/picture">
                        <pic:nvPicPr>
                          <pic:cNvPr id="695" name="AutoShape_1664_SpCnt_36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75" name="AutoShape_1664_SpCnt_365"/>
                  <wp:cNvGraphicFramePr/>
                  <a:graphic xmlns:a="http://schemas.openxmlformats.org/drawingml/2006/main">
                    <a:graphicData uri="http://schemas.openxmlformats.org/drawingml/2006/picture">
                      <pic:pic xmlns:pic="http://schemas.openxmlformats.org/drawingml/2006/picture">
                        <pic:nvPicPr>
                          <pic:cNvPr id="675" name="AutoShape_1664_SpCnt_36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1" name="AutoShape_1664_SpCnt_366"/>
                  <wp:cNvGraphicFramePr/>
                  <a:graphic xmlns:a="http://schemas.openxmlformats.org/drawingml/2006/main">
                    <a:graphicData uri="http://schemas.openxmlformats.org/drawingml/2006/picture">
                      <pic:pic xmlns:pic="http://schemas.openxmlformats.org/drawingml/2006/picture">
                        <pic:nvPicPr>
                          <pic:cNvPr id="681" name="AutoShape_1664_SpCnt_36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692" name="AutoShape_1664_SpCnt_367"/>
                  <wp:cNvGraphicFramePr/>
                  <a:graphic xmlns:a="http://schemas.openxmlformats.org/drawingml/2006/main">
                    <a:graphicData uri="http://schemas.openxmlformats.org/drawingml/2006/picture">
                      <pic:pic xmlns:pic="http://schemas.openxmlformats.org/drawingml/2006/picture">
                        <pic:nvPicPr>
                          <pic:cNvPr id="692" name="AutoShape_1664_SpCnt_36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693" name="AutoShape_1791_SpCnt_129"/>
                  <wp:cNvGraphicFramePr/>
                  <a:graphic xmlns:a="http://schemas.openxmlformats.org/drawingml/2006/main">
                    <a:graphicData uri="http://schemas.openxmlformats.org/drawingml/2006/picture">
                      <pic:pic xmlns:pic="http://schemas.openxmlformats.org/drawingml/2006/picture">
                        <pic:nvPicPr>
                          <pic:cNvPr id="693" name="AutoShape_1791_SpCnt_129"/>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668" name="AutoShape_1664_SpCnt_368"/>
                  <wp:cNvGraphicFramePr/>
                  <a:graphic xmlns:a="http://schemas.openxmlformats.org/drawingml/2006/main">
                    <a:graphicData uri="http://schemas.openxmlformats.org/drawingml/2006/picture">
                      <pic:pic xmlns:pic="http://schemas.openxmlformats.org/drawingml/2006/picture">
                        <pic:nvPicPr>
                          <pic:cNvPr id="668" name="AutoShape_1664_SpCnt_36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87" name="AutoShape_1664_SpCnt_369"/>
                  <wp:cNvGraphicFramePr/>
                  <a:graphic xmlns:a="http://schemas.openxmlformats.org/drawingml/2006/main">
                    <a:graphicData uri="http://schemas.openxmlformats.org/drawingml/2006/picture">
                      <pic:pic xmlns:pic="http://schemas.openxmlformats.org/drawingml/2006/picture">
                        <pic:nvPicPr>
                          <pic:cNvPr id="687" name="AutoShape_1664_SpCnt_36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673" name="AutoShape_1664_SpCnt_370"/>
                  <wp:cNvGraphicFramePr/>
                  <a:graphic xmlns:a="http://schemas.openxmlformats.org/drawingml/2006/main">
                    <a:graphicData uri="http://schemas.openxmlformats.org/drawingml/2006/picture">
                      <pic:pic xmlns:pic="http://schemas.openxmlformats.org/drawingml/2006/picture">
                        <pic:nvPicPr>
                          <pic:cNvPr id="673" name="AutoShape_1664_SpCnt_37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786765" cy="1412240"/>
                  <wp:effectExtent l="0" t="0" r="0" b="0"/>
                  <wp:wrapNone/>
                  <wp:docPr id="669" name="AutoShape_1664_SpCnt_371"/>
                  <wp:cNvGraphicFramePr/>
                  <a:graphic xmlns:a="http://schemas.openxmlformats.org/drawingml/2006/main">
                    <a:graphicData uri="http://schemas.openxmlformats.org/drawingml/2006/picture">
                      <pic:pic xmlns:pic="http://schemas.openxmlformats.org/drawingml/2006/picture">
                        <pic:nvPicPr>
                          <pic:cNvPr id="669" name="AutoShape_1664_SpCnt_371"/>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674" name="AutoShape_1664_SpCnt_372"/>
                  <wp:cNvGraphicFramePr/>
                  <a:graphic xmlns:a="http://schemas.openxmlformats.org/drawingml/2006/main">
                    <a:graphicData uri="http://schemas.openxmlformats.org/drawingml/2006/picture">
                      <pic:pic xmlns:pic="http://schemas.openxmlformats.org/drawingml/2006/picture">
                        <pic:nvPicPr>
                          <pic:cNvPr id="674" name="AutoShape_1664_SpCnt_37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679" name="AutoShape_1664_SpCnt_373"/>
                  <wp:cNvGraphicFramePr/>
                  <a:graphic xmlns:a="http://schemas.openxmlformats.org/drawingml/2006/main">
                    <a:graphicData uri="http://schemas.openxmlformats.org/drawingml/2006/picture">
                      <pic:pic xmlns:pic="http://schemas.openxmlformats.org/drawingml/2006/picture">
                        <pic:nvPicPr>
                          <pic:cNvPr id="679" name="AutoShape_1664_SpCnt_37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682" name="AutoShape_1664_SpCnt_374"/>
                  <wp:cNvGraphicFramePr/>
                  <a:graphic xmlns:a="http://schemas.openxmlformats.org/drawingml/2006/main">
                    <a:graphicData uri="http://schemas.openxmlformats.org/drawingml/2006/picture">
                      <pic:pic xmlns:pic="http://schemas.openxmlformats.org/drawingml/2006/picture">
                        <pic:nvPicPr>
                          <pic:cNvPr id="682" name="AutoShape_1664_SpCnt_37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752475" cy="1430020"/>
                  <wp:effectExtent l="0" t="0" r="0" b="0"/>
                  <wp:wrapNone/>
                  <wp:docPr id="710" name="AutoShape_1791_SpCnt_130"/>
                  <wp:cNvGraphicFramePr/>
                  <a:graphic xmlns:a="http://schemas.openxmlformats.org/drawingml/2006/main">
                    <a:graphicData uri="http://schemas.openxmlformats.org/drawingml/2006/picture">
                      <pic:pic xmlns:pic="http://schemas.openxmlformats.org/drawingml/2006/picture">
                        <pic:nvPicPr>
                          <pic:cNvPr id="710" name="AutoShape_1791_SpCnt_13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9" name="AutoShape_1664_SpCnt_375"/>
                  <wp:cNvGraphicFramePr/>
                  <a:graphic xmlns:a="http://schemas.openxmlformats.org/drawingml/2006/main">
                    <a:graphicData uri="http://schemas.openxmlformats.org/drawingml/2006/picture">
                      <pic:pic xmlns:pic="http://schemas.openxmlformats.org/drawingml/2006/picture">
                        <pic:nvPicPr>
                          <pic:cNvPr id="729" name="AutoShape_1664_SpCnt_37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709" name="AutoShape_1664_SpCnt_376"/>
                  <wp:cNvGraphicFramePr/>
                  <a:graphic xmlns:a="http://schemas.openxmlformats.org/drawingml/2006/main">
                    <a:graphicData uri="http://schemas.openxmlformats.org/drawingml/2006/picture">
                      <pic:pic xmlns:pic="http://schemas.openxmlformats.org/drawingml/2006/picture">
                        <pic:nvPicPr>
                          <pic:cNvPr id="709" name="AutoShape_1664_SpCnt_37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6" name="AutoShape_1664_SpCnt_377"/>
                  <wp:cNvGraphicFramePr/>
                  <a:graphic xmlns:a="http://schemas.openxmlformats.org/drawingml/2006/main">
                    <a:graphicData uri="http://schemas.openxmlformats.org/drawingml/2006/picture">
                      <pic:pic xmlns:pic="http://schemas.openxmlformats.org/drawingml/2006/picture">
                        <pic:nvPicPr>
                          <pic:cNvPr id="726" name="AutoShape_1664_SpCnt_37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786765" cy="903605"/>
                  <wp:effectExtent l="0" t="0" r="0" b="0"/>
                  <wp:wrapNone/>
                  <wp:docPr id="723" name="AutoShape_1664_SpCnt_378"/>
                  <wp:cNvGraphicFramePr/>
                  <a:graphic xmlns:a="http://schemas.openxmlformats.org/drawingml/2006/main">
                    <a:graphicData uri="http://schemas.openxmlformats.org/drawingml/2006/picture">
                      <pic:pic xmlns:pic="http://schemas.openxmlformats.org/drawingml/2006/picture">
                        <pic:nvPicPr>
                          <pic:cNvPr id="723" name="AutoShape_1664_SpCnt_37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0" name="AutoShape_1664_SpCnt_379"/>
                  <wp:cNvGraphicFramePr/>
                  <a:graphic xmlns:a="http://schemas.openxmlformats.org/drawingml/2006/main">
                    <a:graphicData uri="http://schemas.openxmlformats.org/drawingml/2006/picture">
                      <pic:pic xmlns:pic="http://schemas.openxmlformats.org/drawingml/2006/picture">
                        <pic:nvPicPr>
                          <pic:cNvPr id="720" name="AutoShape_1664_SpCnt_37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752475" cy="1430020"/>
                  <wp:effectExtent l="0" t="0" r="0" b="0"/>
                  <wp:wrapNone/>
                  <wp:docPr id="711" name="AutoShape_1791_SpCnt_131"/>
                  <wp:cNvGraphicFramePr/>
                  <a:graphic xmlns:a="http://schemas.openxmlformats.org/drawingml/2006/main">
                    <a:graphicData uri="http://schemas.openxmlformats.org/drawingml/2006/picture">
                      <pic:pic xmlns:pic="http://schemas.openxmlformats.org/drawingml/2006/picture">
                        <pic:nvPicPr>
                          <pic:cNvPr id="711" name="AutoShape_1791_SpCnt_131"/>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4" name="AutoShape_1664_SpCnt_380"/>
                  <wp:cNvGraphicFramePr/>
                  <a:graphic xmlns:a="http://schemas.openxmlformats.org/drawingml/2006/main">
                    <a:graphicData uri="http://schemas.openxmlformats.org/drawingml/2006/picture">
                      <pic:pic xmlns:pic="http://schemas.openxmlformats.org/drawingml/2006/picture">
                        <pic:nvPicPr>
                          <pic:cNvPr id="724" name="AutoShape_1664_SpCnt_38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752475" cy="982345"/>
                  <wp:effectExtent l="0" t="0" r="0" b="0"/>
                  <wp:wrapNone/>
                  <wp:docPr id="728" name="AutoShape_1791_SpCnt_132"/>
                  <wp:cNvGraphicFramePr/>
                  <a:graphic xmlns:a="http://schemas.openxmlformats.org/drawingml/2006/main">
                    <a:graphicData uri="http://schemas.openxmlformats.org/drawingml/2006/picture">
                      <pic:pic xmlns:pic="http://schemas.openxmlformats.org/drawingml/2006/picture">
                        <pic:nvPicPr>
                          <pic:cNvPr id="728" name="AutoShape_1791_SpCnt_13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0" name="AutoShape_1664_SpCnt_381"/>
                  <wp:cNvGraphicFramePr/>
                  <a:graphic xmlns:a="http://schemas.openxmlformats.org/drawingml/2006/main">
                    <a:graphicData uri="http://schemas.openxmlformats.org/drawingml/2006/picture">
                      <pic:pic xmlns:pic="http://schemas.openxmlformats.org/drawingml/2006/picture">
                        <pic:nvPicPr>
                          <pic:cNvPr id="730" name="AutoShape_1664_SpCnt_38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63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727" name="AutoShape_1664_SpCnt_382"/>
                  <wp:cNvGraphicFramePr/>
                  <a:graphic xmlns:a="http://schemas.openxmlformats.org/drawingml/2006/main">
                    <a:graphicData uri="http://schemas.openxmlformats.org/drawingml/2006/picture">
                      <pic:pic xmlns:pic="http://schemas.openxmlformats.org/drawingml/2006/picture">
                        <pic:nvPicPr>
                          <pic:cNvPr id="727" name="AutoShape_1664_SpCnt_382"/>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1" name="AutoShape_1664_SpCnt_383"/>
                  <wp:cNvGraphicFramePr/>
                  <a:graphic xmlns:a="http://schemas.openxmlformats.org/drawingml/2006/main">
                    <a:graphicData uri="http://schemas.openxmlformats.org/drawingml/2006/picture">
                      <pic:pic xmlns:pic="http://schemas.openxmlformats.org/drawingml/2006/picture">
                        <pic:nvPicPr>
                          <pic:cNvPr id="731" name="AutoShape_1664_SpCnt_38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786765" cy="1412240"/>
                  <wp:effectExtent l="0" t="0" r="0" b="0"/>
                  <wp:wrapNone/>
                  <wp:docPr id="708" name="AutoShape_1664_SpCnt_384"/>
                  <wp:cNvGraphicFramePr/>
                  <a:graphic xmlns:a="http://schemas.openxmlformats.org/drawingml/2006/main">
                    <a:graphicData uri="http://schemas.openxmlformats.org/drawingml/2006/picture">
                      <pic:pic xmlns:pic="http://schemas.openxmlformats.org/drawingml/2006/picture">
                        <pic:nvPicPr>
                          <pic:cNvPr id="708" name="AutoShape_1664_SpCnt_384"/>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2" name="AutoShape_1664_SpCnt_385"/>
                  <wp:cNvGraphicFramePr/>
                  <a:graphic xmlns:a="http://schemas.openxmlformats.org/drawingml/2006/main">
                    <a:graphicData uri="http://schemas.openxmlformats.org/drawingml/2006/picture">
                      <pic:pic xmlns:pic="http://schemas.openxmlformats.org/drawingml/2006/picture">
                        <pic:nvPicPr>
                          <pic:cNvPr id="722" name="AutoShape_1664_SpCnt_38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04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700" name="AutoShape_1664_SpCnt_386"/>
                  <wp:cNvGraphicFramePr/>
                  <a:graphic xmlns:a="http://schemas.openxmlformats.org/drawingml/2006/main">
                    <a:graphicData uri="http://schemas.openxmlformats.org/drawingml/2006/picture">
                      <pic:pic xmlns:pic="http://schemas.openxmlformats.org/drawingml/2006/picture">
                        <pic:nvPicPr>
                          <pic:cNvPr id="700" name="AutoShape_1664_SpCnt_38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14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14" name="AutoShape_1664_SpCnt_387"/>
                  <wp:cNvGraphicFramePr/>
                  <a:graphic xmlns:a="http://schemas.openxmlformats.org/drawingml/2006/main">
                    <a:graphicData uri="http://schemas.openxmlformats.org/drawingml/2006/picture">
                      <pic:pic xmlns:pic="http://schemas.openxmlformats.org/drawingml/2006/picture">
                        <pic:nvPicPr>
                          <pic:cNvPr id="714" name="AutoShape_1664_SpCnt_38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2448" behindDoc="0" locked="0" layoutInCell="1" allowOverlap="1">
                  <wp:simplePos x="0" y="0"/>
                  <wp:positionH relativeFrom="column">
                    <wp:posOffset>0</wp:posOffset>
                  </wp:positionH>
                  <wp:positionV relativeFrom="paragraph">
                    <wp:posOffset>0</wp:posOffset>
                  </wp:positionV>
                  <wp:extent cx="752475" cy="982345"/>
                  <wp:effectExtent l="0" t="0" r="0" b="0"/>
                  <wp:wrapNone/>
                  <wp:docPr id="712" name="AutoShape_1791_SpCnt_133"/>
                  <wp:cNvGraphicFramePr/>
                  <a:graphic xmlns:a="http://schemas.openxmlformats.org/drawingml/2006/main">
                    <a:graphicData uri="http://schemas.openxmlformats.org/drawingml/2006/picture">
                      <pic:pic xmlns:pic="http://schemas.openxmlformats.org/drawingml/2006/picture">
                        <pic:nvPicPr>
                          <pic:cNvPr id="712" name="AutoShape_1791_SpCnt_13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34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07" name="AutoShape_1664_SpCnt_388"/>
                  <wp:cNvGraphicFramePr/>
                  <a:graphic xmlns:a="http://schemas.openxmlformats.org/drawingml/2006/main">
                    <a:graphicData uri="http://schemas.openxmlformats.org/drawingml/2006/picture">
                      <pic:pic xmlns:pic="http://schemas.openxmlformats.org/drawingml/2006/picture">
                        <pic:nvPicPr>
                          <pic:cNvPr id="707" name="AutoShape_1664_SpCnt_38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4496" behindDoc="0" locked="0" layoutInCell="1" allowOverlap="1">
                  <wp:simplePos x="0" y="0"/>
                  <wp:positionH relativeFrom="column">
                    <wp:posOffset>0</wp:posOffset>
                  </wp:positionH>
                  <wp:positionV relativeFrom="paragraph">
                    <wp:posOffset>0</wp:posOffset>
                  </wp:positionV>
                  <wp:extent cx="786765" cy="859790"/>
                  <wp:effectExtent l="0" t="0" r="0" b="0"/>
                  <wp:wrapNone/>
                  <wp:docPr id="702" name="AutoShape_1664_SpCnt_389"/>
                  <wp:cNvGraphicFramePr/>
                  <a:graphic xmlns:a="http://schemas.openxmlformats.org/drawingml/2006/main">
                    <a:graphicData uri="http://schemas.openxmlformats.org/drawingml/2006/picture">
                      <pic:pic xmlns:pic="http://schemas.openxmlformats.org/drawingml/2006/picture">
                        <pic:nvPicPr>
                          <pic:cNvPr id="702" name="AutoShape_1664_SpCnt_389"/>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55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5" name="AutoShape_1664_SpCnt_390"/>
                  <wp:cNvGraphicFramePr/>
                  <a:graphic xmlns:a="http://schemas.openxmlformats.org/drawingml/2006/main">
                    <a:graphicData uri="http://schemas.openxmlformats.org/drawingml/2006/picture">
                      <pic:pic xmlns:pic="http://schemas.openxmlformats.org/drawingml/2006/picture">
                        <pic:nvPicPr>
                          <pic:cNvPr id="725" name="AutoShape_1664_SpCnt_39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6544" behindDoc="0" locked="0" layoutInCell="1" allowOverlap="1">
                  <wp:simplePos x="0" y="0"/>
                  <wp:positionH relativeFrom="column">
                    <wp:posOffset>0</wp:posOffset>
                  </wp:positionH>
                  <wp:positionV relativeFrom="paragraph">
                    <wp:posOffset>0</wp:posOffset>
                  </wp:positionV>
                  <wp:extent cx="786765" cy="859790"/>
                  <wp:effectExtent l="0" t="0" r="0" b="0"/>
                  <wp:wrapNone/>
                  <wp:docPr id="701" name="AutoShape_1664_SpCnt_391"/>
                  <wp:cNvGraphicFramePr/>
                  <a:graphic xmlns:a="http://schemas.openxmlformats.org/drawingml/2006/main">
                    <a:graphicData uri="http://schemas.openxmlformats.org/drawingml/2006/picture">
                      <pic:pic xmlns:pic="http://schemas.openxmlformats.org/drawingml/2006/picture">
                        <pic:nvPicPr>
                          <pic:cNvPr id="701" name="AutoShape_1664_SpCnt_39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05" name="AutoShape_1664_SpCnt_392"/>
                  <wp:cNvGraphicFramePr/>
                  <a:graphic xmlns:a="http://schemas.openxmlformats.org/drawingml/2006/main">
                    <a:graphicData uri="http://schemas.openxmlformats.org/drawingml/2006/picture">
                      <pic:pic xmlns:pic="http://schemas.openxmlformats.org/drawingml/2006/picture">
                        <pic:nvPicPr>
                          <pic:cNvPr id="705" name="AutoShape_1664_SpCnt_39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8592" behindDoc="0" locked="0" layoutInCell="1" allowOverlap="1">
                  <wp:simplePos x="0" y="0"/>
                  <wp:positionH relativeFrom="column">
                    <wp:posOffset>0</wp:posOffset>
                  </wp:positionH>
                  <wp:positionV relativeFrom="paragraph">
                    <wp:posOffset>0</wp:posOffset>
                  </wp:positionV>
                  <wp:extent cx="752475" cy="859790"/>
                  <wp:effectExtent l="0" t="0" r="0" b="0"/>
                  <wp:wrapNone/>
                  <wp:docPr id="713" name="AutoShape_1791_SpCnt_134"/>
                  <wp:cNvGraphicFramePr/>
                  <a:graphic xmlns:a="http://schemas.openxmlformats.org/drawingml/2006/main">
                    <a:graphicData uri="http://schemas.openxmlformats.org/drawingml/2006/picture">
                      <pic:pic xmlns:pic="http://schemas.openxmlformats.org/drawingml/2006/picture">
                        <pic:nvPicPr>
                          <pic:cNvPr id="713" name="AutoShape_1791_SpCnt_134"/>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399616" behindDoc="0" locked="0" layoutInCell="1" allowOverlap="1">
                  <wp:simplePos x="0" y="0"/>
                  <wp:positionH relativeFrom="column">
                    <wp:posOffset>0</wp:posOffset>
                  </wp:positionH>
                  <wp:positionV relativeFrom="paragraph">
                    <wp:posOffset>0</wp:posOffset>
                  </wp:positionV>
                  <wp:extent cx="752475" cy="982345"/>
                  <wp:effectExtent l="0" t="0" r="0" b="0"/>
                  <wp:wrapNone/>
                  <wp:docPr id="703" name="AutoShape_1791_SpCnt_135"/>
                  <wp:cNvGraphicFramePr/>
                  <a:graphic xmlns:a="http://schemas.openxmlformats.org/drawingml/2006/main">
                    <a:graphicData uri="http://schemas.openxmlformats.org/drawingml/2006/picture">
                      <pic:pic xmlns:pic="http://schemas.openxmlformats.org/drawingml/2006/picture">
                        <pic:nvPicPr>
                          <pic:cNvPr id="703" name="AutoShape_1791_SpCnt_13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06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715" name="AutoShape_1791_SpCnt_136"/>
                  <wp:cNvGraphicFramePr/>
                  <a:graphic xmlns:a="http://schemas.openxmlformats.org/drawingml/2006/main">
                    <a:graphicData uri="http://schemas.openxmlformats.org/drawingml/2006/picture">
                      <pic:pic xmlns:pic="http://schemas.openxmlformats.org/drawingml/2006/picture">
                        <pic:nvPicPr>
                          <pic:cNvPr id="715" name="AutoShape_1791_SpCnt_13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1664" behindDoc="0" locked="0" layoutInCell="1" allowOverlap="1">
                  <wp:simplePos x="0" y="0"/>
                  <wp:positionH relativeFrom="column">
                    <wp:posOffset>0</wp:posOffset>
                  </wp:positionH>
                  <wp:positionV relativeFrom="paragraph">
                    <wp:posOffset>0</wp:posOffset>
                  </wp:positionV>
                  <wp:extent cx="752475" cy="982345"/>
                  <wp:effectExtent l="0" t="0" r="0" b="0"/>
                  <wp:wrapNone/>
                  <wp:docPr id="716" name="AutoShape_1791_SpCnt_137"/>
                  <wp:cNvGraphicFramePr/>
                  <a:graphic xmlns:a="http://schemas.openxmlformats.org/drawingml/2006/main">
                    <a:graphicData uri="http://schemas.openxmlformats.org/drawingml/2006/picture">
                      <pic:pic xmlns:pic="http://schemas.openxmlformats.org/drawingml/2006/picture">
                        <pic:nvPicPr>
                          <pic:cNvPr id="716" name="AutoShape_1791_SpCnt_13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26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06" name="AutoShape_1664_SpCnt_393"/>
                  <wp:cNvGraphicFramePr/>
                  <a:graphic xmlns:a="http://schemas.openxmlformats.org/drawingml/2006/main">
                    <a:graphicData uri="http://schemas.openxmlformats.org/drawingml/2006/picture">
                      <pic:pic xmlns:pic="http://schemas.openxmlformats.org/drawingml/2006/picture">
                        <pic:nvPicPr>
                          <pic:cNvPr id="706" name="AutoShape_1664_SpCnt_39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37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04" name="AutoShape_1664_SpCnt_394"/>
                  <wp:cNvGraphicFramePr/>
                  <a:graphic xmlns:a="http://schemas.openxmlformats.org/drawingml/2006/main">
                    <a:graphicData uri="http://schemas.openxmlformats.org/drawingml/2006/picture">
                      <pic:pic xmlns:pic="http://schemas.openxmlformats.org/drawingml/2006/picture">
                        <pic:nvPicPr>
                          <pic:cNvPr id="704" name="AutoShape_1664_SpCnt_39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4736" behindDoc="0" locked="0" layoutInCell="1" allowOverlap="1">
                  <wp:simplePos x="0" y="0"/>
                  <wp:positionH relativeFrom="column">
                    <wp:posOffset>0</wp:posOffset>
                  </wp:positionH>
                  <wp:positionV relativeFrom="paragraph">
                    <wp:posOffset>0</wp:posOffset>
                  </wp:positionV>
                  <wp:extent cx="786765" cy="903605"/>
                  <wp:effectExtent l="0" t="0" r="0" b="0"/>
                  <wp:wrapNone/>
                  <wp:docPr id="717" name="AutoShape_1664_SpCnt_395"/>
                  <wp:cNvGraphicFramePr/>
                  <a:graphic xmlns:a="http://schemas.openxmlformats.org/drawingml/2006/main">
                    <a:graphicData uri="http://schemas.openxmlformats.org/drawingml/2006/picture">
                      <pic:pic xmlns:pic="http://schemas.openxmlformats.org/drawingml/2006/picture">
                        <pic:nvPicPr>
                          <pic:cNvPr id="717" name="AutoShape_1664_SpCnt_395"/>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57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18" name="AutoShape_1664_SpCnt_396"/>
                  <wp:cNvGraphicFramePr/>
                  <a:graphic xmlns:a="http://schemas.openxmlformats.org/drawingml/2006/main">
                    <a:graphicData uri="http://schemas.openxmlformats.org/drawingml/2006/picture">
                      <pic:pic xmlns:pic="http://schemas.openxmlformats.org/drawingml/2006/picture">
                        <pic:nvPicPr>
                          <pic:cNvPr id="718" name="AutoShape_1664_SpCnt_39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67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19" name="AutoShape_1664_SpCnt_397"/>
                  <wp:cNvGraphicFramePr/>
                  <a:graphic xmlns:a="http://schemas.openxmlformats.org/drawingml/2006/main">
                    <a:graphicData uri="http://schemas.openxmlformats.org/drawingml/2006/picture">
                      <pic:pic xmlns:pic="http://schemas.openxmlformats.org/drawingml/2006/picture">
                        <pic:nvPicPr>
                          <pic:cNvPr id="719" name="AutoShape_1664_SpCnt_39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78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21" name="AutoShape_1664_SpCnt_398"/>
                  <wp:cNvGraphicFramePr/>
                  <a:graphic xmlns:a="http://schemas.openxmlformats.org/drawingml/2006/main">
                    <a:graphicData uri="http://schemas.openxmlformats.org/drawingml/2006/picture">
                      <pic:pic xmlns:pic="http://schemas.openxmlformats.org/drawingml/2006/picture">
                        <pic:nvPicPr>
                          <pic:cNvPr id="721" name="AutoShape_1664_SpCnt_39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883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738" name="AutoShape_1791_SpCnt_138"/>
                  <wp:cNvGraphicFramePr/>
                  <a:graphic xmlns:a="http://schemas.openxmlformats.org/drawingml/2006/main">
                    <a:graphicData uri="http://schemas.openxmlformats.org/drawingml/2006/picture">
                      <pic:pic xmlns:pic="http://schemas.openxmlformats.org/drawingml/2006/picture">
                        <pic:nvPicPr>
                          <pic:cNvPr id="738" name="AutoShape_1791_SpCnt_138"/>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09856" behindDoc="0" locked="0" layoutInCell="1" allowOverlap="1">
                  <wp:simplePos x="0" y="0"/>
                  <wp:positionH relativeFrom="column">
                    <wp:posOffset>0</wp:posOffset>
                  </wp:positionH>
                  <wp:positionV relativeFrom="paragraph">
                    <wp:posOffset>0</wp:posOffset>
                  </wp:positionV>
                  <wp:extent cx="752475" cy="982345"/>
                  <wp:effectExtent l="0" t="0" r="0" b="0"/>
                  <wp:wrapNone/>
                  <wp:docPr id="735" name="AutoShape_1791_SpCnt_139"/>
                  <wp:cNvGraphicFramePr/>
                  <a:graphic xmlns:a="http://schemas.openxmlformats.org/drawingml/2006/main">
                    <a:graphicData uri="http://schemas.openxmlformats.org/drawingml/2006/picture">
                      <pic:pic xmlns:pic="http://schemas.openxmlformats.org/drawingml/2006/picture">
                        <pic:nvPicPr>
                          <pic:cNvPr id="735" name="AutoShape_1791_SpCnt_13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0880" behindDoc="0" locked="0" layoutInCell="1" allowOverlap="1">
                  <wp:simplePos x="0" y="0"/>
                  <wp:positionH relativeFrom="column">
                    <wp:posOffset>0</wp:posOffset>
                  </wp:positionH>
                  <wp:positionV relativeFrom="paragraph">
                    <wp:posOffset>0</wp:posOffset>
                  </wp:positionV>
                  <wp:extent cx="752475" cy="982345"/>
                  <wp:effectExtent l="0" t="0" r="0" b="0"/>
                  <wp:wrapNone/>
                  <wp:docPr id="752" name="AutoShape_1791_SpCnt_140"/>
                  <wp:cNvGraphicFramePr/>
                  <a:graphic xmlns:a="http://schemas.openxmlformats.org/drawingml/2006/main">
                    <a:graphicData uri="http://schemas.openxmlformats.org/drawingml/2006/picture">
                      <pic:pic xmlns:pic="http://schemas.openxmlformats.org/drawingml/2006/picture">
                        <pic:nvPicPr>
                          <pic:cNvPr id="752" name="AutoShape_1791_SpCnt_14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19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762" name="AutoShape_1791_SpCnt_141"/>
                  <wp:cNvGraphicFramePr/>
                  <a:graphic xmlns:a="http://schemas.openxmlformats.org/drawingml/2006/main">
                    <a:graphicData uri="http://schemas.openxmlformats.org/drawingml/2006/picture">
                      <pic:pic xmlns:pic="http://schemas.openxmlformats.org/drawingml/2006/picture">
                        <pic:nvPicPr>
                          <pic:cNvPr id="762" name="AutoShape_1791_SpCnt_14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2928" behindDoc="0" locked="0" layoutInCell="1" allowOverlap="1">
                  <wp:simplePos x="0" y="0"/>
                  <wp:positionH relativeFrom="column">
                    <wp:posOffset>0</wp:posOffset>
                  </wp:positionH>
                  <wp:positionV relativeFrom="paragraph">
                    <wp:posOffset>0</wp:posOffset>
                  </wp:positionV>
                  <wp:extent cx="752475" cy="982345"/>
                  <wp:effectExtent l="0" t="0" r="0" b="0"/>
                  <wp:wrapNone/>
                  <wp:docPr id="749" name="AutoShape_1791_SpCnt_142"/>
                  <wp:cNvGraphicFramePr/>
                  <a:graphic xmlns:a="http://schemas.openxmlformats.org/drawingml/2006/main">
                    <a:graphicData uri="http://schemas.openxmlformats.org/drawingml/2006/picture">
                      <pic:pic xmlns:pic="http://schemas.openxmlformats.org/drawingml/2006/picture">
                        <pic:nvPicPr>
                          <pic:cNvPr id="749" name="AutoShape_1791_SpCnt_14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39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48" name="AutoShape_1664_SpCnt_399"/>
                  <wp:cNvGraphicFramePr/>
                  <a:graphic xmlns:a="http://schemas.openxmlformats.org/drawingml/2006/main">
                    <a:graphicData uri="http://schemas.openxmlformats.org/drawingml/2006/picture">
                      <pic:pic xmlns:pic="http://schemas.openxmlformats.org/drawingml/2006/picture">
                        <pic:nvPicPr>
                          <pic:cNvPr id="748" name="AutoShape_1664_SpCnt_39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49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50" name="AutoShape_1664_SpCnt_400"/>
                  <wp:cNvGraphicFramePr/>
                  <a:graphic xmlns:a="http://schemas.openxmlformats.org/drawingml/2006/main">
                    <a:graphicData uri="http://schemas.openxmlformats.org/drawingml/2006/picture">
                      <pic:pic xmlns:pic="http://schemas.openxmlformats.org/drawingml/2006/picture">
                        <pic:nvPicPr>
                          <pic:cNvPr id="750" name="AutoShape_1664_SpCnt_40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60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53" name="AutoShape_1664_SpCnt_401"/>
                  <wp:cNvGraphicFramePr/>
                  <a:graphic xmlns:a="http://schemas.openxmlformats.org/drawingml/2006/main">
                    <a:graphicData uri="http://schemas.openxmlformats.org/drawingml/2006/picture">
                      <pic:pic xmlns:pic="http://schemas.openxmlformats.org/drawingml/2006/picture">
                        <pic:nvPicPr>
                          <pic:cNvPr id="753" name="AutoShape_1664_SpCnt_40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7024" behindDoc="0" locked="0" layoutInCell="1" allowOverlap="1">
                  <wp:simplePos x="0" y="0"/>
                  <wp:positionH relativeFrom="column">
                    <wp:posOffset>0</wp:posOffset>
                  </wp:positionH>
                  <wp:positionV relativeFrom="paragraph">
                    <wp:posOffset>0</wp:posOffset>
                  </wp:positionV>
                  <wp:extent cx="752475" cy="982345"/>
                  <wp:effectExtent l="0" t="0" r="0" b="0"/>
                  <wp:wrapNone/>
                  <wp:docPr id="742" name="AutoShape_1791_SpCnt_143"/>
                  <wp:cNvGraphicFramePr/>
                  <a:graphic xmlns:a="http://schemas.openxmlformats.org/drawingml/2006/main">
                    <a:graphicData uri="http://schemas.openxmlformats.org/drawingml/2006/picture">
                      <pic:pic xmlns:pic="http://schemas.openxmlformats.org/drawingml/2006/picture">
                        <pic:nvPicPr>
                          <pic:cNvPr id="742" name="AutoShape_1791_SpCnt_14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80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2" name="AutoShape_1664_SpCnt_402"/>
                  <wp:cNvGraphicFramePr/>
                  <a:graphic xmlns:a="http://schemas.openxmlformats.org/drawingml/2006/main">
                    <a:graphicData uri="http://schemas.openxmlformats.org/drawingml/2006/picture">
                      <pic:pic xmlns:pic="http://schemas.openxmlformats.org/drawingml/2006/picture">
                        <pic:nvPicPr>
                          <pic:cNvPr id="732" name="AutoShape_1664_SpCnt_40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190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4" name="AutoShape_1664_SpCnt_403"/>
                  <wp:cNvGraphicFramePr/>
                  <a:graphic xmlns:a="http://schemas.openxmlformats.org/drawingml/2006/main">
                    <a:graphicData uri="http://schemas.openxmlformats.org/drawingml/2006/picture">
                      <pic:pic xmlns:pic="http://schemas.openxmlformats.org/drawingml/2006/picture">
                        <pic:nvPicPr>
                          <pic:cNvPr id="734" name="AutoShape_1664_SpCnt_40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00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47" name="AutoShape_1664_SpCnt_404"/>
                  <wp:cNvGraphicFramePr/>
                  <a:graphic xmlns:a="http://schemas.openxmlformats.org/drawingml/2006/main">
                    <a:graphicData uri="http://schemas.openxmlformats.org/drawingml/2006/picture">
                      <pic:pic xmlns:pic="http://schemas.openxmlformats.org/drawingml/2006/picture">
                        <pic:nvPicPr>
                          <pic:cNvPr id="747" name="AutoShape_1664_SpCnt_40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1120" behindDoc="0" locked="0" layoutInCell="1" allowOverlap="1">
                  <wp:simplePos x="0" y="0"/>
                  <wp:positionH relativeFrom="column">
                    <wp:posOffset>0</wp:posOffset>
                  </wp:positionH>
                  <wp:positionV relativeFrom="paragraph">
                    <wp:posOffset>0</wp:posOffset>
                  </wp:positionV>
                  <wp:extent cx="786765" cy="903605"/>
                  <wp:effectExtent l="0" t="0" r="0" b="0"/>
                  <wp:wrapNone/>
                  <wp:docPr id="740" name="AutoShape_1664_SpCnt_405"/>
                  <wp:cNvGraphicFramePr/>
                  <a:graphic xmlns:a="http://schemas.openxmlformats.org/drawingml/2006/main">
                    <a:graphicData uri="http://schemas.openxmlformats.org/drawingml/2006/picture">
                      <pic:pic xmlns:pic="http://schemas.openxmlformats.org/drawingml/2006/picture">
                        <pic:nvPicPr>
                          <pic:cNvPr id="740" name="AutoShape_1664_SpCnt_405"/>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21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58" name="AutoShape_1664_SpCnt_406"/>
                  <wp:cNvGraphicFramePr/>
                  <a:graphic xmlns:a="http://schemas.openxmlformats.org/drawingml/2006/main">
                    <a:graphicData uri="http://schemas.openxmlformats.org/drawingml/2006/picture">
                      <pic:pic xmlns:pic="http://schemas.openxmlformats.org/drawingml/2006/picture">
                        <pic:nvPicPr>
                          <pic:cNvPr id="758" name="AutoShape_1664_SpCnt_40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31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41" name="AutoShape_1664_SpCnt_407"/>
                  <wp:cNvGraphicFramePr/>
                  <a:graphic xmlns:a="http://schemas.openxmlformats.org/drawingml/2006/main">
                    <a:graphicData uri="http://schemas.openxmlformats.org/drawingml/2006/picture">
                      <pic:pic xmlns:pic="http://schemas.openxmlformats.org/drawingml/2006/picture">
                        <pic:nvPicPr>
                          <pic:cNvPr id="741" name="AutoShape_1664_SpCnt_40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41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43" name="AutoShape_1664_SpCnt_408"/>
                  <wp:cNvGraphicFramePr/>
                  <a:graphic xmlns:a="http://schemas.openxmlformats.org/drawingml/2006/main">
                    <a:graphicData uri="http://schemas.openxmlformats.org/drawingml/2006/picture">
                      <pic:pic xmlns:pic="http://schemas.openxmlformats.org/drawingml/2006/picture">
                        <pic:nvPicPr>
                          <pic:cNvPr id="743" name="AutoShape_1664_SpCnt_40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5216" behindDoc="0" locked="0" layoutInCell="1" allowOverlap="1">
                  <wp:simplePos x="0" y="0"/>
                  <wp:positionH relativeFrom="column">
                    <wp:posOffset>0</wp:posOffset>
                  </wp:positionH>
                  <wp:positionV relativeFrom="paragraph">
                    <wp:posOffset>0</wp:posOffset>
                  </wp:positionV>
                  <wp:extent cx="752475" cy="982345"/>
                  <wp:effectExtent l="0" t="0" r="0" b="0"/>
                  <wp:wrapNone/>
                  <wp:docPr id="754" name="AutoShape_1791_SpCnt_144"/>
                  <wp:cNvGraphicFramePr/>
                  <a:graphic xmlns:a="http://schemas.openxmlformats.org/drawingml/2006/main">
                    <a:graphicData uri="http://schemas.openxmlformats.org/drawingml/2006/picture">
                      <pic:pic xmlns:pic="http://schemas.openxmlformats.org/drawingml/2006/picture">
                        <pic:nvPicPr>
                          <pic:cNvPr id="754" name="AutoShape_1791_SpCnt_14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624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44" name="AutoShape_1664_SpCnt_409"/>
                  <wp:cNvGraphicFramePr/>
                  <a:graphic xmlns:a="http://schemas.openxmlformats.org/drawingml/2006/main">
                    <a:graphicData uri="http://schemas.openxmlformats.org/drawingml/2006/picture">
                      <pic:pic xmlns:pic="http://schemas.openxmlformats.org/drawingml/2006/picture">
                        <pic:nvPicPr>
                          <pic:cNvPr id="744" name="AutoShape_1664_SpCnt_40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72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61" name="AutoShape_1664_SpCnt_410"/>
                  <wp:cNvGraphicFramePr/>
                  <a:graphic xmlns:a="http://schemas.openxmlformats.org/drawingml/2006/main">
                    <a:graphicData uri="http://schemas.openxmlformats.org/drawingml/2006/picture">
                      <pic:pic xmlns:pic="http://schemas.openxmlformats.org/drawingml/2006/picture">
                        <pic:nvPicPr>
                          <pic:cNvPr id="761" name="AutoShape_1664_SpCnt_41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828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55" name="AutoShape_1664_SpCnt_411"/>
                  <wp:cNvGraphicFramePr/>
                  <a:graphic xmlns:a="http://schemas.openxmlformats.org/drawingml/2006/main">
                    <a:graphicData uri="http://schemas.openxmlformats.org/drawingml/2006/picture">
                      <pic:pic xmlns:pic="http://schemas.openxmlformats.org/drawingml/2006/picture">
                        <pic:nvPicPr>
                          <pic:cNvPr id="755" name="AutoShape_1664_SpCnt_41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29312" behindDoc="0" locked="0" layoutInCell="1" allowOverlap="1">
                  <wp:simplePos x="0" y="0"/>
                  <wp:positionH relativeFrom="column">
                    <wp:posOffset>0</wp:posOffset>
                  </wp:positionH>
                  <wp:positionV relativeFrom="paragraph">
                    <wp:posOffset>0</wp:posOffset>
                  </wp:positionV>
                  <wp:extent cx="786765" cy="903605"/>
                  <wp:effectExtent l="0" t="0" r="0" b="0"/>
                  <wp:wrapNone/>
                  <wp:docPr id="756" name="AutoShape_1664_SpCnt_412"/>
                  <wp:cNvGraphicFramePr/>
                  <a:graphic xmlns:a="http://schemas.openxmlformats.org/drawingml/2006/main">
                    <a:graphicData uri="http://schemas.openxmlformats.org/drawingml/2006/picture">
                      <pic:pic xmlns:pic="http://schemas.openxmlformats.org/drawingml/2006/picture">
                        <pic:nvPicPr>
                          <pic:cNvPr id="756" name="AutoShape_1664_SpCnt_412"/>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033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51" name="AutoShape_1664_SpCnt_413"/>
                  <wp:cNvGraphicFramePr/>
                  <a:graphic xmlns:a="http://schemas.openxmlformats.org/drawingml/2006/main">
                    <a:graphicData uri="http://schemas.openxmlformats.org/drawingml/2006/picture">
                      <pic:pic xmlns:pic="http://schemas.openxmlformats.org/drawingml/2006/picture">
                        <pic:nvPicPr>
                          <pic:cNvPr id="751" name="AutoShape_1664_SpCnt_413"/>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57" name="AutoShape_1664_SpCnt_414"/>
                  <wp:cNvGraphicFramePr/>
                  <a:graphic xmlns:a="http://schemas.openxmlformats.org/drawingml/2006/main">
                    <a:graphicData uri="http://schemas.openxmlformats.org/drawingml/2006/picture">
                      <pic:pic xmlns:pic="http://schemas.openxmlformats.org/drawingml/2006/picture">
                        <pic:nvPicPr>
                          <pic:cNvPr id="757" name="AutoShape_1664_SpCnt_41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36" name="AutoShape_1664_SpCnt_415"/>
                  <wp:cNvGraphicFramePr/>
                  <a:graphic xmlns:a="http://schemas.openxmlformats.org/drawingml/2006/main">
                    <a:graphicData uri="http://schemas.openxmlformats.org/drawingml/2006/picture">
                      <pic:pic xmlns:pic="http://schemas.openxmlformats.org/drawingml/2006/picture">
                        <pic:nvPicPr>
                          <pic:cNvPr id="736" name="AutoShape_1664_SpCnt_415"/>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3408" behindDoc="0" locked="0" layoutInCell="1" allowOverlap="1">
                  <wp:simplePos x="0" y="0"/>
                  <wp:positionH relativeFrom="column">
                    <wp:posOffset>0</wp:posOffset>
                  </wp:positionH>
                  <wp:positionV relativeFrom="paragraph">
                    <wp:posOffset>0</wp:posOffset>
                  </wp:positionV>
                  <wp:extent cx="786765" cy="859790"/>
                  <wp:effectExtent l="0" t="0" r="0" b="0"/>
                  <wp:wrapNone/>
                  <wp:docPr id="739" name="AutoShape_1664_SpCnt_416"/>
                  <wp:cNvGraphicFramePr/>
                  <a:graphic xmlns:a="http://schemas.openxmlformats.org/drawingml/2006/main">
                    <a:graphicData uri="http://schemas.openxmlformats.org/drawingml/2006/picture">
                      <pic:pic xmlns:pic="http://schemas.openxmlformats.org/drawingml/2006/picture">
                        <pic:nvPicPr>
                          <pic:cNvPr id="739" name="AutoShape_1664_SpCnt_416"/>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443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60" name="AutoShape_1664_SpCnt_417"/>
                  <wp:cNvGraphicFramePr/>
                  <a:graphic xmlns:a="http://schemas.openxmlformats.org/drawingml/2006/main">
                    <a:graphicData uri="http://schemas.openxmlformats.org/drawingml/2006/picture">
                      <pic:pic xmlns:pic="http://schemas.openxmlformats.org/drawingml/2006/picture">
                        <pic:nvPicPr>
                          <pic:cNvPr id="760" name="AutoShape_1664_SpCnt_41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54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7" name="AutoShape_1664_SpCnt_418"/>
                  <wp:cNvGraphicFramePr/>
                  <a:graphic xmlns:a="http://schemas.openxmlformats.org/drawingml/2006/main">
                    <a:graphicData uri="http://schemas.openxmlformats.org/drawingml/2006/picture">
                      <pic:pic xmlns:pic="http://schemas.openxmlformats.org/drawingml/2006/picture">
                        <pic:nvPicPr>
                          <pic:cNvPr id="737" name="AutoShape_1664_SpCnt_41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648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45" name="AutoShape_1664_SpCnt_419"/>
                  <wp:cNvGraphicFramePr/>
                  <a:graphic xmlns:a="http://schemas.openxmlformats.org/drawingml/2006/main">
                    <a:graphicData uri="http://schemas.openxmlformats.org/drawingml/2006/picture">
                      <pic:pic xmlns:pic="http://schemas.openxmlformats.org/drawingml/2006/picture">
                        <pic:nvPicPr>
                          <pic:cNvPr id="745" name="AutoShape_1664_SpCnt_41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7504" behindDoc="0" locked="0" layoutInCell="1" allowOverlap="1">
                  <wp:simplePos x="0" y="0"/>
                  <wp:positionH relativeFrom="column">
                    <wp:posOffset>0</wp:posOffset>
                  </wp:positionH>
                  <wp:positionV relativeFrom="paragraph">
                    <wp:posOffset>0</wp:posOffset>
                  </wp:positionV>
                  <wp:extent cx="786765" cy="903605"/>
                  <wp:effectExtent l="0" t="0" r="0" b="0"/>
                  <wp:wrapNone/>
                  <wp:docPr id="746" name="AutoShape_1664_SpCnt_420"/>
                  <wp:cNvGraphicFramePr/>
                  <a:graphic xmlns:a="http://schemas.openxmlformats.org/drawingml/2006/main">
                    <a:graphicData uri="http://schemas.openxmlformats.org/drawingml/2006/picture">
                      <pic:pic xmlns:pic="http://schemas.openxmlformats.org/drawingml/2006/picture">
                        <pic:nvPicPr>
                          <pic:cNvPr id="746" name="AutoShape_1664_SpCnt_420"/>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63" name="AutoShape_1664_SpCnt_421"/>
                  <wp:cNvGraphicFramePr/>
                  <a:graphic xmlns:a="http://schemas.openxmlformats.org/drawingml/2006/main">
                    <a:graphicData uri="http://schemas.openxmlformats.org/drawingml/2006/picture">
                      <pic:pic xmlns:pic="http://schemas.openxmlformats.org/drawingml/2006/picture">
                        <pic:nvPicPr>
                          <pic:cNvPr id="763" name="AutoShape_1664_SpCnt_42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395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33" name="AutoShape_1664_SpCnt_422"/>
                  <wp:cNvGraphicFramePr/>
                  <a:graphic xmlns:a="http://schemas.openxmlformats.org/drawingml/2006/main">
                    <a:graphicData uri="http://schemas.openxmlformats.org/drawingml/2006/picture">
                      <pic:pic xmlns:pic="http://schemas.openxmlformats.org/drawingml/2006/picture">
                        <pic:nvPicPr>
                          <pic:cNvPr id="733" name="AutoShape_1664_SpCnt_42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057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59" name="AutoShape_1664_SpCnt_423"/>
                  <wp:cNvGraphicFramePr/>
                  <a:graphic xmlns:a="http://schemas.openxmlformats.org/drawingml/2006/main">
                    <a:graphicData uri="http://schemas.openxmlformats.org/drawingml/2006/picture">
                      <pic:pic xmlns:pic="http://schemas.openxmlformats.org/drawingml/2006/picture">
                        <pic:nvPicPr>
                          <pic:cNvPr id="759" name="AutoShape_1664_SpCnt_423"/>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1600" behindDoc="0" locked="0" layoutInCell="1" allowOverlap="1">
                  <wp:simplePos x="0" y="0"/>
                  <wp:positionH relativeFrom="column">
                    <wp:posOffset>0</wp:posOffset>
                  </wp:positionH>
                  <wp:positionV relativeFrom="paragraph">
                    <wp:posOffset>0</wp:posOffset>
                  </wp:positionV>
                  <wp:extent cx="752475" cy="982345"/>
                  <wp:effectExtent l="0" t="0" r="0" b="0"/>
                  <wp:wrapNone/>
                  <wp:docPr id="792" name="AutoShape_1791_SpCnt_145"/>
                  <wp:cNvGraphicFramePr/>
                  <a:graphic xmlns:a="http://schemas.openxmlformats.org/drawingml/2006/main">
                    <a:graphicData uri="http://schemas.openxmlformats.org/drawingml/2006/picture">
                      <pic:pic xmlns:pic="http://schemas.openxmlformats.org/drawingml/2006/picture">
                        <pic:nvPicPr>
                          <pic:cNvPr id="792" name="AutoShape_1791_SpCnt_14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262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71" name="AutoShape_1664_SpCnt_424"/>
                  <wp:cNvGraphicFramePr/>
                  <a:graphic xmlns:a="http://schemas.openxmlformats.org/drawingml/2006/main">
                    <a:graphicData uri="http://schemas.openxmlformats.org/drawingml/2006/picture">
                      <pic:pic xmlns:pic="http://schemas.openxmlformats.org/drawingml/2006/picture">
                        <pic:nvPicPr>
                          <pic:cNvPr id="771" name="AutoShape_1664_SpCnt_424"/>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36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66" name="AutoShape_1664_SpCnt_425"/>
                  <wp:cNvGraphicFramePr/>
                  <a:graphic xmlns:a="http://schemas.openxmlformats.org/drawingml/2006/main">
                    <a:graphicData uri="http://schemas.openxmlformats.org/drawingml/2006/picture">
                      <pic:pic xmlns:pic="http://schemas.openxmlformats.org/drawingml/2006/picture">
                        <pic:nvPicPr>
                          <pic:cNvPr id="766" name="AutoShape_1664_SpCnt_42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467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72" name="AutoShape_1664_SpCnt_426"/>
                  <wp:cNvGraphicFramePr/>
                  <a:graphic xmlns:a="http://schemas.openxmlformats.org/drawingml/2006/main">
                    <a:graphicData uri="http://schemas.openxmlformats.org/drawingml/2006/picture">
                      <pic:pic xmlns:pic="http://schemas.openxmlformats.org/drawingml/2006/picture">
                        <pic:nvPicPr>
                          <pic:cNvPr id="772" name="AutoShape_1664_SpCnt_426"/>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786765" cy="859790"/>
                  <wp:effectExtent l="0" t="0" r="0" b="0"/>
                  <wp:wrapNone/>
                  <wp:docPr id="794" name="AutoShape_1664_SpCnt_427"/>
                  <wp:cNvGraphicFramePr/>
                  <a:graphic xmlns:a="http://schemas.openxmlformats.org/drawingml/2006/main">
                    <a:graphicData uri="http://schemas.openxmlformats.org/drawingml/2006/picture">
                      <pic:pic xmlns:pic="http://schemas.openxmlformats.org/drawingml/2006/picture">
                        <pic:nvPicPr>
                          <pic:cNvPr id="794" name="AutoShape_1664_SpCnt_427"/>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672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69" name="AutoShape_1664_SpCnt_428"/>
                  <wp:cNvGraphicFramePr/>
                  <a:graphic xmlns:a="http://schemas.openxmlformats.org/drawingml/2006/main">
                    <a:graphicData uri="http://schemas.openxmlformats.org/drawingml/2006/picture">
                      <pic:pic xmlns:pic="http://schemas.openxmlformats.org/drawingml/2006/picture">
                        <pic:nvPicPr>
                          <pic:cNvPr id="769" name="AutoShape_1664_SpCnt_428"/>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77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95" name="AutoShape_1664_SpCnt_429"/>
                  <wp:cNvGraphicFramePr/>
                  <a:graphic xmlns:a="http://schemas.openxmlformats.org/drawingml/2006/main">
                    <a:graphicData uri="http://schemas.openxmlformats.org/drawingml/2006/picture">
                      <pic:pic xmlns:pic="http://schemas.openxmlformats.org/drawingml/2006/picture">
                        <pic:nvPicPr>
                          <pic:cNvPr id="795" name="AutoShape_1664_SpCnt_42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64" name="AutoShape_1664_SpCnt_430"/>
                  <wp:cNvGraphicFramePr/>
                  <a:graphic xmlns:a="http://schemas.openxmlformats.org/drawingml/2006/main">
                    <a:graphicData uri="http://schemas.openxmlformats.org/drawingml/2006/picture">
                      <pic:pic xmlns:pic="http://schemas.openxmlformats.org/drawingml/2006/picture">
                        <pic:nvPicPr>
                          <pic:cNvPr id="764" name="AutoShape_1664_SpCnt_430"/>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49792" behindDoc="0" locked="0" layoutInCell="1" allowOverlap="1">
                  <wp:simplePos x="0" y="0"/>
                  <wp:positionH relativeFrom="column">
                    <wp:posOffset>0</wp:posOffset>
                  </wp:positionH>
                  <wp:positionV relativeFrom="paragraph">
                    <wp:posOffset>0</wp:posOffset>
                  </wp:positionV>
                  <wp:extent cx="752475" cy="982345"/>
                  <wp:effectExtent l="0" t="0" r="0" b="0"/>
                  <wp:wrapNone/>
                  <wp:docPr id="765" name="AutoShape_1791_SpCnt_146"/>
                  <wp:cNvGraphicFramePr/>
                  <a:graphic xmlns:a="http://schemas.openxmlformats.org/drawingml/2006/main">
                    <a:graphicData uri="http://schemas.openxmlformats.org/drawingml/2006/picture">
                      <pic:pic xmlns:pic="http://schemas.openxmlformats.org/drawingml/2006/picture">
                        <pic:nvPicPr>
                          <pic:cNvPr id="765" name="AutoShape_1791_SpCnt_14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84" name="AutoShape_1664_SpCnt_431"/>
                  <wp:cNvGraphicFramePr/>
                  <a:graphic xmlns:a="http://schemas.openxmlformats.org/drawingml/2006/main">
                    <a:graphicData uri="http://schemas.openxmlformats.org/drawingml/2006/picture">
                      <pic:pic xmlns:pic="http://schemas.openxmlformats.org/drawingml/2006/picture">
                        <pic:nvPicPr>
                          <pic:cNvPr id="784" name="AutoShape_1664_SpCnt_43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18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793" name="AutoShape_1791_SpCnt_147"/>
                  <wp:cNvGraphicFramePr/>
                  <a:graphic xmlns:a="http://schemas.openxmlformats.org/drawingml/2006/main">
                    <a:graphicData uri="http://schemas.openxmlformats.org/drawingml/2006/picture">
                      <pic:pic xmlns:pic="http://schemas.openxmlformats.org/drawingml/2006/picture">
                        <pic:nvPicPr>
                          <pic:cNvPr id="793" name="AutoShape_1791_SpCnt_14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286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67" name="AutoShape_1664_SpCnt_432"/>
                  <wp:cNvGraphicFramePr/>
                  <a:graphic xmlns:a="http://schemas.openxmlformats.org/drawingml/2006/main">
                    <a:graphicData uri="http://schemas.openxmlformats.org/drawingml/2006/picture">
                      <pic:pic xmlns:pic="http://schemas.openxmlformats.org/drawingml/2006/picture">
                        <pic:nvPicPr>
                          <pic:cNvPr id="767" name="AutoShape_1664_SpCnt_432"/>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786765" cy="903605"/>
                  <wp:effectExtent l="0" t="0" r="0" b="0"/>
                  <wp:wrapNone/>
                  <wp:docPr id="768" name="AutoShape_1664_SpCnt_433"/>
                  <wp:cNvGraphicFramePr/>
                  <a:graphic xmlns:a="http://schemas.openxmlformats.org/drawingml/2006/main">
                    <a:graphicData uri="http://schemas.openxmlformats.org/drawingml/2006/picture">
                      <pic:pic xmlns:pic="http://schemas.openxmlformats.org/drawingml/2006/picture">
                        <pic:nvPicPr>
                          <pic:cNvPr id="768" name="AutoShape_1664_SpCnt_433"/>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491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79" name="AutoShape_1664_SpCnt_434"/>
                  <wp:cNvGraphicFramePr/>
                  <a:graphic xmlns:a="http://schemas.openxmlformats.org/drawingml/2006/main">
                    <a:graphicData uri="http://schemas.openxmlformats.org/drawingml/2006/picture">
                      <pic:pic xmlns:pic="http://schemas.openxmlformats.org/drawingml/2006/picture">
                        <pic:nvPicPr>
                          <pic:cNvPr id="779" name="AutoShape_1664_SpCnt_434"/>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791" name="AutoShape_1664_SpCnt_435"/>
                  <wp:cNvGraphicFramePr/>
                  <a:graphic xmlns:a="http://schemas.openxmlformats.org/drawingml/2006/main">
                    <a:graphicData uri="http://schemas.openxmlformats.org/drawingml/2006/picture">
                      <pic:pic xmlns:pic="http://schemas.openxmlformats.org/drawingml/2006/picture">
                        <pic:nvPicPr>
                          <pic:cNvPr id="791" name="AutoShape_1664_SpCnt_43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696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73" name="AutoShape_1664_SpCnt_436"/>
                  <wp:cNvGraphicFramePr/>
                  <a:graphic xmlns:a="http://schemas.openxmlformats.org/drawingml/2006/main">
                    <a:graphicData uri="http://schemas.openxmlformats.org/drawingml/2006/picture">
                      <pic:pic xmlns:pic="http://schemas.openxmlformats.org/drawingml/2006/picture">
                        <pic:nvPicPr>
                          <pic:cNvPr id="773" name="AutoShape_1664_SpCnt_436"/>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7984" behindDoc="0" locked="0" layoutInCell="1" allowOverlap="1">
                  <wp:simplePos x="0" y="0"/>
                  <wp:positionH relativeFrom="column">
                    <wp:posOffset>0</wp:posOffset>
                  </wp:positionH>
                  <wp:positionV relativeFrom="paragraph">
                    <wp:posOffset>0</wp:posOffset>
                  </wp:positionV>
                  <wp:extent cx="752475" cy="982345"/>
                  <wp:effectExtent l="0" t="0" r="0" b="0"/>
                  <wp:wrapNone/>
                  <wp:docPr id="775" name="AutoShape_1791_SpCnt_148"/>
                  <wp:cNvGraphicFramePr/>
                  <a:graphic xmlns:a="http://schemas.openxmlformats.org/drawingml/2006/main">
                    <a:graphicData uri="http://schemas.openxmlformats.org/drawingml/2006/picture">
                      <pic:pic xmlns:pic="http://schemas.openxmlformats.org/drawingml/2006/picture">
                        <pic:nvPicPr>
                          <pic:cNvPr id="775" name="AutoShape_1791_SpCnt_14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80" name="AutoShape_1664_SpCnt_437"/>
                  <wp:cNvGraphicFramePr/>
                  <a:graphic xmlns:a="http://schemas.openxmlformats.org/drawingml/2006/main">
                    <a:graphicData uri="http://schemas.openxmlformats.org/drawingml/2006/picture">
                      <pic:pic xmlns:pic="http://schemas.openxmlformats.org/drawingml/2006/picture">
                        <pic:nvPicPr>
                          <pic:cNvPr id="780" name="AutoShape_1664_SpCnt_43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78" name="AutoShape_1664_SpCnt_438"/>
                  <wp:cNvGraphicFramePr/>
                  <a:graphic xmlns:a="http://schemas.openxmlformats.org/drawingml/2006/main">
                    <a:graphicData uri="http://schemas.openxmlformats.org/drawingml/2006/picture">
                      <pic:pic xmlns:pic="http://schemas.openxmlformats.org/drawingml/2006/picture">
                        <pic:nvPicPr>
                          <pic:cNvPr id="778" name="AutoShape_1664_SpCnt_43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776" name="AutoShape_1664_SpCnt_439"/>
                  <wp:cNvGraphicFramePr/>
                  <a:graphic xmlns:a="http://schemas.openxmlformats.org/drawingml/2006/main">
                    <a:graphicData uri="http://schemas.openxmlformats.org/drawingml/2006/picture">
                      <pic:pic xmlns:pic="http://schemas.openxmlformats.org/drawingml/2006/picture">
                        <pic:nvPicPr>
                          <pic:cNvPr id="776" name="AutoShape_1664_SpCnt_43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786765" cy="903605"/>
                  <wp:effectExtent l="0" t="0" r="0" b="0"/>
                  <wp:wrapNone/>
                  <wp:docPr id="770" name="AutoShape_1664_SpCnt_440"/>
                  <wp:cNvGraphicFramePr/>
                  <a:graphic xmlns:a="http://schemas.openxmlformats.org/drawingml/2006/main">
                    <a:graphicData uri="http://schemas.openxmlformats.org/drawingml/2006/picture">
                      <pic:pic xmlns:pic="http://schemas.openxmlformats.org/drawingml/2006/picture">
                        <pic:nvPicPr>
                          <pic:cNvPr id="770" name="AutoShape_1664_SpCnt_440"/>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31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81" name="AutoShape_1664_SpCnt_441"/>
                  <wp:cNvGraphicFramePr/>
                  <a:graphic xmlns:a="http://schemas.openxmlformats.org/drawingml/2006/main">
                    <a:graphicData uri="http://schemas.openxmlformats.org/drawingml/2006/picture">
                      <pic:pic xmlns:pic="http://schemas.openxmlformats.org/drawingml/2006/picture">
                        <pic:nvPicPr>
                          <pic:cNvPr id="781" name="AutoShape_1664_SpCnt_44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41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77" name="AutoShape_1664_SpCnt_442"/>
                  <wp:cNvGraphicFramePr/>
                  <a:graphic xmlns:a="http://schemas.openxmlformats.org/drawingml/2006/main">
                    <a:graphicData uri="http://schemas.openxmlformats.org/drawingml/2006/picture">
                      <pic:pic xmlns:pic="http://schemas.openxmlformats.org/drawingml/2006/picture">
                        <pic:nvPicPr>
                          <pic:cNvPr id="777" name="AutoShape_1664_SpCnt_44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774" name="AutoShape_1664_SpCnt_443"/>
                  <wp:cNvGraphicFramePr/>
                  <a:graphic xmlns:a="http://schemas.openxmlformats.org/drawingml/2006/main">
                    <a:graphicData uri="http://schemas.openxmlformats.org/drawingml/2006/picture">
                      <pic:pic xmlns:pic="http://schemas.openxmlformats.org/drawingml/2006/picture">
                        <pic:nvPicPr>
                          <pic:cNvPr id="774" name="AutoShape_1664_SpCnt_44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6176" behindDoc="0" locked="0" layoutInCell="1" allowOverlap="1">
                  <wp:simplePos x="0" y="0"/>
                  <wp:positionH relativeFrom="column">
                    <wp:posOffset>0</wp:posOffset>
                  </wp:positionH>
                  <wp:positionV relativeFrom="paragraph">
                    <wp:posOffset>0</wp:posOffset>
                  </wp:positionV>
                  <wp:extent cx="752475" cy="982345"/>
                  <wp:effectExtent l="0" t="0" r="0" b="0"/>
                  <wp:wrapNone/>
                  <wp:docPr id="782" name="AutoShape_1791_SpCnt_149"/>
                  <wp:cNvGraphicFramePr/>
                  <a:graphic xmlns:a="http://schemas.openxmlformats.org/drawingml/2006/main">
                    <a:graphicData uri="http://schemas.openxmlformats.org/drawingml/2006/picture">
                      <pic:pic xmlns:pic="http://schemas.openxmlformats.org/drawingml/2006/picture">
                        <pic:nvPicPr>
                          <pic:cNvPr id="782" name="AutoShape_1791_SpCnt_14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72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87" name="AutoShape_1664_SpCnt_444"/>
                  <wp:cNvGraphicFramePr/>
                  <a:graphic xmlns:a="http://schemas.openxmlformats.org/drawingml/2006/main">
                    <a:graphicData uri="http://schemas.openxmlformats.org/drawingml/2006/picture">
                      <pic:pic xmlns:pic="http://schemas.openxmlformats.org/drawingml/2006/picture">
                        <pic:nvPicPr>
                          <pic:cNvPr id="787" name="AutoShape_1664_SpCnt_44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786765" cy="1008380"/>
                  <wp:effectExtent l="0" t="0" r="0" b="0"/>
                  <wp:wrapNone/>
                  <wp:docPr id="783" name="AutoShape_1664_SpCnt_445"/>
                  <wp:cNvGraphicFramePr/>
                  <a:graphic xmlns:a="http://schemas.openxmlformats.org/drawingml/2006/main">
                    <a:graphicData uri="http://schemas.openxmlformats.org/drawingml/2006/picture">
                      <pic:pic xmlns:pic="http://schemas.openxmlformats.org/drawingml/2006/picture">
                        <pic:nvPicPr>
                          <pic:cNvPr id="783" name="AutoShape_1664_SpCnt_445"/>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85" name="AutoShape_1664_SpCnt_446"/>
                  <wp:cNvGraphicFramePr/>
                  <a:graphic xmlns:a="http://schemas.openxmlformats.org/drawingml/2006/main">
                    <a:graphicData uri="http://schemas.openxmlformats.org/drawingml/2006/picture">
                      <pic:pic xmlns:pic="http://schemas.openxmlformats.org/drawingml/2006/picture">
                        <pic:nvPicPr>
                          <pic:cNvPr id="785" name="AutoShape_1664_SpCnt_44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752475" cy="982345"/>
                  <wp:effectExtent l="0" t="0" r="0" b="0"/>
                  <wp:wrapNone/>
                  <wp:docPr id="786" name="AutoShape_1791_SpCnt_150"/>
                  <wp:cNvGraphicFramePr/>
                  <a:graphic xmlns:a="http://schemas.openxmlformats.org/drawingml/2006/main">
                    <a:graphicData uri="http://schemas.openxmlformats.org/drawingml/2006/picture">
                      <pic:pic xmlns:pic="http://schemas.openxmlformats.org/drawingml/2006/picture">
                        <pic:nvPicPr>
                          <pic:cNvPr id="786" name="AutoShape_1791_SpCnt_15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129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788" name="AutoShape_1664_SpCnt_447"/>
                  <wp:cNvGraphicFramePr/>
                  <a:graphic xmlns:a="http://schemas.openxmlformats.org/drawingml/2006/main">
                    <a:graphicData uri="http://schemas.openxmlformats.org/drawingml/2006/picture">
                      <pic:pic xmlns:pic="http://schemas.openxmlformats.org/drawingml/2006/picture">
                        <pic:nvPicPr>
                          <pic:cNvPr id="788" name="AutoShape_1664_SpCnt_447"/>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786765" cy="903605"/>
                  <wp:effectExtent l="0" t="0" r="0" b="0"/>
                  <wp:wrapNone/>
                  <wp:docPr id="789" name="AutoShape_1664_SpCnt_448"/>
                  <wp:cNvGraphicFramePr/>
                  <a:graphic xmlns:a="http://schemas.openxmlformats.org/drawingml/2006/main">
                    <a:graphicData uri="http://schemas.openxmlformats.org/drawingml/2006/picture">
                      <pic:pic xmlns:pic="http://schemas.openxmlformats.org/drawingml/2006/picture">
                        <pic:nvPicPr>
                          <pic:cNvPr id="789" name="AutoShape_1664_SpCnt_44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3344" behindDoc="0" locked="0" layoutInCell="1" allowOverlap="1">
                  <wp:simplePos x="0" y="0"/>
                  <wp:positionH relativeFrom="column">
                    <wp:posOffset>0</wp:posOffset>
                  </wp:positionH>
                  <wp:positionV relativeFrom="paragraph">
                    <wp:posOffset>0</wp:posOffset>
                  </wp:positionV>
                  <wp:extent cx="786765" cy="903605"/>
                  <wp:effectExtent l="0" t="0" r="0" b="0"/>
                  <wp:wrapNone/>
                  <wp:docPr id="790" name="AutoShape_1664_SpCnt_449"/>
                  <wp:cNvGraphicFramePr/>
                  <a:graphic xmlns:a="http://schemas.openxmlformats.org/drawingml/2006/main">
                    <a:graphicData uri="http://schemas.openxmlformats.org/drawingml/2006/picture">
                      <pic:pic xmlns:pic="http://schemas.openxmlformats.org/drawingml/2006/picture">
                        <pic:nvPicPr>
                          <pic:cNvPr id="790" name="AutoShape_1664_SpCnt_449"/>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16" name="AutoShape_1664_SpCnt_450"/>
                  <wp:cNvGraphicFramePr/>
                  <a:graphic xmlns:a="http://schemas.openxmlformats.org/drawingml/2006/main">
                    <a:graphicData uri="http://schemas.openxmlformats.org/drawingml/2006/picture">
                      <pic:pic xmlns:pic="http://schemas.openxmlformats.org/drawingml/2006/picture">
                        <pic:nvPicPr>
                          <pic:cNvPr id="816" name="AutoShape_1664_SpCnt_45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5" name="AutoShape_1664_SpCnt_451"/>
                  <wp:cNvGraphicFramePr/>
                  <a:graphic xmlns:a="http://schemas.openxmlformats.org/drawingml/2006/main">
                    <a:graphicData uri="http://schemas.openxmlformats.org/drawingml/2006/picture">
                      <pic:pic xmlns:pic="http://schemas.openxmlformats.org/drawingml/2006/picture">
                        <pic:nvPicPr>
                          <pic:cNvPr id="805" name="AutoShape_1664_SpCnt_45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786765" cy="1008380"/>
                  <wp:effectExtent l="0" t="0" r="0" b="0"/>
                  <wp:wrapNone/>
                  <wp:docPr id="797" name="AutoShape_1664_SpCnt_452"/>
                  <wp:cNvGraphicFramePr/>
                  <a:graphic xmlns:a="http://schemas.openxmlformats.org/drawingml/2006/main">
                    <a:graphicData uri="http://schemas.openxmlformats.org/drawingml/2006/picture">
                      <pic:pic xmlns:pic="http://schemas.openxmlformats.org/drawingml/2006/picture">
                        <pic:nvPicPr>
                          <pic:cNvPr id="797" name="AutoShape_1664_SpCnt_452"/>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74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813" name="AutoShape_1791_SpCnt_151"/>
                  <wp:cNvGraphicFramePr/>
                  <a:graphic xmlns:a="http://schemas.openxmlformats.org/drawingml/2006/main">
                    <a:graphicData uri="http://schemas.openxmlformats.org/drawingml/2006/picture">
                      <pic:pic xmlns:pic="http://schemas.openxmlformats.org/drawingml/2006/picture">
                        <pic:nvPicPr>
                          <pic:cNvPr id="813" name="AutoShape_1791_SpCnt_15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14" name="AutoShape_1664_SpCnt_453"/>
                  <wp:cNvGraphicFramePr/>
                  <a:graphic xmlns:a="http://schemas.openxmlformats.org/drawingml/2006/main">
                    <a:graphicData uri="http://schemas.openxmlformats.org/drawingml/2006/picture">
                      <pic:pic xmlns:pic="http://schemas.openxmlformats.org/drawingml/2006/picture">
                        <pic:nvPicPr>
                          <pic:cNvPr id="814" name="AutoShape_1664_SpCnt_45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79488" behindDoc="0" locked="0" layoutInCell="1" allowOverlap="1">
                  <wp:simplePos x="0" y="0"/>
                  <wp:positionH relativeFrom="column">
                    <wp:posOffset>0</wp:posOffset>
                  </wp:positionH>
                  <wp:positionV relativeFrom="paragraph">
                    <wp:posOffset>0</wp:posOffset>
                  </wp:positionV>
                  <wp:extent cx="786765" cy="1008380"/>
                  <wp:effectExtent l="0" t="0" r="0" b="0"/>
                  <wp:wrapNone/>
                  <wp:docPr id="800" name="AutoShape_1664_SpCnt_454"/>
                  <wp:cNvGraphicFramePr/>
                  <a:graphic xmlns:a="http://schemas.openxmlformats.org/drawingml/2006/main">
                    <a:graphicData uri="http://schemas.openxmlformats.org/drawingml/2006/picture">
                      <pic:pic xmlns:pic="http://schemas.openxmlformats.org/drawingml/2006/picture">
                        <pic:nvPicPr>
                          <pic:cNvPr id="800" name="AutoShape_1664_SpCnt_454"/>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0512" behindDoc="0" locked="0" layoutInCell="1" allowOverlap="1">
                  <wp:simplePos x="0" y="0"/>
                  <wp:positionH relativeFrom="column">
                    <wp:posOffset>0</wp:posOffset>
                  </wp:positionH>
                  <wp:positionV relativeFrom="paragraph">
                    <wp:posOffset>0</wp:posOffset>
                  </wp:positionV>
                  <wp:extent cx="752475" cy="982345"/>
                  <wp:effectExtent l="0" t="0" r="0" b="0"/>
                  <wp:wrapNone/>
                  <wp:docPr id="824" name="AutoShape_1791_SpCnt_152"/>
                  <wp:cNvGraphicFramePr/>
                  <a:graphic xmlns:a="http://schemas.openxmlformats.org/drawingml/2006/main">
                    <a:graphicData uri="http://schemas.openxmlformats.org/drawingml/2006/picture">
                      <pic:pic xmlns:pic="http://schemas.openxmlformats.org/drawingml/2006/picture">
                        <pic:nvPicPr>
                          <pic:cNvPr id="824" name="AutoShape_1791_SpCnt_15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26" name="AutoShape_1791_SpCnt_153"/>
                  <wp:cNvGraphicFramePr/>
                  <a:graphic xmlns:a="http://schemas.openxmlformats.org/drawingml/2006/main">
                    <a:graphicData uri="http://schemas.openxmlformats.org/drawingml/2006/picture">
                      <pic:pic xmlns:pic="http://schemas.openxmlformats.org/drawingml/2006/picture">
                        <pic:nvPicPr>
                          <pic:cNvPr id="826" name="AutoShape_1791_SpCnt_15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799" name="AutoShape_1664_SpCnt_455"/>
                  <wp:cNvGraphicFramePr/>
                  <a:graphic xmlns:a="http://schemas.openxmlformats.org/drawingml/2006/main">
                    <a:graphicData uri="http://schemas.openxmlformats.org/drawingml/2006/picture">
                      <pic:pic xmlns:pic="http://schemas.openxmlformats.org/drawingml/2006/picture">
                        <pic:nvPicPr>
                          <pic:cNvPr id="799" name="AutoShape_1664_SpCnt_45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21" name="AutoShape_1664_SpCnt_456"/>
                  <wp:cNvGraphicFramePr/>
                  <a:graphic xmlns:a="http://schemas.openxmlformats.org/drawingml/2006/main">
                    <a:graphicData uri="http://schemas.openxmlformats.org/drawingml/2006/picture">
                      <pic:pic xmlns:pic="http://schemas.openxmlformats.org/drawingml/2006/picture">
                        <pic:nvPicPr>
                          <pic:cNvPr id="821" name="AutoShape_1664_SpCnt_45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17" name="AutoShape_1664_SpCnt_457"/>
                  <wp:cNvGraphicFramePr/>
                  <a:graphic xmlns:a="http://schemas.openxmlformats.org/drawingml/2006/main">
                    <a:graphicData uri="http://schemas.openxmlformats.org/drawingml/2006/picture">
                      <pic:pic xmlns:pic="http://schemas.openxmlformats.org/drawingml/2006/picture">
                        <pic:nvPicPr>
                          <pic:cNvPr id="817" name="AutoShape_1664_SpCnt_45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5632" behindDoc="0" locked="0" layoutInCell="1" allowOverlap="1">
                  <wp:simplePos x="0" y="0"/>
                  <wp:positionH relativeFrom="column">
                    <wp:posOffset>0</wp:posOffset>
                  </wp:positionH>
                  <wp:positionV relativeFrom="paragraph">
                    <wp:posOffset>0</wp:posOffset>
                  </wp:positionV>
                  <wp:extent cx="786765" cy="903605"/>
                  <wp:effectExtent l="0" t="0" r="0" b="0"/>
                  <wp:wrapNone/>
                  <wp:docPr id="820" name="AutoShape_1664_SpCnt_458"/>
                  <wp:cNvGraphicFramePr/>
                  <a:graphic xmlns:a="http://schemas.openxmlformats.org/drawingml/2006/main">
                    <a:graphicData uri="http://schemas.openxmlformats.org/drawingml/2006/picture">
                      <pic:pic xmlns:pic="http://schemas.openxmlformats.org/drawingml/2006/picture">
                        <pic:nvPicPr>
                          <pic:cNvPr id="820" name="AutoShape_1664_SpCnt_45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66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1" name="AutoShape_1664_SpCnt_459"/>
                  <wp:cNvGraphicFramePr/>
                  <a:graphic xmlns:a="http://schemas.openxmlformats.org/drawingml/2006/main">
                    <a:graphicData uri="http://schemas.openxmlformats.org/drawingml/2006/picture">
                      <pic:pic xmlns:pic="http://schemas.openxmlformats.org/drawingml/2006/picture">
                        <pic:nvPicPr>
                          <pic:cNvPr id="801" name="AutoShape_1664_SpCnt_45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2" name="AutoShape_1664_SpCnt_460"/>
                  <wp:cNvGraphicFramePr/>
                  <a:graphic xmlns:a="http://schemas.openxmlformats.org/drawingml/2006/main">
                    <a:graphicData uri="http://schemas.openxmlformats.org/drawingml/2006/picture">
                      <pic:pic xmlns:pic="http://schemas.openxmlformats.org/drawingml/2006/picture">
                        <pic:nvPicPr>
                          <pic:cNvPr id="802" name="AutoShape_1664_SpCnt_46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27" name="AutoShape_1664_SpCnt_461"/>
                  <wp:cNvGraphicFramePr/>
                  <a:graphic xmlns:a="http://schemas.openxmlformats.org/drawingml/2006/main">
                    <a:graphicData uri="http://schemas.openxmlformats.org/drawingml/2006/picture">
                      <pic:pic xmlns:pic="http://schemas.openxmlformats.org/drawingml/2006/picture">
                        <pic:nvPicPr>
                          <pic:cNvPr id="827" name="AutoShape_1664_SpCnt_46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786765" cy="859790"/>
                  <wp:effectExtent l="0" t="0" r="0" b="0"/>
                  <wp:wrapNone/>
                  <wp:docPr id="818" name="AutoShape_1664_SpCnt_462"/>
                  <wp:cNvGraphicFramePr/>
                  <a:graphic xmlns:a="http://schemas.openxmlformats.org/drawingml/2006/main">
                    <a:graphicData uri="http://schemas.openxmlformats.org/drawingml/2006/picture">
                      <pic:pic xmlns:pic="http://schemas.openxmlformats.org/drawingml/2006/picture">
                        <pic:nvPicPr>
                          <pic:cNvPr id="818" name="AutoShape_1664_SpCnt_462"/>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0752" behindDoc="0" locked="0" layoutInCell="1" allowOverlap="1">
                  <wp:simplePos x="0" y="0"/>
                  <wp:positionH relativeFrom="column">
                    <wp:posOffset>0</wp:posOffset>
                  </wp:positionH>
                  <wp:positionV relativeFrom="paragraph">
                    <wp:posOffset>0</wp:posOffset>
                  </wp:positionV>
                  <wp:extent cx="752475" cy="982345"/>
                  <wp:effectExtent l="0" t="0" r="0" b="0"/>
                  <wp:wrapNone/>
                  <wp:docPr id="806" name="AutoShape_1791_SpCnt_154"/>
                  <wp:cNvGraphicFramePr/>
                  <a:graphic xmlns:a="http://schemas.openxmlformats.org/drawingml/2006/main">
                    <a:graphicData uri="http://schemas.openxmlformats.org/drawingml/2006/picture">
                      <pic:pic xmlns:pic="http://schemas.openxmlformats.org/drawingml/2006/picture">
                        <pic:nvPicPr>
                          <pic:cNvPr id="806" name="AutoShape_1791_SpCnt_15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177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19" name="AutoShape_1791_SpCnt_155"/>
                  <wp:cNvGraphicFramePr/>
                  <a:graphic xmlns:a="http://schemas.openxmlformats.org/drawingml/2006/main">
                    <a:graphicData uri="http://schemas.openxmlformats.org/drawingml/2006/picture">
                      <pic:pic xmlns:pic="http://schemas.openxmlformats.org/drawingml/2006/picture">
                        <pic:nvPicPr>
                          <pic:cNvPr id="819" name="AutoShape_1791_SpCnt_15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2800" behindDoc="0" locked="0" layoutInCell="1" allowOverlap="1">
                  <wp:simplePos x="0" y="0"/>
                  <wp:positionH relativeFrom="column">
                    <wp:posOffset>0</wp:posOffset>
                  </wp:positionH>
                  <wp:positionV relativeFrom="paragraph">
                    <wp:posOffset>0</wp:posOffset>
                  </wp:positionV>
                  <wp:extent cx="752475" cy="982345"/>
                  <wp:effectExtent l="0" t="0" r="0" b="0"/>
                  <wp:wrapNone/>
                  <wp:docPr id="815" name="AutoShape_1791_SpCnt_156"/>
                  <wp:cNvGraphicFramePr/>
                  <a:graphic xmlns:a="http://schemas.openxmlformats.org/drawingml/2006/main">
                    <a:graphicData uri="http://schemas.openxmlformats.org/drawingml/2006/picture">
                      <pic:pic xmlns:pic="http://schemas.openxmlformats.org/drawingml/2006/picture">
                        <pic:nvPicPr>
                          <pic:cNvPr id="815" name="AutoShape_1791_SpCnt_15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752475" cy="982345"/>
                  <wp:effectExtent l="0" t="0" r="0" b="0"/>
                  <wp:wrapNone/>
                  <wp:docPr id="822" name="AutoShape_1791_SpCnt_157"/>
                  <wp:cNvGraphicFramePr/>
                  <a:graphic xmlns:a="http://schemas.openxmlformats.org/drawingml/2006/main">
                    <a:graphicData uri="http://schemas.openxmlformats.org/drawingml/2006/picture">
                      <pic:pic xmlns:pic="http://schemas.openxmlformats.org/drawingml/2006/picture">
                        <pic:nvPicPr>
                          <pic:cNvPr id="822" name="AutoShape_1791_SpCnt_15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25" name="AutoShape_1664_SpCnt_463"/>
                  <wp:cNvGraphicFramePr/>
                  <a:graphic xmlns:a="http://schemas.openxmlformats.org/drawingml/2006/main">
                    <a:graphicData uri="http://schemas.openxmlformats.org/drawingml/2006/picture">
                      <pic:pic xmlns:pic="http://schemas.openxmlformats.org/drawingml/2006/picture">
                        <pic:nvPicPr>
                          <pic:cNvPr id="825" name="AutoShape_1664_SpCnt_46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9" name="AutoShape_1664_SpCnt_464"/>
                  <wp:cNvGraphicFramePr/>
                  <a:graphic xmlns:a="http://schemas.openxmlformats.org/drawingml/2006/main">
                    <a:graphicData uri="http://schemas.openxmlformats.org/drawingml/2006/picture">
                      <pic:pic xmlns:pic="http://schemas.openxmlformats.org/drawingml/2006/picture">
                        <pic:nvPicPr>
                          <pic:cNvPr id="809" name="AutoShape_1664_SpCnt_46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23" name="AutoShape_1664_SpCnt_465"/>
                  <wp:cNvGraphicFramePr/>
                  <a:graphic xmlns:a="http://schemas.openxmlformats.org/drawingml/2006/main">
                    <a:graphicData uri="http://schemas.openxmlformats.org/drawingml/2006/picture">
                      <pic:pic xmlns:pic="http://schemas.openxmlformats.org/drawingml/2006/picture">
                        <pic:nvPicPr>
                          <pic:cNvPr id="823" name="AutoShape_1664_SpCnt_46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786765" cy="903605"/>
                  <wp:effectExtent l="0" t="0" r="0" b="0"/>
                  <wp:wrapNone/>
                  <wp:docPr id="811" name="AutoShape_1664_SpCnt_466"/>
                  <wp:cNvGraphicFramePr/>
                  <a:graphic xmlns:a="http://schemas.openxmlformats.org/drawingml/2006/main">
                    <a:graphicData uri="http://schemas.openxmlformats.org/drawingml/2006/picture">
                      <pic:pic xmlns:pic="http://schemas.openxmlformats.org/drawingml/2006/picture">
                        <pic:nvPicPr>
                          <pic:cNvPr id="811" name="AutoShape_1664_SpCnt_466"/>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796" name="AutoShape_1664_SpCnt_467"/>
                  <wp:cNvGraphicFramePr/>
                  <a:graphic xmlns:a="http://schemas.openxmlformats.org/drawingml/2006/main">
                    <a:graphicData uri="http://schemas.openxmlformats.org/drawingml/2006/picture">
                      <pic:pic xmlns:pic="http://schemas.openxmlformats.org/drawingml/2006/picture">
                        <pic:nvPicPr>
                          <pic:cNvPr id="796" name="AutoShape_1664_SpCnt_46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4999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798" name="AutoShape_1664_SpCnt_468"/>
                  <wp:cNvGraphicFramePr/>
                  <a:graphic xmlns:a="http://schemas.openxmlformats.org/drawingml/2006/main">
                    <a:graphicData uri="http://schemas.openxmlformats.org/drawingml/2006/picture">
                      <pic:pic xmlns:pic="http://schemas.openxmlformats.org/drawingml/2006/picture">
                        <pic:nvPicPr>
                          <pic:cNvPr id="798" name="AutoShape_1664_SpCnt_46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09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3" name="AutoShape_1664_SpCnt_469"/>
                  <wp:cNvGraphicFramePr/>
                  <a:graphic xmlns:a="http://schemas.openxmlformats.org/drawingml/2006/main">
                    <a:graphicData uri="http://schemas.openxmlformats.org/drawingml/2006/picture">
                      <pic:pic xmlns:pic="http://schemas.openxmlformats.org/drawingml/2006/picture">
                        <pic:nvPicPr>
                          <pic:cNvPr id="803" name="AutoShape_1664_SpCnt_46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804" name="AutoShape_1791_SpCnt_158"/>
                  <wp:cNvGraphicFramePr/>
                  <a:graphic xmlns:a="http://schemas.openxmlformats.org/drawingml/2006/main">
                    <a:graphicData uri="http://schemas.openxmlformats.org/drawingml/2006/picture">
                      <pic:pic xmlns:pic="http://schemas.openxmlformats.org/drawingml/2006/picture">
                        <pic:nvPicPr>
                          <pic:cNvPr id="804" name="AutoShape_1791_SpCnt_158"/>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30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12" name="AutoShape_1664_SpCnt_470"/>
                  <wp:cNvGraphicFramePr/>
                  <a:graphic xmlns:a="http://schemas.openxmlformats.org/drawingml/2006/main">
                    <a:graphicData uri="http://schemas.openxmlformats.org/drawingml/2006/picture">
                      <pic:pic xmlns:pic="http://schemas.openxmlformats.org/drawingml/2006/picture">
                        <pic:nvPicPr>
                          <pic:cNvPr id="812" name="AutoShape_1664_SpCnt_47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7" name="AutoShape_1664_SpCnt_471"/>
                  <wp:cNvGraphicFramePr/>
                  <a:graphic xmlns:a="http://schemas.openxmlformats.org/drawingml/2006/main">
                    <a:graphicData uri="http://schemas.openxmlformats.org/drawingml/2006/picture">
                      <pic:pic xmlns:pic="http://schemas.openxmlformats.org/drawingml/2006/picture">
                        <pic:nvPicPr>
                          <pic:cNvPr id="807" name="AutoShape_1664_SpCnt_47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50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08" name="AutoShape_1664_SpCnt_472"/>
                  <wp:cNvGraphicFramePr/>
                  <a:graphic xmlns:a="http://schemas.openxmlformats.org/drawingml/2006/main">
                    <a:graphicData uri="http://schemas.openxmlformats.org/drawingml/2006/picture">
                      <pic:pic xmlns:pic="http://schemas.openxmlformats.org/drawingml/2006/picture">
                        <pic:nvPicPr>
                          <pic:cNvPr id="808" name="AutoShape_1664_SpCnt_47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810" name="AutoShape_1791_SpCnt_159"/>
                  <wp:cNvGraphicFramePr/>
                  <a:graphic xmlns:a="http://schemas.openxmlformats.org/drawingml/2006/main">
                    <a:graphicData uri="http://schemas.openxmlformats.org/drawingml/2006/picture">
                      <pic:pic xmlns:pic="http://schemas.openxmlformats.org/drawingml/2006/picture">
                        <pic:nvPicPr>
                          <pic:cNvPr id="810" name="AutoShape_1791_SpCnt_159"/>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7136" behindDoc="0" locked="0" layoutInCell="1" allowOverlap="1">
                  <wp:simplePos x="0" y="0"/>
                  <wp:positionH relativeFrom="column">
                    <wp:posOffset>0</wp:posOffset>
                  </wp:positionH>
                  <wp:positionV relativeFrom="paragraph">
                    <wp:posOffset>0</wp:posOffset>
                  </wp:positionV>
                  <wp:extent cx="786765" cy="859790"/>
                  <wp:effectExtent l="0" t="0" r="0" b="0"/>
                  <wp:wrapNone/>
                  <wp:docPr id="855" name="AutoShape_1664_SpCnt_473"/>
                  <wp:cNvGraphicFramePr/>
                  <a:graphic xmlns:a="http://schemas.openxmlformats.org/drawingml/2006/main">
                    <a:graphicData uri="http://schemas.openxmlformats.org/drawingml/2006/picture">
                      <pic:pic xmlns:pic="http://schemas.openxmlformats.org/drawingml/2006/picture">
                        <pic:nvPicPr>
                          <pic:cNvPr id="855" name="AutoShape_1664_SpCnt_47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752475" cy="1412240"/>
                  <wp:effectExtent l="0" t="0" r="0" b="0"/>
                  <wp:wrapNone/>
                  <wp:docPr id="829" name="AutoShape_1791_SpCnt_160"/>
                  <wp:cNvGraphicFramePr/>
                  <a:graphic xmlns:a="http://schemas.openxmlformats.org/drawingml/2006/main">
                    <a:graphicData uri="http://schemas.openxmlformats.org/drawingml/2006/picture">
                      <pic:pic xmlns:pic="http://schemas.openxmlformats.org/drawingml/2006/picture">
                        <pic:nvPicPr>
                          <pic:cNvPr id="829" name="AutoShape_1791_SpCnt_160"/>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752475" cy="859790"/>
                  <wp:effectExtent l="0" t="0" r="0" b="0"/>
                  <wp:wrapNone/>
                  <wp:docPr id="845" name="AutoShape_1791_SpCnt_161"/>
                  <wp:cNvGraphicFramePr/>
                  <a:graphic xmlns:a="http://schemas.openxmlformats.org/drawingml/2006/main">
                    <a:graphicData uri="http://schemas.openxmlformats.org/drawingml/2006/picture">
                      <pic:pic xmlns:pic="http://schemas.openxmlformats.org/drawingml/2006/picture">
                        <pic:nvPicPr>
                          <pic:cNvPr id="845" name="AutoShape_1791_SpCnt_161"/>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34" name="AutoShape_1664_SpCnt_474"/>
                  <wp:cNvGraphicFramePr/>
                  <a:graphic xmlns:a="http://schemas.openxmlformats.org/drawingml/2006/main">
                    <a:graphicData uri="http://schemas.openxmlformats.org/drawingml/2006/picture">
                      <pic:pic xmlns:pic="http://schemas.openxmlformats.org/drawingml/2006/picture">
                        <pic:nvPicPr>
                          <pic:cNvPr id="834" name="AutoShape_1664_SpCnt_47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1232" behindDoc="0" locked="0" layoutInCell="1" allowOverlap="1">
                  <wp:simplePos x="0" y="0"/>
                  <wp:positionH relativeFrom="column">
                    <wp:posOffset>0</wp:posOffset>
                  </wp:positionH>
                  <wp:positionV relativeFrom="paragraph">
                    <wp:posOffset>0</wp:posOffset>
                  </wp:positionV>
                  <wp:extent cx="786765" cy="859790"/>
                  <wp:effectExtent l="0" t="0" r="0" b="0"/>
                  <wp:wrapNone/>
                  <wp:docPr id="850" name="AutoShape_1664_SpCnt_475"/>
                  <wp:cNvGraphicFramePr/>
                  <a:graphic xmlns:a="http://schemas.openxmlformats.org/drawingml/2006/main">
                    <a:graphicData uri="http://schemas.openxmlformats.org/drawingml/2006/picture">
                      <pic:pic xmlns:pic="http://schemas.openxmlformats.org/drawingml/2006/picture">
                        <pic:nvPicPr>
                          <pic:cNvPr id="850" name="AutoShape_1664_SpCnt_475"/>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225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836" name="AutoShape_1791_SpCnt_162"/>
                  <wp:cNvGraphicFramePr/>
                  <a:graphic xmlns:a="http://schemas.openxmlformats.org/drawingml/2006/main">
                    <a:graphicData uri="http://schemas.openxmlformats.org/drawingml/2006/picture">
                      <pic:pic xmlns:pic="http://schemas.openxmlformats.org/drawingml/2006/picture">
                        <pic:nvPicPr>
                          <pic:cNvPr id="836" name="AutoShape_1791_SpCnt_162"/>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3280" behindDoc="0" locked="0" layoutInCell="1" allowOverlap="1">
                  <wp:simplePos x="0" y="0"/>
                  <wp:positionH relativeFrom="column">
                    <wp:posOffset>0</wp:posOffset>
                  </wp:positionH>
                  <wp:positionV relativeFrom="paragraph">
                    <wp:posOffset>0</wp:posOffset>
                  </wp:positionV>
                  <wp:extent cx="752475" cy="859790"/>
                  <wp:effectExtent l="0" t="0" r="0" b="0"/>
                  <wp:wrapNone/>
                  <wp:docPr id="858" name="AutoShape_1791_SpCnt_163"/>
                  <wp:cNvGraphicFramePr/>
                  <a:graphic xmlns:a="http://schemas.openxmlformats.org/drawingml/2006/main">
                    <a:graphicData uri="http://schemas.openxmlformats.org/drawingml/2006/picture">
                      <pic:pic xmlns:pic="http://schemas.openxmlformats.org/drawingml/2006/picture">
                        <pic:nvPicPr>
                          <pic:cNvPr id="858" name="AutoShape_1791_SpCnt_163"/>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4304" behindDoc="0" locked="0" layoutInCell="1" allowOverlap="1">
                  <wp:simplePos x="0" y="0"/>
                  <wp:positionH relativeFrom="column">
                    <wp:posOffset>0</wp:posOffset>
                  </wp:positionH>
                  <wp:positionV relativeFrom="paragraph">
                    <wp:posOffset>0</wp:posOffset>
                  </wp:positionV>
                  <wp:extent cx="752475" cy="982345"/>
                  <wp:effectExtent l="0" t="0" r="0" b="0"/>
                  <wp:wrapNone/>
                  <wp:docPr id="832" name="AutoShape_1791_SpCnt_164"/>
                  <wp:cNvGraphicFramePr/>
                  <a:graphic xmlns:a="http://schemas.openxmlformats.org/drawingml/2006/main">
                    <a:graphicData uri="http://schemas.openxmlformats.org/drawingml/2006/picture">
                      <pic:pic xmlns:pic="http://schemas.openxmlformats.org/drawingml/2006/picture">
                        <pic:nvPicPr>
                          <pic:cNvPr id="832" name="AutoShape_1791_SpCnt_16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53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37" name="AutoShape_1664_SpCnt_476"/>
                  <wp:cNvGraphicFramePr/>
                  <a:graphic xmlns:a="http://schemas.openxmlformats.org/drawingml/2006/main">
                    <a:graphicData uri="http://schemas.openxmlformats.org/drawingml/2006/picture">
                      <pic:pic xmlns:pic="http://schemas.openxmlformats.org/drawingml/2006/picture">
                        <pic:nvPicPr>
                          <pic:cNvPr id="837" name="AutoShape_1664_SpCnt_47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63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59" name="AutoShape_1664_SpCnt_477"/>
                  <wp:cNvGraphicFramePr/>
                  <a:graphic xmlns:a="http://schemas.openxmlformats.org/drawingml/2006/main">
                    <a:graphicData uri="http://schemas.openxmlformats.org/drawingml/2006/picture">
                      <pic:pic xmlns:pic="http://schemas.openxmlformats.org/drawingml/2006/picture">
                        <pic:nvPicPr>
                          <pic:cNvPr id="859" name="AutoShape_1664_SpCnt_47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73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42" name="AutoShape_1664_SpCnt_478"/>
                  <wp:cNvGraphicFramePr/>
                  <a:graphic xmlns:a="http://schemas.openxmlformats.org/drawingml/2006/main">
                    <a:graphicData uri="http://schemas.openxmlformats.org/drawingml/2006/picture">
                      <pic:pic xmlns:pic="http://schemas.openxmlformats.org/drawingml/2006/picture">
                        <pic:nvPicPr>
                          <pic:cNvPr id="842" name="AutoShape_1664_SpCnt_47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84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40" name="AutoShape_1664_SpCnt_479"/>
                  <wp:cNvGraphicFramePr/>
                  <a:graphic xmlns:a="http://schemas.openxmlformats.org/drawingml/2006/main">
                    <a:graphicData uri="http://schemas.openxmlformats.org/drawingml/2006/picture">
                      <pic:pic xmlns:pic="http://schemas.openxmlformats.org/drawingml/2006/picture">
                        <pic:nvPicPr>
                          <pic:cNvPr id="840" name="AutoShape_1664_SpCnt_47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194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56" name="AutoShape_1664_SpCnt_480"/>
                  <wp:cNvGraphicFramePr/>
                  <a:graphic xmlns:a="http://schemas.openxmlformats.org/drawingml/2006/main">
                    <a:graphicData uri="http://schemas.openxmlformats.org/drawingml/2006/picture">
                      <pic:pic xmlns:pic="http://schemas.openxmlformats.org/drawingml/2006/picture">
                        <pic:nvPicPr>
                          <pic:cNvPr id="856" name="AutoShape_1664_SpCnt_48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04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35" name="AutoShape_1664_SpCnt_481"/>
                  <wp:cNvGraphicFramePr/>
                  <a:graphic xmlns:a="http://schemas.openxmlformats.org/drawingml/2006/main">
                    <a:graphicData uri="http://schemas.openxmlformats.org/drawingml/2006/picture">
                      <pic:pic xmlns:pic="http://schemas.openxmlformats.org/drawingml/2006/picture">
                        <pic:nvPicPr>
                          <pic:cNvPr id="835" name="AutoShape_1664_SpCnt_48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1472" behindDoc="0" locked="0" layoutInCell="1" allowOverlap="1">
                  <wp:simplePos x="0" y="0"/>
                  <wp:positionH relativeFrom="column">
                    <wp:posOffset>0</wp:posOffset>
                  </wp:positionH>
                  <wp:positionV relativeFrom="paragraph">
                    <wp:posOffset>0</wp:posOffset>
                  </wp:positionV>
                  <wp:extent cx="752475" cy="982345"/>
                  <wp:effectExtent l="0" t="0" r="0" b="0"/>
                  <wp:wrapNone/>
                  <wp:docPr id="841" name="AutoShape_1791_SpCnt_165"/>
                  <wp:cNvGraphicFramePr/>
                  <a:graphic xmlns:a="http://schemas.openxmlformats.org/drawingml/2006/main">
                    <a:graphicData uri="http://schemas.openxmlformats.org/drawingml/2006/picture">
                      <pic:pic xmlns:pic="http://schemas.openxmlformats.org/drawingml/2006/picture">
                        <pic:nvPicPr>
                          <pic:cNvPr id="841" name="AutoShape_1791_SpCnt_16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249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846" name="AutoShape_1791_SpCnt_166"/>
                  <wp:cNvGraphicFramePr/>
                  <a:graphic xmlns:a="http://schemas.openxmlformats.org/drawingml/2006/main">
                    <a:graphicData uri="http://schemas.openxmlformats.org/drawingml/2006/picture">
                      <pic:pic xmlns:pic="http://schemas.openxmlformats.org/drawingml/2006/picture">
                        <pic:nvPicPr>
                          <pic:cNvPr id="846" name="AutoShape_1791_SpCnt_166"/>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35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48" name="AutoShape_1664_SpCnt_482"/>
                  <wp:cNvGraphicFramePr/>
                  <a:graphic xmlns:a="http://schemas.openxmlformats.org/drawingml/2006/main">
                    <a:graphicData uri="http://schemas.openxmlformats.org/drawingml/2006/picture">
                      <pic:pic xmlns:pic="http://schemas.openxmlformats.org/drawingml/2006/picture">
                        <pic:nvPicPr>
                          <pic:cNvPr id="848" name="AutoShape_1664_SpCnt_48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454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57" name="AutoShape_1664_SpCnt_483"/>
                  <wp:cNvGraphicFramePr/>
                  <a:graphic xmlns:a="http://schemas.openxmlformats.org/drawingml/2006/main">
                    <a:graphicData uri="http://schemas.openxmlformats.org/drawingml/2006/picture">
                      <pic:pic xmlns:pic="http://schemas.openxmlformats.org/drawingml/2006/picture">
                        <pic:nvPicPr>
                          <pic:cNvPr id="857" name="AutoShape_1664_SpCnt_48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55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28" name="AutoShape_1664_SpCnt_484"/>
                  <wp:cNvGraphicFramePr/>
                  <a:graphic xmlns:a="http://schemas.openxmlformats.org/drawingml/2006/main">
                    <a:graphicData uri="http://schemas.openxmlformats.org/drawingml/2006/picture">
                      <pic:pic xmlns:pic="http://schemas.openxmlformats.org/drawingml/2006/picture">
                        <pic:nvPicPr>
                          <pic:cNvPr id="828" name="AutoShape_1664_SpCnt_48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6592" behindDoc="0" locked="0" layoutInCell="1" allowOverlap="1">
                  <wp:simplePos x="0" y="0"/>
                  <wp:positionH relativeFrom="column">
                    <wp:posOffset>0</wp:posOffset>
                  </wp:positionH>
                  <wp:positionV relativeFrom="paragraph">
                    <wp:posOffset>0</wp:posOffset>
                  </wp:positionV>
                  <wp:extent cx="752475" cy="1412240"/>
                  <wp:effectExtent l="0" t="0" r="0" b="0"/>
                  <wp:wrapNone/>
                  <wp:docPr id="851" name="AutoShape_1791_SpCnt_167"/>
                  <wp:cNvGraphicFramePr/>
                  <a:graphic xmlns:a="http://schemas.openxmlformats.org/drawingml/2006/main">
                    <a:graphicData uri="http://schemas.openxmlformats.org/drawingml/2006/picture">
                      <pic:pic xmlns:pic="http://schemas.openxmlformats.org/drawingml/2006/picture">
                        <pic:nvPicPr>
                          <pic:cNvPr id="851" name="AutoShape_1791_SpCnt_167"/>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761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33" name="AutoShape_1791_SpCnt_168"/>
                  <wp:cNvGraphicFramePr/>
                  <a:graphic xmlns:a="http://schemas.openxmlformats.org/drawingml/2006/main">
                    <a:graphicData uri="http://schemas.openxmlformats.org/drawingml/2006/picture">
                      <pic:pic xmlns:pic="http://schemas.openxmlformats.org/drawingml/2006/picture">
                        <pic:nvPicPr>
                          <pic:cNvPr id="833" name="AutoShape_1791_SpCnt_16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86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43" name="AutoShape_1664_SpCnt_485"/>
                  <wp:cNvGraphicFramePr/>
                  <a:graphic xmlns:a="http://schemas.openxmlformats.org/drawingml/2006/main">
                    <a:graphicData uri="http://schemas.openxmlformats.org/drawingml/2006/picture">
                      <pic:pic xmlns:pic="http://schemas.openxmlformats.org/drawingml/2006/picture">
                        <pic:nvPicPr>
                          <pic:cNvPr id="843" name="AutoShape_1664_SpCnt_48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296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53" name="AutoShape_1664_SpCnt_486"/>
                  <wp:cNvGraphicFramePr/>
                  <a:graphic xmlns:a="http://schemas.openxmlformats.org/drawingml/2006/main">
                    <a:graphicData uri="http://schemas.openxmlformats.org/drawingml/2006/picture">
                      <pic:pic xmlns:pic="http://schemas.openxmlformats.org/drawingml/2006/picture">
                        <pic:nvPicPr>
                          <pic:cNvPr id="853" name="AutoShape_1664_SpCnt_48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0688" behindDoc="0" locked="0" layoutInCell="1" allowOverlap="1">
                  <wp:simplePos x="0" y="0"/>
                  <wp:positionH relativeFrom="column">
                    <wp:posOffset>0</wp:posOffset>
                  </wp:positionH>
                  <wp:positionV relativeFrom="paragraph">
                    <wp:posOffset>0</wp:posOffset>
                  </wp:positionV>
                  <wp:extent cx="752475" cy="982345"/>
                  <wp:effectExtent l="0" t="0" r="0" b="0"/>
                  <wp:wrapNone/>
                  <wp:docPr id="852" name="AutoShape_1791_SpCnt_169"/>
                  <wp:cNvGraphicFramePr/>
                  <a:graphic xmlns:a="http://schemas.openxmlformats.org/drawingml/2006/main">
                    <a:graphicData uri="http://schemas.openxmlformats.org/drawingml/2006/picture">
                      <pic:pic xmlns:pic="http://schemas.openxmlformats.org/drawingml/2006/picture">
                        <pic:nvPicPr>
                          <pic:cNvPr id="852" name="AutoShape_1791_SpCnt_16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17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38" name="AutoShape_1664_SpCnt_487"/>
                  <wp:cNvGraphicFramePr/>
                  <a:graphic xmlns:a="http://schemas.openxmlformats.org/drawingml/2006/main">
                    <a:graphicData uri="http://schemas.openxmlformats.org/drawingml/2006/picture">
                      <pic:pic xmlns:pic="http://schemas.openxmlformats.org/drawingml/2006/picture">
                        <pic:nvPicPr>
                          <pic:cNvPr id="838" name="AutoShape_1664_SpCnt_48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273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839" name="AutoShape_1791_SpCnt_170"/>
                  <wp:cNvGraphicFramePr/>
                  <a:graphic xmlns:a="http://schemas.openxmlformats.org/drawingml/2006/main">
                    <a:graphicData uri="http://schemas.openxmlformats.org/drawingml/2006/picture">
                      <pic:pic xmlns:pic="http://schemas.openxmlformats.org/drawingml/2006/picture">
                        <pic:nvPicPr>
                          <pic:cNvPr id="839" name="AutoShape_1791_SpCnt_17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376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30" name="AutoShape_1664_SpCnt_488"/>
                  <wp:cNvGraphicFramePr/>
                  <a:graphic xmlns:a="http://schemas.openxmlformats.org/drawingml/2006/main">
                    <a:graphicData uri="http://schemas.openxmlformats.org/drawingml/2006/picture">
                      <pic:pic xmlns:pic="http://schemas.openxmlformats.org/drawingml/2006/picture">
                        <pic:nvPicPr>
                          <pic:cNvPr id="830" name="AutoShape_1664_SpCnt_48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478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54" name="AutoShape_1664_SpCnt_489"/>
                  <wp:cNvGraphicFramePr/>
                  <a:graphic xmlns:a="http://schemas.openxmlformats.org/drawingml/2006/main">
                    <a:graphicData uri="http://schemas.openxmlformats.org/drawingml/2006/picture">
                      <pic:pic xmlns:pic="http://schemas.openxmlformats.org/drawingml/2006/picture">
                        <pic:nvPicPr>
                          <pic:cNvPr id="854" name="AutoShape_1664_SpCnt_48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58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44" name="AutoShape_1664_SpCnt_490"/>
                  <wp:cNvGraphicFramePr/>
                  <a:graphic xmlns:a="http://schemas.openxmlformats.org/drawingml/2006/main">
                    <a:graphicData uri="http://schemas.openxmlformats.org/drawingml/2006/picture">
                      <pic:pic xmlns:pic="http://schemas.openxmlformats.org/drawingml/2006/picture">
                        <pic:nvPicPr>
                          <pic:cNvPr id="844" name="AutoShape_1664_SpCnt_49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683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31" name="AutoShape_1664_SpCnt_491"/>
                  <wp:cNvGraphicFramePr/>
                  <a:graphic xmlns:a="http://schemas.openxmlformats.org/drawingml/2006/main">
                    <a:graphicData uri="http://schemas.openxmlformats.org/drawingml/2006/picture">
                      <pic:pic xmlns:pic="http://schemas.openxmlformats.org/drawingml/2006/picture">
                        <pic:nvPicPr>
                          <pic:cNvPr id="831" name="AutoShape_1664_SpCnt_49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78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47" name="AutoShape_1664_SpCnt_492"/>
                  <wp:cNvGraphicFramePr/>
                  <a:graphic xmlns:a="http://schemas.openxmlformats.org/drawingml/2006/main">
                    <a:graphicData uri="http://schemas.openxmlformats.org/drawingml/2006/picture">
                      <pic:pic xmlns:pic="http://schemas.openxmlformats.org/drawingml/2006/picture">
                        <pic:nvPicPr>
                          <pic:cNvPr id="847" name="AutoShape_1664_SpCnt_49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8880" behindDoc="0" locked="0" layoutInCell="1" allowOverlap="1">
                  <wp:simplePos x="0" y="0"/>
                  <wp:positionH relativeFrom="column">
                    <wp:posOffset>0</wp:posOffset>
                  </wp:positionH>
                  <wp:positionV relativeFrom="paragraph">
                    <wp:posOffset>0</wp:posOffset>
                  </wp:positionV>
                  <wp:extent cx="752475" cy="982345"/>
                  <wp:effectExtent l="0" t="0" r="0" b="0"/>
                  <wp:wrapNone/>
                  <wp:docPr id="849" name="AutoShape_1791_SpCnt_171"/>
                  <wp:cNvGraphicFramePr/>
                  <a:graphic xmlns:a="http://schemas.openxmlformats.org/drawingml/2006/main">
                    <a:graphicData uri="http://schemas.openxmlformats.org/drawingml/2006/picture">
                      <pic:pic xmlns:pic="http://schemas.openxmlformats.org/drawingml/2006/picture">
                        <pic:nvPicPr>
                          <pic:cNvPr id="849" name="AutoShape_1791_SpCnt_17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399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7" name="AutoShape_1664_SpCnt_493"/>
                  <wp:cNvGraphicFramePr/>
                  <a:graphic xmlns:a="http://schemas.openxmlformats.org/drawingml/2006/main">
                    <a:graphicData uri="http://schemas.openxmlformats.org/drawingml/2006/picture">
                      <pic:pic xmlns:pic="http://schemas.openxmlformats.org/drawingml/2006/picture">
                        <pic:nvPicPr>
                          <pic:cNvPr id="887" name="AutoShape_1664_SpCnt_49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092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67" name="AutoShape_1664_SpCnt_494"/>
                  <wp:cNvGraphicFramePr/>
                  <a:graphic xmlns:a="http://schemas.openxmlformats.org/drawingml/2006/main">
                    <a:graphicData uri="http://schemas.openxmlformats.org/drawingml/2006/picture">
                      <pic:pic xmlns:pic="http://schemas.openxmlformats.org/drawingml/2006/picture">
                        <pic:nvPicPr>
                          <pic:cNvPr id="867" name="AutoShape_1664_SpCnt_49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195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5" name="AutoShape_1664_SpCnt_495"/>
                  <wp:cNvGraphicFramePr/>
                  <a:graphic xmlns:a="http://schemas.openxmlformats.org/drawingml/2006/main">
                    <a:graphicData uri="http://schemas.openxmlformats.org/drawingml/2006/picture">
                      <pic:pic xmlns:pic="http://schemas.openxmlformats.org/drawingml/2006/picture">
                        <pic:nvPicPr>
                          <pic:cNvPr id="885" name="AutoShape_1664_SpCnt_49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297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90" name="AutoShape_1791_SpCnt_172"/>
                  <wp:cNvGraphicFramePr/>
                  <a:graphic xmlns:a="http://schemas.openxmlformats.org/drawingml/2006/main">
                    <a:graphicData uri="http://schemas.openxmlformats.org/drawingml/2006/picture">
                      <pic:pic xmlns:pic="http://schemas.openxmlformats.org/drawingml/2006/picture">
                        <pic:nvPicPr>
                          <pic:cNvPr id="890" name="AutoShape_1791_SpCnt_17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40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62" name="AutoShape_1664_SpCnt_496"/>
                  <wp:cNvGraphicFramePr/>
                  <a:graphic xmlns:a="http://schemas.openxmlformats.org/drawingml/2006/main">
                    <a:graphicData uri="http://schemas.openxmlformats.org/drawingml/2006/picture">
                      <pic:pic xmlns:pic="http://schemas.openxmlformats.org/drawingml/2006/picture">
                        <pic:nvPicPr>
                          <pic:cNvPr id="862" name="AutoShape_1664_SpCnt_49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50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64" name="AutoShape_1664_SpCnt_497"/>
                  <wp:cNvGraphicFramePr/>
                  <a:graphic xmlns:a="http://schemas.openxmlformats.org/drawingml/2006/main">
                    <a:graphicData uri="http://schemas.openxmlformats.org/drawingml/2006/picture">
                      <pic:pic xmlns:pic="http://schemas.openxmlformats.org/drawingml/2006/picture">
                        <pic:nvPicPr>
                          <pic:cNvPr id="864" name="AutoShape_1664_SpCnt_49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79" name="AutoShape_1664_SpCnt_498"/>
                  <wp:cNvGraphicFramePr/>
                  <a:graphic xmlns:a="http://schemas.openxmlformats.org/drawingml/2006/main">
                    <a:graphicData uri="http://schemas.openxmlformats.org/drawingml/2006/picture">
                      <pic:pic xmlns:pic="http://schemas.openxmlformats.org/drawingml/2006/picture">
                        <pic:nvPicPr>
                          <pic:cNvPr id="879" name="AutoShape_1664_SpCnt_49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707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65" name="AutoShape_1664_SpCnt_499"/>
                  <wp:cNvGraphicFramePr/>
                  <a:graphic xmlns:a="http://schemas.openxmlformats.org/drawingml/2006/main">
                    <a:graphicData uri="http://schemas.openxmlformats.org/drawingml/2006/picture">
                      <pic:pic xmlns:pic="http://schemas.openxmlformats.org/drawingml/2006/picture">
                        <pic:nvPicPr>
                          <pic:cNvPr id="865" name="AutoShape_1664_SpCnt_499"/>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80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8" name="AutoShape_1664_SpCnt_500"/>
                  <wp:cNvGraphicFramePr/>
                  <a:graphic xmlns:a="http://schemas.openxmlformats.org/drawingml/2006/main">
                    <a:graphicData uri="http://schemas.openxmlformats.org/drawingml/2006/picture">
                      <pic:pic xmlns:pic="http://schemas.openxmlformats.org/drawingml/2006/picture">
                        <pic:nvPicPr>
                          <pic:cNvPr id="888" name="AutoShape_1664_SpCnt_50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491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66" name="AutoShape_1664_SpCnt_501"/>
                  <wp:cNvGraphicFramePr/>
                  <a:graphic xmlns:a="http://schemas.openxmlformats.org/drawingml/2006/main">
                    <a:graphicData uri="http://schemas.openxmlformats.org/drawingml/2006/picture">
                      <pic:pic xmlns:pic="http://schemas.openxmlformats.org/drawingml/2006/picture">
                        <pic:nvPicPr>
                          <pic:cNvPr id="866" name="AutoShape_1664_SpCnt_50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01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73" name="AutoShape_1664_SpCnt_502"/>
                  <wp:cNvGraphicFramePr/>
                  <a:graphic xmlns:a="http://schemas.openxmlformats.org/drawingml/2006/main">
                    <a:graphicData uri="http://schemas.openxmlformats.org/drawingml/2006/picture">
                      <pic:pic xmlns:pic="http://schemas.openxmlformats.org/drawingml/2006/picture">
                        <pic:nvPicPr>
                          <pic:cNvPr id="873" name="AutoShape_1664_SpCnt_50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1168" behindDoc="0" locked="0" layoutInCell="1" allowOverlap="1">
                  <wp:simplePos x="0" y="0"/>
                  <wp:positionH relativeFrom="column">
                    <wp:posOffset>0</wp:posOffset>
                  </wp:positionH>
                  <wp:positionV relativeFrom="paragraph">
                    <wp:posOffset>0</wp:posOffset>
                  </wp:positionV>
                  <wp:extent cx="752475" cy="1412240"/>
                  <wp:effectExtent l="0" t="0" r="0" b="0"/>
                  <wp:wrapNone/>
                  <wp:docPr id="870" name="AutoShape_1791_SpCnt_173"/>
                  <wp:cNvGraphicFramePr/>
                  <a:graphic xmlns:a="http://schemas.openxmlformats.org/drawingml/2006/main">
                    <a:graphicData uri="http://schemas.openxmlformats.org/drawingml/2006/picture">
                      <pic:pic xmlns:pic="http://schemas.openxmlformats.org/drawingml/2006/picture">
                        <pic:nvPicPr>
                          <pic:cNvPr id="870" name="AutoShape_1791_SpCnt_173"/>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21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868" name="AutoShape_1664_SpCnt_503"/>
                  <wp:cNvGraphicFramePr/>
                  <a:graphic xmlns:a="http://schemas.openxmlformats.org/drawingml/2006/main">
                    <a:graphicData uri="http://schemas.openxmlformats.org/drawingml/2006/picture">
                      <pic:pic xmlns:pic="http://schemas.openxmlformats.org/drawingml/2006/picture">
                        <pic:nvPicPr>
                          <pic:cNvPr id="868" name="AutoShape_1664_SpCnt_50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3216" behindDoc="0" locked="0" layoutInCell="1" allowOverlap="1">
                  <wp:simplePos x="0" y="0"/>
                  <wp:positionH relativeFrom="column">
                    <wp:posOffset>0</wp:posOffset>
                  </wp:positionH>
                  <wp:positionV relativeFrom="paragraph">
                    <wp:posOffset>0</wp:posOffset>
                  </wp:positionV>
                  <wp:extent cx="752475" cy="1430020"/>
                  <wp:effectExtent l="0" t="0" r="0" b="0"/>
                  <wp:wrapNone/>
                  <wp:docPr id="871" name="AutoShape_1791_SpCnt_174"/>
                  <wp:cNvGraphicFramePr/>
                  <a:graphic xmlns:a="http://schemas.openxmlformats.org/drawingml/2006/main">
                    <a:graphicData uri="http://schemas.openxmlformats.org/drawingml/2006/picture">
                      <pic:pic xmlns:pic="http://schemas.openxmlformats.org/drawingml/2006/picture">
                        <pic:nvPicPr>
                          <pic:cNvPr id="871" name="AutoShape_1791_SpCnt_174"/>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42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69" name="AutoShape_1664_SpCnt_504"/>
                  <wp:cNvGraphicFramePr/>
                  <a:graphic xmlns:a="http://schemas.openxmlformats.org/drawingml/2006/main">
                    <a:graphicData uri="http://schemas.openxmlformats.org/drawingml/2006/picture">
                      <pic:pic xmlns:pic="http://schemas.openxmlformats.org/drawingml/2006/picture">
                        <pic:nvPicPr>
                          <pic:cNvPr id="869" name="AutoShape_1664_SpCnt_50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5264" behindDoc="0" locked="0" layoutInCell="1" allowOverlap="1">
                  <wp:simplePos x="0" y="0"/>
                  <wp:positionH relativeFrom="column">
                    <wp:posOffset>0</wp:posOffset>
                  </wp:positionH>
                  <wp:positionV relativeFrom="paragraph">
                    <wp:posOffset>0</wp:posOffset>
                  </wp:positionV>
                  <wp:extent cx="786765" cy="1412240"/>
                  <wp:effectExtent l="0" t="0" r="0" b="0"/>
                  <wp:wrapNone/>
                  <wp:docPr id="880" name="AutoShape_1664_SpCnt_505"/>
                  <wp:cNvGraphicFramePr/>
                  <a:graphic xmlns:a="http://schemas.openxmlformats.org/drawingml/2006/main">
                    <a:graphicData uri="http://schemas.openxmlformats.org/drawingml/2006/picture">
                      <pic:pic xmlns:pic="http://schemas.openxmlformats.org/drawingml/2006/picture">
                        <pic:nvPicPr>
                          <pic:cNvPr id="880" name="AutoShape_1664_SpCnt_505"/>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62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6" name="AutoShape_1664_SpCnt_506"/>
                  <wp:cNvGraphicFramePr/>
                  <a:graphic xmlns:a="http://schemas.openxmlformats.org/drawingml/2006/main">
                    <a:graphicData uri="http://schemas.openxmlformats.org/drawingml/2006/picture">
                      <pic:pic xmlns:pic="http://schemas.openxmlformats.org/drawingml/2006/picture">
                        <pic:nvPicPr>
                          <pic:cNvPr id="886" name="AutoShape_1664_SpCnt_50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73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872" name="AutoShape_1664_SpCnt_507"/>
                  <wp:cNvGraphicFramePr/>
                  <a:graphic xmlns:a="http://schemas.openxmlformats.org/drawingml/2006/main">
                    <a:graphicData uri="http://schemas.openxmlformats.org/drawingml/2006/picture">
                      <pic:pic xmlns:pic="http://schemas.openxmlformats.org/drawingml/2006/picture">
                        <pic:nvPicPr>
                          <pic:cNvPr id="872" name="AutoShape_1664_SpCnt_50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83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1" name="AutoShape_1664_SpCnt_508"/>
                  <wp:cNvGraphicFramePr/>
                  <a:graphic xmlns:a="http://schemas.openxmlformats.org/drawingml/2006/main">
                    <a:graphicData uri="http://schemas.openxmlformats.org/drawingml/2006/picture">
                      <pic:pic xmlns:pic="http://schemas.openxmlformats.org/drawingml/2006/picture">
                        <pic:nvPicPr>
                          <pic:cNvPr id="881" name="AutoShape_1664_SpCnt_50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59360" behindDoc="0" locked="0" layoutInCell="1" allowOverlap="1">
                  <wp:simplePos x="0" y="0"/>
                  <wp:positionH relativeFrom="column">
                    <wp:posOffset>0</wp:posOffset>
                  </wp:positionH>
                  <wp:positionV relativeFrom="paragraph">
                    <wp:posOffset>0</wp:posOffset>
                  </wp:positionV>
                  <wp:extent cx="786765" cy="859790"/>
                  <wp:effectExtent l="0" t="0" r="0" b="0"/>
                  <wp:wrapNone/>
                  <wp:docPr id="889" name="AutoShape_1664_SpCnt_509"/>
                  <wp:cNvGraphicFramePr/>
                  <a:graphic xmlns:a="http://schemas.openxmlformats.org/drawingml/2006/main">
                    <a:graphicData uri="http://schemas.openxmlformats.org/drawingml/2006/picture">
                      <pic:pic xmlns:pic="http://schemas.openxmlformats.org/drawingml/2006/picture">
                        <pic:nvPicPr>
                          <pic:cNvPr id="889" name="AutoShape_1664_SpCnt_509"/>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03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61" name="AutoShape_1664_SpCnt_510"/>
                  <wp:cNvGraphicFramePr/>
                  <a:graphic xmlns:a="http://schemas.openxmlformats.org/drawingml/2006/main">
                    <a:graphicData uri="http://schemas.openxmlformats.org/drawingml/2006/picture">
                      <pic:pic xmlns:pic="http://schemas.openxmlformats.org/drawingml/2006/picture">
                        <pic:nvPicPr>
                          <pic:cNvPr id="861" name="AutoShape_1664_SpCnt_51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752475" cy="859790"/>
                  <wp:effectExtent l="0" t="0" r="0" b="0"/>
                  <wp:wrapNone/>
                  <wp:docPr id="874" name="AutoShape_1791_SpCnt_175"/>
                  <wp:cNvGraphicFramePr/>
                  <a:graphic xmlns:a="http://schemas.openxmlformats.org/drawingml/2006/main">
                    <a:graphicData uri="http://schemas.openxmlformats.org/drawingml/2006/picture">
                      <pic:pic xmlns:pic="http://schemas.openxmlformats.org/drawingml/2006/picture">
                        <pic:nvPicPr>
                          <pic:cNvPr id="874" name="AutoShape_1791_SpCnt_175"/>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2432" behindDoc="0" locked="0" layoutInCell="1" allowOverlap="1">
                  <wp:simplePos x="0" y="0"/>
                  <wp:positionH relativeFrom="column">
                    <wp:posOffset>0</wp:posOffset>
                  </wp:positionH>
                  <wp:positionV relativeFrom="paragraph">
                    <wp:posOffset>0</wp:posOffset>
                  </wp:positionV>
                  <wp:extent cx="752475" cy="982345"/>
                  <wp:effectExtent l="0" t="0" r="0" b="0"/>
                  <wp:wrapNone/>
                  <wp:docPr id="875" name="AutoShape_1791_SpCnt_176"/>
                  <wp:cNvGraphicFramePr/>
                  <a:graphic xmlns:a="http://schemas.openxmlformats.org/drawingml/2006/main">
                    <a:graphicData uri="http://schemas.openxmlformats.org/drawingml/2006/picture">
                      <pic:pic xmlns:pic="http://schemas.openxmlformats.org/drawingml/2006/picture">
                        <pic:nvPicPr>
                          <pic:cNvPr id="875" name="AutoShape_1791_SpCnt_17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3456" behindDoc="0" locked="0" layoutInCell="1" allowOverlap="1">
                  <wp:simplePos x="0" y="0"/>
                  <wp:positionH relativeFrom="column">
                    <wp:posOffset>0</wp:posOffset>
                  </wp:positionH>
                  <wp:positionV relativeFrom="paragraph">
                    <wp:posOffset>0</wp:posOffset>
                  </wp:positionV>
                  <wp:extent cx="786765" cy="859790"/>
                  <wp:effectExtent l="0" t="0" r="0" b="0"/>
                  <wp:wrapNone/>
                  <wp:docPr id="891" name="AutoShape_1664_SpCnt_511"/>
                  <wp:cNvGraphicFramePr/>
                  <a:graphic xmlns:a="http://schemas.openxmlformats.org/drawingml/2006/main">
                    <a:graphicData uri="http://schemas.openxmlformats.org/drawingml/2006/picture">
                      <pic:pic xmlns:pic="http://schemas.openxmlformats.org/drawingml/2006/picture">
                        <pic:nvPicPr>
                          <pic:cNvPr id="891" name="AutoShape_1664_SpCnt_51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44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76" name="AutoShape_1664_SpCnt_512"/>
                  <wp:cNvGraphicFramePr/>
                  <a:graphic xmlns:a="http://schemas.openxmlformats.org/drawingml/2006/main">
                    <a:graphicData uri="http://schemas.openxmlformats.org/drawingml/2006/picture">
                      <pic:pic xmlns:pic="http://schemas.openxmlformats.org/drawingml/2006/picture">
                        <pic:nvPicPr>
                          <pic:cNvPr id="876" name="AutoShape_1664_SpCnt_51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5504" behindDoc="0" locked="0" layoutInCell="1" allowOverlap="1">
                  <wp:simplePos x="0" y="0"/>
                  <wp:positionH relativeFrom="column">
                    <wp:posOffset>0</wp:posOffset>
                  </wp:positionH>
                  <wp:positionV relativeFrom="paragraph">
                    <wp:posOffset>0</wp:posOffset>
                  </wp:positionV>
                  <wp:extent cx="786765" cy="859790"/>
                  <wp:effectExtent l="0" t="0" r="0" b="0"/>
                  <wp:wrapNone/>
                  <wp:docPr id="877" name="AutoShape_1664_SpCnt_513"/>
                  <wp:cNvGraphicFramePr/>
                  <a:graphic xmlns:a="http://schemas.openxmlformats.org/drawingml/2006/main">
                    <a:graphicData uri="http://schemas.openxmlformats.org/drawingml/2006/picture">
                      <pic:pic xmlns:pic="http://schemas.openxmlformats.org/drawingml/2006/picture">
                        <pic:nvPicPr>
                          <pic:cNvPr id="877" name="AutoShape_1664_SpCnt_51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65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78" name="AutoShape_1664_SpCnt_514"/>
                  <wp:cNvGraphicFramePr/>
                  <a:graphic xmlns:a="http://schemas.openxmlformats.org/drawingml/2006/main">
                    <a:graphicData uri="http://schemas.openxmlformats.org/drawingml/2006/picture">
                      <pic:pic xmlns:pic="http://schemas.openxmlformats.org/drawingml/2006/picture">
                        <pic:nvPicPr>
                          <pic:cNvPr id="878" name="AutoShape_1664_SpCnt_51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7552" behindDoc="0" locked="0" layoutInCell="1" allowOverlap="1">
                  <wp:simplePos x="0" y="0"/>
                  <wp:positionH relativeFrom="column">
                    <wp:posOffset>0</wp:posOffset>
                  </wp:positionH>
                  <wp:positionV relativeFrom="paragraph">
                    <wp:posOffset>0</wp:posOffset>
                  </wp:positionV>
                  <wp:extent cx="786765" cy="903605"/>
                  <wp:effectExtent l="0" t="0" r="0" b="0"/>
                  <wp:wrapNone/>
                  <wp:docPr id="860" name="AutoShape_1664_SpCnt_515"/>
                  <wp:cNvGraphicFramePr/>
                  <a:graphic xmlns:a="http://schemas.openxmlformats.org/drawingml/2006/main">
                    <a:graphicData uri="http://schemas.openxmlformats.org/drawingml/2006/picture">
                      <pic:pic xmlns:pic="http://schemas.openxmlformats.org/drawingml/2006/picture">
                        <pic:nvPicPr>
                          <pic:cNvPr id="860" name="AutoShape_1664_SpCnt_515"/>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857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63" name="AutoShape_1791_SpCnt_177"/>
                  <wp:cNvGraphicFramePr/>
                  <a:graphic xmlns:a="http://schemas.openxmlformats.org/drawingml/2006/main">
                    <a:graphicData uri="http://schemas.openxmlformats.org/drawingml/2006/picture">
                      <pic:pic xmlns:pic="http://schemas.openxmlformats.org/drawingml/2006/picture">
                        <pic:nvPicPr>
                          <pic:cNvPr id="863" name="AutoShape_1791_SpCnt_17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6960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4" name="AutoShape_1664_SpCnt_516"/>
                  <wp:cNvGraphicFramePr/>
                  <a:graphic xmlns:a="http://schemas.openxmlformats.org/drawingml/2006/main">
                    <a:graphicData uri="http://schemas.openxmlformats.org/drawingml/2006/picture">
                      <pic:pic xmlns:pic="http://schemas.openxmlformats.org/drawingml/2006/picture">
                        <pic:nvPicPr>
                          <pic:cNvPr id="884" name="AutoShape_1664_SpCnt_51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06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882" name="AutoShape_1664_SpCnt_517"/>
                  <wp:cNvGraphicFramePr/>
                  <a:graphic xmlns:a="http://schemas.openxmlformats.org/drawingml/2006/main">
                    <a:graphicData uri="http://schemas.openxmlformats.org/drawingml/2006/picture">
                      <pic:pic xmlns:pic="http://schemas.openxmlformats.org/drawingml/2006/picture">
                        <pic:nvPicPr>
                          <pic:cNvPr id="882" name="AutoShape_1664_SpCnt_51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1648" behindDoc="0" locked="0" layoutInCell="1" allowOverlap="1">
                  <wp:simplePos x="0" y="0"/>
                  <wp:positionH relativeFrom="column">
                    <wp:posOffset>0</wp:posOffset>
                  </wp:positionH>
                  <wp:positionV relativeFrom="paragraph">
                    <wp:posOffset>0</wp:posOffset>
                  </wp:positionV>
                  <wp:extent cx="786765" cy="903605"/>
                  <wp:effectExtent l="0" t="0" r="0" b="0"/>
                  <wp:wrapNone/>
                  <wp:docPr id="883" name="AutoShape_1664_SpCnt_518"/>
                  <wp:cNvGraphicFramePr/>
                  <a:graphic xmlns:a="http://schemas.openxmlformats.org/drawingml/2006/main">
                    <a:graphicData uri="http://schemas.openxmlformats.org/drawingml/2006/picture">
                      <pic:pic xmlns:pic="http://schemas.openxmlformats.org/drawingml/2006/picture">
                        <pic:nvPicPr>
                          <pic:cNvPr id="883" name="AutoShape_1664_SpCnt_51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26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12" name="AutoShape_1664_SpCnt_519"/>
                  <wp:cNvGraphicFramePr/>
                  <a:graphic xmlns:a="http://schemas.openxmlformats.org/drawingml/2006/main">
                    <a:graphicData uri="http://schemas.openxmlformats.org/drawingml/2006/picture">
                      <pic:pic xmlns:pic="http://schemas.openxmlformats.org/drawingml/2006/picture">
                        <pic:nvPicPr>
                          <pic:cNvPr id="912" name="AutoShape_1664_SpCnt_51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3696" behindDoc="0" locked="0" layoutInCell="1" allowOverlap="1">
                  <wp:simplePos x="0" y="0"/>
                  <wp:positionH relativeFrom="column">
                    <wp:posOffset>0</wp:posOffset>
                  </wp:positionH>
                  <wp:positionV relativeFrom="paragraph">
                    <wp:posOffset>0</wp:posOffset>
                  </wp:positionV>
                  <wp:extent cx="752475" cy="982345"/>
                  <wp:effectExtent l="0" t="0" r="0" b="0"/>
                  <wp:wrapNone/>
                  <wp:docPr id="913" name="AutoShape_1791_SpCnt_178"/>
                  <wp:cNvGraphicFramePr/>
                  <a:graphic xmlns:a="http://schemas.openxmlformats.org/drawingml/2006/main">
                    <a:graphicData uri="http://schemas.openxmlformats.org/drawingml/2006/picture">
                      <pic:pic xmlns:pic="http://schemas.openxmlformats.org/drawingml/2006/picture">
                        <pic:nvPicPr>
                          <pic:cNvPr id="913" name="AutoShape_1791_SpCnt_17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47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897" name="AutoShape_1664_SpCnt_520"/>
                  <wp:cNvGraphicFramePr/>
                  <a:graphic xmlns:a="http://schemas.openxmlformats.org/drawingml/2006/main">
                    <a:graphicData uri="http://schemas.openxmlformats.org/drawingml/2006/picture">
                      <pic:pic xmlns:pic="http://schemas.openxmlformats.org/drawingml/2006/picture">
                        <pic:nvPicPr>
                          <pic:cNvPr id="897" name="AutoShape_1664_SpCnt_52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5744" behindDoc="0" locked="0" layoutInCell="1" allowOverlap="1">
                  <wp:simplePos x="0" y="0"/>
                  <wp:positionH relativeFrom="column">
                    <wp:posOffset>0</wp:posOffset>
                  </wp:positionH>
                  <wp:positionV relativeFrom="paragraph">
                    <wp:posOffset>0</wp:posOffset>
                  </wp:positionV>
                  <wp:extent cx="786765" cy="859790"/>
                  <wp:effectExtent l="0" t="0" r="0" b="0"/>
                  <wp:wrapNone/>
                  <wp:docPr id="918" name="AutoShape_1664_SpCnt_521"/>
                  <wp:cNvGraphicFramePr/>
                  <a:graphic xmlns:a="http://schemas.openxmlformats.org/drawingml/2006/main">
                    <a:graphicData uri="http://schemas.openxmlformats.org/drawingml/2006/picture">
                      <pic:pic xmlns:pic="http://schemas.openxmlformats.org/drawingml/2006/picture">
                        <pic:nvPicPr>
                          <pic:cNvPr id="918" name="AutoShape_1664_SpCnt_521"/>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67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898" name="AutoShape_1664_SpCnt_522"/>
                  <wp:cNvGraphicFramePr/>
                  <a:graphic xmlns:a="http://schemas.openxmlformats.org/drawingml/2006/main">
                    <a:graphicData uri="http://schemas.openxmlformats.org/drawingml/2006/picture">
                      <pic:pic xmlns:pic="http://schemas.openxmlformats.org/drawingml/2006/picture">
                        <pic:nvPicPr>
                          <pic:cNvPr id="898" name="AutoShape_1664_SpCnt_52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77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09" name="AutoShape_1664_SpCnt_523"/>
                  <wp:cNvGraphicFramePr/>
                  <a:graphic xmlns:a="http://schemas.openxmlformats.org/drawingml/2006/main">
                    <a:graphicData uri="http://schemas.openxmlformats.org/drawingml/2006/picture">
                      <pic:pic xmlns:pic="http://schemas.openxmlformats.org/drawingml/2006/picture">
                        <pic:nvPicPr>
                          <pic:cNvPr id="909" name="AutoShape_1664_SpCnt_52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881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10" name="AutoShape_1664_SpCnt_524"/>
                  <wp:cNvGraphicFramePr/>
                  <a:graphic xmlns:a="http://schemas.openxmlformats.org/drawingml/2006/main">
                    <a:graphicData uri="http://schemas.openxmlformats.org/drawingml/2006/picture">
                      <pic:pic xmlns:pic="http://schemas.openxmlformats.org/drawingml/2006/picture">
                        <pic:nvPicPr>
                          <pic:cNvPr id="910" name="AutoShape_1664_SpCnt_524"/>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79840" behindDoc="0" locked="0" layoutInCell="1" allowOverlap="1">
                  <wp:simplePos x="0" y="0"/>
                  <wp:positionH relativeFrom="column">
                    <wp:posOffset>0</wp:posOffset>
                  </wp:positionH>
                  <wp:positionV relativeFrom="paragraph">
                    <wp:posOffset>0</wp:posOffset>
                  </wp:positionV>
                  <wp:extent cx="752475" cy="982345"/>
                  <wp:effectExtent l="0" t="0" r="0" b="0"/>
                  <wp:wrapNone/>
                  <wp:docPr id="899" name="AutoShape_1791_SpCnt_179"/>
                  <wp:cNvGraphicFramePr/>
                  <a:graphic xmlns:a="http://schemas.openxmlformats.org/drawingml/2006/main">
                    <a:graphicData uri="http://schemas.openxmlformats.org/drawingml/2006/picture">
                      <pic:pic xmlns:pic="http://schemas.openxmlformats.org/drawingml/2006/picture">
                        <pic:nvPicPr>
                          <pic:cNvPr id="899" name="AutoShape_1791_SpCnt_17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086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00" name="AutoShape_1664_SpCnt_525"/>
                  <wp:cNvGraphicFramePr/>
                  <a:graphic xmlns:a="http://schemas.openxmlformats.org/drawingml/2006/main">
                    <a:graphicData uri="http://schemas.openxmlformats.org/drawingml/2006/picture">
                      <pic:pic xmlns:pic="http://schemas.openxmlformats.org/drawingml/2006/picture">
                        <pic:nvPicPr>
                          <pic:cNvPr id="900" name="AutoShape_1664_SpCnt_525"/>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18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01" name="AutoShape_1664_SpCnt_526"/>
                  <wp:cNvGraphicFramePr/>
                  <a:graphic xmlns:a="http://schemas.openxmlformats.org/drawingml/2006/main">
                    <a:graphicData uri="http://schemas.openxmlformats.org/drawingml/2006/picture">
                      <pic:pic xmlns:pic="http://schemas.openxmlformats.org/drawingml/2006/picture">
                        <pic:nvPicPr>
                          <pic:cNvPr id="901" name="AutoShape_1664_SpCnt_52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291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14" name="AutoShape_1664_SpCnt_527"/>
                  <wp:cNvGraphicFramePr/>
                  <a:graphic xmlns:a="http://schemas.openxmlformats.org/drawingml/2006/main">
                    <a:graphicData uri="http://schemas.openxmlformats.org/drawingml/2006/picture">
                      <pic:pic xmlns:pic="http://schemas.openxmlformats.org/drawingml/2006/picture">
                        <pic:nvPicPr>
                          <pic:cNvPr id="914" name="AutoShape_1664_SpCnt_52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3936" behindDoc="0" locked="0" layoutInCell="1" allowOverlap="1">
                  <wp:simplePos x="0" y="0"/>
                  <wp:positionH relativeFrom="column">
                    <wp:posOffset>0</wp:posOffset>
                  </wp:positionH>
                  <wp:positionV relativeFrom="paragraph">
                    <wp:posOffset>0</wp:posOffset>
                  </wp:positionV>
                  <wp:extent cx="786765" cy="859790"/>
                  <wp:effectExtent l="0" t="0" r="0" b="0"/>
                  <wp:wrapNone/>
                  <wp:docPr id="915" name="AutoShape_1664_SpCnt_528"/>
                  <wp:cNvGraphicFramePr/>
                  <a:graphic xmlns:a="http://schemas.openxmlformats.org/drawingml/2006/main">
                    <a:graphicData uri="http://schemas.openxmlformats.org/drawingml/2006/picture">
                      <pic:pic xmlns:pic="http://schemas.openxmlformats.org/drawingml/2006/picture">
                        <pic:nvPicPr>
                          <pic:cNvPr id="915" name="AutoShape_1664_SpCnt_52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496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16" name="AutoShape_1664_SpCnt_529"/>
                  <wp:cNvGraphicFramePr/>
                  <a:graphic xmlns:a="http://schemas.openxmlformats.org/drawingml/2006/main">
                    <a:graphicData uri="http://schemas.openxmlformats.org/drawingml/2006/picture">
                      <pic:pic xmlns:pic="http://schemas.openxmlformats.org/drawingml/2006/picture">
                        <pic:nvPicPr>
                          <pic:cNvPr id="916" name="AutoShape_1664_SpCnt_52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59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23" name="AutoShape_1664_SpCnt_530"/>
                  <wp:cNvGraphicFramePr/>
                  <a:graphic xmlns:a="http://schemas.openxmlformats.org/drawingml/2006/main">
                    <a:graphicData uri="http://schemas.openxmlformats.org/drawingml/2006/picture">
                      <pic:pic xmlns:pic="http://schemas.openxmlformats.org/drawingml/2006/picture">
                        <pic:nvPicPr>
                          <pic:cNvPr id="923" name="AutoShape_1664_SpCnt_53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700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19" name="AutoShape_1664_SpCnt_531"/>
                  <wp:cNvGraphicFramePr/>
                  <a:graphic xmlns:a="http://schemas.openxmlformats.org/drawingml/2006/main">
                    <a:graphicData uri="http://schemas.openxmlformats.org/drawingml/2006/picture">
                      <pic:pic xmlns:pic="http://schemas.openxmlformats.org/drawingml/2006/picture">
                        <pic:nvPicPr>
                          <pic:cNvPr id="919" name="AutoShape_1664_SpCnt_53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8032" behindDoc="0" locked="0" layoutInCell="1" allowOverlap="1">
                  <wp:simplePos x="0" y="0"/>
                  <wp:positionH relativeFrom="column">
                    <wp:posOffset>0</wp:posOffset>
                  </wp:positionH>
                  <wp:positionV relativeFrom="paragraph">
                    <wp:posOffset>0</wp:posOffset>
                  </wp:positionV>
                  <wp:extent cx="752475" cy="982345"/>
                  <wp:effectExtent l="0" t="0" r="0" b="0"/>
                  <wp:wrapNone/>
                  <wp:docPr id="917" name="AutoShape_1791_SpCnt_180"/>
                  <wp:cNvGraphicFramePr/>
                  <a:graphic xmlns:a="http://schemas.openxmlformats.org/drawingml/2006/main">
                    <a:graphicData uri="http://schemas.openxmlformats.org/drawingml/2006/picture">
                      <pic:pic xmlns:pic="http://schemas.openxmlformats.org/drawingml/2006/picture">
                        <pic:nvPicPr>
                          <pic:cNvPr id="917" name="AutoShape_1791_SpCnt_180"/>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8905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20" name="AutoShape_1664_SpCnt_532"/>
                  <wp:cNvGraphicFramePr/>
                  <a:graphic xmlns:a="http://schemas.openxmlformats.org/drawingml/2006/main">
                    <a:graphicData uri="http://schemas.openxmlformats.org/drawingml/2006/picture">
                      <pic:pic xmlns:pic="http://schemas.openxmlformats.org/drawingml/2006/picture">
                        <pic:nvPicPr>
                          <pic:cNvPr id="920" name="AutoShape_1664_SpCnt_532"/>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00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21" name="AutoShape_1664_SpCnt_533"/>
                  <wp:cNvGraphicFramePr/>
                  <a:graphic xmlns:a="http://schemas.openxmlformats.org/drawingml/2006/main">
                    <a:graphicData uri="http://schemas.openxmlformats.org/drawingml/2006/picture">
                      <pic:pic xmlns:pic="http://schemas.openxmlformats.org/drawingml/2006/picture">
                        <pic:nvPicPr>
                          <pic:cNvPr id="921" name="AutoShape_1664_SpCnt_53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110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02" name="AutoShape_1664_SpCnt_534"/>
                  <wp:cNvGraphicFramePr/>
                  <a:graphic xmlns:a="http://schemas.openxmlformats.org/drawingml/2006/main">
                    <a:graphicData uri="http://schemas.openxmlformats.org/drawingml/2006/picture">
                      <pic:pic xmlns:pic="http://schemas.openxmlformats.org/drawingml/2006/picture">
                        <pic:nvPicPr>
                          <pic:cNvPr id="902" name="AutoShape_1664_SpCnt_534"/>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2128" behindDoc="0" locked="0" layoutInCell="1" allowOverlap="1">
                  <wp:simplePos x="0" y="0"/>
                  <wp:positionH relativeFrom="column">
                    <wp:posOffset>0</wp:posOffset>
                  </wp:positionH>
                  <wp:positionV relativeFrom="paragraph">
                    <wp:posOffset>0</wp:posOffset>
                  </wp:positionV>
                  <wp:extent cx="786765" cy="903605"/>
                  <wp:effectExtent l="0" t="0" r="0" b="0"/>
                  <wp:wrapNone/>
                  <wp:docPr id="904" name="AutoShape_1664_SpCnt_535"/>
                  <wp:cNvGraphicFramePr/>
                  <a:graphic xmlns:a="http://schemas.openxmlformats.org/drawingml/2006/main">
                    <a:graphicData uri="http://schemas.openxmlformats.org/drawingml/2006/picture">
                      <pic:pic xmlns:pic="http://schemas.openxmlformats.org/drawingml/2006/picture">
                        <pic:nvPicPr>
                          <pic:cNvPr id="904" name="AutoShape_1664_SpCnt_535"/>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315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892" name="AutoShape_1664_SpCnt_536"/>
                  <wp:cNvGraphicFramePr/>
                  <a:graphic xmlns:a="http://schemas.openxmlformats.org/drawingml/2006/main">
                    <a:graphicData uri="http://schemas.openxmlformats.org/drawingml/2006/picture">
                      <pic:pic xmlns:pic="http://schemas.openxmlformats.org/drawingml/2006/picture">
                        <pic:nvPicPr>
                          <pic:cNvPr id="892" name="AutoShape_1664_SpCnt_536"/>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417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95" name="AutoShape_1791_SpCnt_181"/>
                  <wp:cNvGraphicFramePr/>
                  <a:graphic xmlns:a="http://schemas.openxmlformats.org/drawingml/2006/main">
                    <a:graphicData uri="http://schemas.openxmlformats.org/drawingml/2006/picture">
                      <pic:pic xmlns:pic="http://schemas.openxmlformats.org/drawingml/2006/picture">
                        <pic:nvPicPr>
                          <pic:cNvPr id="895" name="AutoShape_1791_SpCnt_181"/>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520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03" name="AutoShape_1664_SpCnt_537"/>
                  <wp:cNvGraphicFramePr/>
                  <a:graphic xmlns:a="http://schemas.openxmlformats.org/drawingml/2006/main">
                    <a:graphicData uri="http://schemas.openxmlformats.org/drawingml/2006/picture">
                      <pic:pic xmlns:pic="http://schemas.openxmlformats.org/drawingml/2006/picture">
                        <pic:nvPicPr>
                          <pic:cNvPr id="903" name="AutoShape_1664_SpCnt_53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6224" behindDoc="0" locked="0" layoutInCell="1" allowOverlap="1">
                  <wp:simplePos x="0" y="0"/>
                  <wp:positionH relativeFrom="column">
                    <wp:posOffset>0</wp:posOffset>
                  </wp:positionH>
                  <wp:positionV relativeFrom="paragraph">
                    <wp:posOffset>0</wp:posOffset>
                  </wp:positionV>
                  <wp:extent cx="752475" cy="982345"/>
                  <wp:effectExtent l="0" t="0" r="0" b="0"/>
                  <wp:wrapNone/>
                  <wp:docPr id="905" name="AutoShape_1791_SpCnt_182"/>
                  <wp:cNvGraphicFramePr/>
                  <a:graphic xmlns:a="http://schemas.openxmlformats.org/drawingml/2006/main">
                    <a:graphicData uri="http://schemas.openxmlformats.org/drawingml/2006/picture">
                      <pic:pic xmlns:pic="http://schemas.openxmlformats.org/drawingml/2006/picture">
                        <pic:nvPicPr>
                          <pic:cNvPr id="905" name="AutoShape_1791_SpCnt_182"/>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72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06" name="AutoShape_1664_SpCnt_538"/>
                  <wp:cNvGraphicFramePr/>
                  <a:graphic xmlns:a="http://schemas.openxmlformats.org/drawingml/2006/main">
                    <a:graphicData uri="http://schemas.openxmlformats.org/drawingml/2006/picture">
                      <pic:pic xmlns:pic="http://schemas.openxmlformats.org/drawingml/2006/picture">
                        <pic:nvPicPr>
                          <pic:cNvPr id="906" name="AutoShape_1664_SpCnt_53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8272" behindDoc="0" locked="0" layoutInCell="1" allowOverlap="1">
                  <wp:simplePos x="0" y="0"/>
                  <wp:positionH relativeFrom="column">
                    <wp:posOffset>0</wp:posOffset>
                  </wp:positionH>
                  <wp:positionV relativeFrom="paragraph">
                    <wp:posOffset>0</wp:posOffset>
                  </wp:positionV>
                  <wp:extent cx="786765" cy="1008380"/>
                  <wp:effectExtent l="0" t="0" r="0" b="0"/>
                  <wp:wrapNone/>
                  <wp:docPr id="907" name="AutoShape_1664_SpCnt_539"/>
                  <wp:cNvGraphicFramePr/>
                  <a:graphic xmlns:a="http://schemas.openxmlformats.org/drawingml/2006/main">
                    <a:graphicData uri="http://schemas.openxmlformats.org/drawingml/2006/picture">
                      <pic:pic xmlns:pic="http://schemas.openxmlformats.org/drawingml/2006/picture">
                        <pic:nvPicPr>
                          <pic:cNvPr id="907" name="AutoShape_1664_SpCnt_539"/>
                          <pic:cNvPicPr/>
                        </pic:nvPicPr>
                        <pic:blipFill>
                          <a:blip r:embed="rId33"/>
                          <a:stretch>
                            <a:fillRect/>
                          </a:stretch>
                        </pic:blipFill>
                        <pic:spPr>
                          <a:xfrm>
                            <a:off x="0" y="0"/>
                            <a:ext cx="786765" cy="100838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5992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22" name="AutoShape_1664_SpCnt_540"/>
                  <wp:cNvGraphicFramePr/>
                  <a:graphic xmlns:a="http://schemas.openxmlformats.org/drawingml/2006/main">
                    <a:graphicData uri="http://schemas.openxmlformats.org/drawingml/2006/picture">
                      <pic:pic xmlns:pic="http://schemas.openxmlformats.org/drawingml/2006/picture">
                        <pic:nvPicPr>
                          <pic:cNvPr id="922" name="AutoShape_1664_SpCnt_54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0320" behindDoc="0" locked="0" layoutInCell="1" allowOverlap="1">
                  <wp:simplePos x="0" y="0"/>
                  <wp:positionH relativeFrom="column">
                    <wp:posOffset>0</wp:posOffset>
                  </wp:positionH>
                  <wp:positionV relativeFrom="paragraph">
                    <wp:posOffset>0</wp:posOffset>
                  </wp:positionV>
                  <wp:extent cx="752475" cy="982345"/>
                  <wp:effectExtent l="0" t="0" r="0" b="0"/>
                  <wp:wrapNone/>
                  <wp:docPr id="893" name="AutoShape_1791_SpCnt_183"/>
                  <wp:cNvGraphicFramePr/>
                  <a:graphic xmlns:a="http://schemas.openxmlformats.org/drawingml/2006/main">
                    <a:graphicData uri="http://schemas.openxmlformats.org/drawingml/2006/picture">
                      <pic:pic xmlns:pic="http://schemas.openxmlformats.org/drawingml/2006/picture">
                        <pic:nvPicPr>
                          <pic:cNvPr id="893" name="AutoShape_1791_SpCnt_18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13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08" name="AutoShape_1664_SpCnt_541"/>
                  <wp:cNvGraphicFramePr/>
                  <a:graphic xmlns:a="http://schemas.openxmlformats.org/drawingml/2006/main">
                    <a:graphicData uri="http://schemas.openxmlformats.org/drawingml/2006/picture">
                      <pic:pic xmlns:pic="http://schemas.openxmlformats.org/drawingml/2006/picture">
                        <pic:nvPicPr>
                          <pic:cNvPr id="908" name="AutoShape_1664_SpCnt_54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2368" behindDoc="0" locked="0" layoutInCell="1" allowOverlap="1">
                  <wp:simplePos x="0" y="0"/>
                  <wp:positionH relativeFrom="column">
                    <wp:posOffset>0</wp:posOffset>
                  </wp:positionH>
                  <wp:positionV relativeFrom="paragraph">
                    <wp:posOffset>0</wp:posOffset>
                  </wp:positionV>
                  <wp:extent cx="752475" cy="982345"/>
                  <wp:effectExtent l="0" t="0" r="0" b="0"/>
                  <wp:wrapNone/>
                  <wp:docPr id="911" name="AutoShape_1791_SpCnt_184"/>
                  <wp:cNvGraphicFramePr/>
                  <a:graphic xmlns:a="http://schemas.openxmlformats.org/drawingml/2006/main">
                    <a:graphicData uri="http://schemas.openxmlformats.org/drawingml/2006/picture">
                      <pic:pic xmlns:pic="http://schemas.openxmlformats.org/drawingml/2006/picture">
                        <pic:nvPicPr>
                          <pic:cNvPr id="911" name="AutoShape_1791_SpCnt_18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3392" behindDoc="0" locked="0" layoutInCell="1" allowOverlap="1">
                  <wp:simplePos x="0" y="0"/>
                  <wp:positionH relativeFrom="column">
                    <wp:posOffset>0</wp:posOffset>
                  </wp:positionH>
                  <wp:positionV relativeFrom="paragraph">
                    <wp:posOffset>0</wp:posOffset>
                  </wp:positionV>
                  <wp:extent cx="786765" cy="903605"/>
                  <wp:effectExtent l="0" t="0" r="0" b="0"/>
                  <wp:wrapNone/>
                  <wp:docPr id="896" name="AutoShape_1664_SpCnt_542"/>
                  <wp:cNvGraphicFramePr/>
                  <a:graphic xmlns:a="http://schemas.openxmlformats.org/drawingml/2006/main">
                    <a:graphicData uri="http://schemas.openxmlformats.org/drawingml/2006/picture">
                      <pic:pic xmlns:pic="http://schemas.openxmlformats.org/drawingml/2006/picture">
                        <pic:nvPicPr>
                          <pic:cNvPr id="896" name="AutoShape_1664_SpCnt_542"/>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4416" behindDoc="0" locked="0" layoutInCell="1" allowOverlap="1">
                  <wp:simplePos x="0" y="0"/>
                  <wp:positionH relativeFrom="column">
                    <wp:posOffset>0</wp:posOffset>
                  </wp:positionH>
                  <wp:positionV relativeFrom="paragraph">
                    <wp:posOffset>0</wp:posOffset>
                  </wp:positionV>
                  <wp:extent cx="752475" cy="982345"/>
                  <wp:effectExtent l="0" t="0" r="0" b="0"/>
                  <wp:wrapNone/>
                  <wp:docPr id="894" name="AutoShape_1791_SpCnt_185"/>
                  <wp:cNvGraphicFramePr/>
                  <a:graphic xmlns:a="http://schemas.openxmlformats.org/drawingml/2006/main">
                    <a:graphicData uri="http://schemas.openxmlformats.org/drawingml/2006/picture">
                      <pic:pic xmlns:pic="http://schemas.openxmlformats.org/drawingml/2006/picture">
                        <pic:nvPicPr>
                          <pic:cNvPr id="894" name="AutoShape_1791_SpCnt_18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54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5" name="AutoShape_1664_SpCnt_543"/>
                  <wp:cNvGraphicFramePr/>
                  <a:graphic xmlns:a="http://schemas.openxmlformats.org/drawingml/2006/main">
                    <a:graphicData uri="http://schemas.openxmlformats.org/drawingml/2006/picture">
                      <pic:pic xmlns:pic="http://schemas.openxmlformats.org/drawingml/2006/picture">
                        <pic:nvPicPr>
                          <pic:cNvPr id="945" name="AutoShape_1664_SpCnt_54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64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7" name="AutoShape_1664_SpCnt_544"/>
                  <wp:cNvGraphicFramePr/>
                  <a:graphic xmlns:a="http://schemas.openxmlformats.org/drawingml/2006/main">
                    <a:graphicData uri="http://schemas.openxmlformats.org/drawingml/2006/picture">
                      <pic:pic xmlns:pic="http://schemas.openxmlformats.org/drawingml/2006/picture">
                        <pic:nvPicPr>
                          <pic:cNvPr id="937" name="AutoShape_1664_SpCnt_54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74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3" name="AutoShape_1664_SpCnt_545"/>
                  <wp:cNvGraphicFramePr/>
                  <a:graphic xmlns:a="http://schemas.openxmlformats.org/drawingml/2006/main">
                    <a:graphicData uri="http://schemas.openxmlformats.org/drawingml/2006/picture">
                      <pic:pic xmlns:pic="http://schemas.openxmlformats.org/drawingml/2006/picture">
                        <pic:nvPicPr>
                          <pic:cNvPr id="933" name="AutoShape_1664_SpCnt_54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85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6" name="AutoShape_1664_SpCnt_546"/>
                  <wp:cNvGraphicFramePr/>
                  <a:graphic xmlns:a="http://schemas.openxmlformats.org/drawingml/2006/main">
                    <a:graphicData uri="http://schemas.openxmlformats.org/drawingml/2006/picture">
                      <pic:pic xmlns:pic="http://schemas.openxmlformats.org/drawingml/2006/picture">
                        <pic:nvPicPr>
                          <pic:cNvPr id="946" name="AutoShape_1664_SpCnt_54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095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9" name="AutoShape_1664_SpCnt_547"/>
                  <wp:cNvGraphicFramePr/>
                  <a:graphic xmlns:a="http://schemas.openxmlformats.org/drawingml/2006/main">
                    <a:graphicData uri="http://schemas.openxmlformats.org/drawingml/2006/picture">
                      <pic:pic xmlns:pic="http://schemas.openxmlformats.org/drawingml/2006/picture">
                        <pic:nvPicPr>
                          <pic:cNvPr id="939" name="AutoShape_1664_SpCnt_54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0560" behindDoc="0" locked="0" layoutInCell="1" allowOverlap="1">
                  <wp:simplePos x="0" y="0"/>
                  <wp:positionH relativeFrom="column">
                    <wp:posOffset>0</wp:posOffset>
                  </wp:positionH>
                  <wp:positionV relativeFrom="paragraph">
                    <wp:posOffset>0</wp:posOffset>
                  </wp:positionV>
                  <wp:extent cx="786765" cy="859790"/>
                  <wp:effectExtent l="0" t="0" r="0" b="0"/>
                  <wp:wrapNone/>
                  <wp:docPr id="947" name="AutoShape_1664_SpCnt_548"/>
                  <wp:cNvGraphicFramePr/>
                  <a:graphic xmlns:a="http://schemas.openxmlformats.org/drawingml/2006/main">
                    <a:graphicData uri="http://schemas.openxmlformats.org/drawingml/2006/picture">
                      <pic:pic xmlns:pic="http://schemas.openxmlformats.org/drawingml/2006/picture">
                        <pic:nvPicPr>
                          <pic:cNvPr id="947" name="AutoShape_1664_SpCnt_54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15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0" name="AutoShape_1664_SpCnt_549"/>
                  <wp:cNvGraphicFramePr/>
                  <a:graphic xmlns:a="http://schemas.openxmlformats.org/drawingml/2006/main">
                    <a:graphicData uri="http://schemas.openxmlformats.org/drawingml/2006/picture">
                      <pic:pic xmlns:pic="http://schemas.openxmlformats.org/drawingml/2006/picture">
                        <pic:nvPicPr>
                          <pic:cNvPr id="940" name="AutoShape_1664_SpCnt_54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26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50" name="AutoShape_1664_SpCnt_550"/>
                  <wp:cNvGraphicFramePr/>
                  <a:graphic xmlns:a="http://schemas.openxmlformats.org/drawingml/2006/main">
                    <a:graphicData uri="http://schemas.openxmlformats.org/drawingml/2006/picture">
                      <pic:pic xmlns:pic="http://schemas.openxmlformats.org/drawingml/2006/picture">
                        <pic:nvPicPr>
                          <pic:cNvPr id="950" name="AutoShape_1664_SpCnt_55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36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1" name="AutoShape_1664_SpCnt_551"/>
                  <wp:cNvGraphicFramePr/>
                  <a:graphic xmlns:a="http://schemas.openxmlformats.org/drawingml/2006/main">
                    <a:graphicData uri="http://schemas.openxmlformats.org/drawingml/2006/picture">
                      <pic:pic xmlns:pic="http://schemas.openxmlformats.org/drawingml/2006/picture">
                        <pic:nvPicPr>
                          <pic:cNvPr id="941" name="AutoShape_1664_SpCnt_55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4656" behindDoc="0" locked="0" layoutInCell="1" allowOverlap="1">
                  <wp:simplePos x="0" y="0"/>
                  <wp:positionH relativeFrom="column">
                    <wp:posOffset>0</wp:posOffset>
                  </wp:positionH>
                  <wp:positionV relativeFrom="paragraph">
                    <wp:posOffset>0</wp:posOffset>
                  </wp:positionV>
                  <wp:extent cx="752475" cy="982345"/>
                  <wp:effectExtent l="0" t="0" r="0" b="0"/>
                  <wp:wrapNone/>
                  <wp:docPr id="926" name="AutoShape_1791_SpCnt_186"/>
                  <wp:cNvGraphicFramePr/>
                  <a:graphic xmlns:a="http://schemas.openxmlformats.org/drawingml/2006/main">
                    <a:graphicData uri="http://schemas.openxmlformats.org/drawingml/2006/picture">
                      <pic:pic xmlns:pic="http://schemas.openxmlformats.org/drawingml/2006/picture">
                        <pic:nvPicPr>
                          <pic:cNvPr id="926" name="AutoShape_1791_SpCnt_186"/>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5680" behindDoc="0" locked="0" layoutInCell="1" allowOverlap="1">
                  <wp:simplePos x="0" y="0"/>
                  <wp:positionH relativeFrom="column">
                    <wp:posOffset>0</wp:posOffset>
                  </wp:positionH>
                  <wp:positionV relativeFrom="paragraph">
                    <wp:posOffset>0</wp:posOffset>
                  </wp:positionV>
                  <wp:extent cx="752475" cy="982345"/>
                  <wp:effectExtent l="0" t="0" r="0" b="0"/>
                  <wp:wrapNone/>
                  <wp:docPr id="938" name="AutoShape_1791_SpCnt_187"/>
                  <wp:cNvGraphicFramePr/>
                  <a:graphic xmlns:a="http://schemas.openxmlformats.org/drawingml/2006/main">
                    <a:graphicData uri="http://schemas.openxmlformats.org/drawingml/2006/picture">
                      <pic:pic xmlns:pic="http://schemas.openxmlformats.org/drawingml/2006/picture">
                        <pic:nvPicPr>
                          <pic:cNvPr id="938" name="AutoShape_1791_SpCnt_18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670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4" name="AutoShape_1664_SpCnt_552"/>
                  <wp:cNvGraphicFramePr/>
                  <a:graphic xmlns:a="http://schemas.openxmlformats.org/drawingml/2006/main">
                    <a:graphicData uri="http://schemas.openxmlformats.org/drawingml/2006/picture">
                      <pic:pic xmlns:pic="http://schemas.openxmlformats.org/drawingml/2006/picture">
                        <pic:nvPicPr>
                          <pic:cNvPr id="944" name="AutoShape_1664_SpCnt_55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7728" behindDoc="0" locked="0" layoutInCell="1" allowOverlap="1">
                  <wp:simplePos x="0" y="0"/>
                  <wp:positionH relativeFrom="column">
                    <wp:posOffset>0</wp:posOffset>
                  </wp:positionH>
                  <wp:positionV relativeFrom="paragraph">
                    <wp:posOffset>0</wp:posOffset>
                  </wp:positionV>
                  <wp:extent cx="786765" cy="859790"/>
                  <wp:effectExtent l="0" t="0" r="0" b="0"/>
                  <wp:wrapNone/>
                  <wp:docPr id="934" name="AutoShape_1664_SpCnt_553"/>
                  <wp:cNvGraphicFramePr/>
                  <a:graphic xmlns:a="http://schemas.openxmlformats.org/drawingml/2006/main">
                    <a:graphicData uri="http://schemas.openxmlformats.org/drawingml/2006/picture">
                      <pic:pic xmlns:pic="http://schemas.openxmlformats.org/drawingml/2006/picture">
                        <pic:nvPicPr>
                          <pic:cNvPr id="934" name="AutoShape_1664_SpCnt_553"/>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8752" behindDoc="0" locked="0" layoutInCell="1" allowOverlap="1">
                  <wp:simplePos x="0" y="0"/>
                  <wp:positionH relativeFrom="column">
                    <wp:posOffset>0</wp:posOffset>
                  </wp:positionH>
                  <wp:positionV relativeFrom="paragraph">
                    <wp:posOffset>0</wp:posOffset>
                  </wp:positionV>
                  <wp:extent cx="752475" cy="859790"/>
                  <wp:effectExtent l="0" t="0" r="0" b="0"/>
                  <wp:wrapNone/>
                  <wp:docPr id="955" name="AutoShape_1791_SpCnt_188"/>
                  <wp:cNvGraphicFramePr/>
                  <a:graphic xmlns:a="http://schemas.openxmlformats.org/drawingml/2006/main">
                    <a:graphicData uri="http://schemas.openxmlformats.org/drawingml/2006/picture">
                      <pic:pic xmlns:pic="http://schemas.openxmlformats.org/drawingml/2006/picture">
                        <pic:nvPicPr>
                          <pic:cNvPr id="955" name="AutoShape_1791_SpCnt_188"/>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197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52" name="AutoShape_1664_SpCnt_554"/>
                  <wp:cNvGraphicFramePr/>
                  <a:graphic xmlns:a="http://schemas.openxmlformats.org/drawingml/2006/main">
                    <a:graphicData uri="http://schemas.openxmlformats.org/drawingml/2006/picture">
                      <pic:pic xmlns:pic="http://schemas.openxmlformats.org/drawingml/2006/picture">
                        <pic:nvPicPr>
                          <pic:cNvPr id="952" name="AutoShape_1664_SpCnt_55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0800" behindDoc="0" locked="0" layoutInCell="1" allowOverlap="1">
                  <wp:simplePos x="0" y="0"/>
                  <wp:positionH relativeFrom="column">
                    <wp:posOffset>0</wp:posOffset>
                  </wp:positionH>
                  <wp:positionV relativeFrom="paragraph">
                    <wp:posOffset>0</wp:posOffset>
                  </wp:positionV>
                  <wp:extent cx="786765" cy="859790"/>
                  <wp:effectExtent l="0" t="0" r="0" b="0"/>
                  <wp:wrapNone/>
                  <wp:docPr id="954" name="AutoShape_1664_SpCnt_555"/>
                  <wp:cNvGraphicFramePr/>
                  <a:graphic xmlns:a="http://schemas.openxmlformats.org/drawingml/2006/main">
                    <a:graphicData uri="http://schemas.openxmlformats.org/drawingml/2006/picture">
                      <pic:pic xmlns:pic="http://schemas.openxmlformats.org/drawingml/2006/picture">
                        <pic:nvPicPr>
                          <pic:cNvPr id="954" name="AutoShape_1664_SpCnt_555"/>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182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53" name="AutoShape_1664_SpCnt_556"/>
                  <wp:cNvGraphicFramePr/>
                  <a:graphic xmlns:a="http://schemas.openxmlformats.org/drawingml/2006/main">
                    <a:graphicData uri="http://schemas.openxmlformats.org/drawingml/2006/picture">
                      <pic:pic xmlns:pic="http://schemas.openxmlformats.org/drawingml/2006/picture">
                        <pic:nvPicPr>
                          <pic:cNvPr id="953" name="AutoShape_1664_SpCnt_55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284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8" name="AutoShape_1664_SpCnt_557"/>
                  <wp:cNvGraphicFramePr/>
                  <a:graphic xmlns:a="http://schemas.openxmlformats.org/drawingml/2006/main">
                    <a:graphicData uri="http://schemas.openxmlformats.org/drawingml/2006/picture">
                      <pic:pic xmlns:pic="http://schemas.openxmlformats.org/drawingml/2006/picture">
                        <pic:nvPicPr>
                          <pic:cNvPr id="948" name="AutoShape_1664_SpCnt_55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3872" behindDoc="0" locked="0" layoutInCell="1" allowOverlap="1">
                  <wp:simplePos x="0" y="0"/>
                  <wp:positionH relativeFrom="column">
                    <wp:posOffset>0</wp:posOffset>
                  </wp:positionH>
                  <wp:positionV relativeFrom="paragraph">
                    <wp:posOffset>0</wp:posOffset>
                  </wp:positionV>
                  <wp:extent cx="786765" cy="859790"/>
                  <wp:effectExtent l="0" t="0" r="0" b="0"/>
                  <wp:wrapNone/>
                  <wp:docPr id="927" name="AutoShape_1664_SpCnt_558"/>
                  <wp:cNvGraphicFramePr/>
                  <a:graphic xmlns:a="http://schemas.openxmlformats.org/drawingml/2006/main">
                    <a:graphicData uri="http://schemas.openxmlformats.org/drawingml/2006/picture">
                      <pic:pic xmlns:pic="http://schemas.openxmlformats.org/drawingml/2006/picture">
                        <pic:nvPicPr>
                          <pic:cNvPr id="927" name="AutoShape_1664_SpCnt_55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48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24" name="AutoShape_1664_SpCnt_559"/>
                  <wp:cNvGraphicFramePr/>
                  <a:graphic xmlns:a="http://schemas.openxmlformats.org/drawingml/2006/main">
                    <a:graphicData uri="http://schemas.openxmlformats.org/drawingml/2006/picture">
                      <pic:pic xmlns:pic="http://schemas.openxmlformats.org/drawingml/2006/picture">
                        <pic:nvPicPr>
                          <pic:cNvPr id="924" name="AutoShape_1664_SpCnt_55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59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49" name="AutoShape_1664_SpCnt_560"/>
                  <wp:cNvGraphicFramePr/>
                  <a:graphic xmlns:a="http://schemas.openxmlformats.org/drawingml/2006/main">
                    <a:graphicData uri="http://schemas.openxmlformats.org/drawingml/2006/picture">
                      <pic:pic xmlns:pic="http://schemas.openxmlformats.org/drawingml/2006/picture">
                        <pic:nvPicPr>
                          <pic:cNvPr id="949" name="AutoShape_1664_SpCnt_56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69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51" name="AutoShape_1664_SpCnt_561"/>
                  <wp:cNvGraphicFramePr/>
                  <a:graphic xmlns:a="http://schemas.openxmlformats.org/drawingml/2006/main">
                    <a:graphicData uri="http://schemas.openxmlformats.org/drawingml/2006/picture">
                      <pic:pic xmlns:pic="http://schemas.openxmlformats.org/drawingml/2006/picture">
                        <pic:nvPicPr>
                          <pic:cNvPr id="951" name="AutoShape_1664_SpCnt_56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7968" behindDoc="0" locked="0" layoutInCell="1" allowOverlap="1">
                  <wp:simplePos x="0" y="0"/>
                  <wp:positionH relativeFrom="column">
                    <wp:posOffset>0</wp:posOffset>
                  </wp:positionH>
                  <wp:positionV relativeFrom="paragraph">
                    <wp:posOffset>0</wp:posOffset>
                  </wp:positionV>
                  <wp:extent cx="752475" cy="1412240"/>
                  <wp:effectExtent l="0" t="0" r="0" b="0"/>
                  <wp:wrapNone/>
                  <wp:docPr id="925" name="AutoShape_1791_SpCnt_189"/>
                  <wp:cNvGraphicFramePr/>
                  <a:graphic xmlns:a="http://schemas.openxmlformats.org/drawingml/2006/main">
                    <a:graphicData uri="http://schemas.openxmlformats.org/drawingml/2006/picture">
                      <pic:pic xmlns:pic="http://schemas.openxmlformats.org/drawingml/2006/picture">
                        <pic:nvPicPr>
                          <pic:cNvPr id="925" name="AutoShape_1791_SpCnt_189"/>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289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28" name="AutoShape_1664_SpCnt_562"/>
                  <wp:cNvGraphicFramePr/>
                  <a:graphic xmlns:a="http://schemas.openxmlformats.org/drawingml/2006/main">
                    <a:graphicData uri="http://schemas.openxmlformats.org/drawingml/2006/picture">
                      <pic:pic xmlns:pic="http://schemas.openxmlformats.org/drawingml/2006/picture">
                        <pic:nvPicPr>
                          <pic:cNvPr id="928" name="AutoShape_1664_SpCnt_56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001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29" name="AutoShape_1664_SpCnt_563"/>
                  <wp:cNvGraphicFramePr/>
                  <a:graphic xmlns:a="http://schemas.openxmlformats.org/drawingml/2006/main">
                    <a:graphicData uri="http://schemas.openxmlformats.org/drawingml/2006/picture">
                      <pic:pic xmlns:pic="http://schemas.openxmlformats.org/drawingml/2006/picture">
                        <pic:nvPicPr>
                          <pic:cNvPr id="929" name="AutoShape_1664_SpCnt_56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10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0" name="AutoShape_1664_SpCnt_564"/>
                  <wp:cNvGraphicFramePr/>
                  <a:graphic xmlns:a="http://schemas.openxmlformats.org/drawingml/2006/main">
                    <a:graphicData uri="http://schemas.openxmlformats.org/drawingml/2006/picture">
                      <pic:pic xmlns:pic="http://schemas.openxmlformats.org/drawingml/2006/picture">
                        <pic:nvPicPr>
                          <pic:cNvPr id="930" name="AutoShape_1664_SpCnt_56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206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36" name="AutoShape_1664_SpCnt_565"/>
                  <wp:cNvGraphicFramePr/>
                  <a:graphic xmlns:a="http://schemas.openxmlformats.org/drawingml/2006/main">
                    <a:graphicData uri="http://schemas.openxmlformats.org/drawingml/2006/picture">
                      <pic:pic xmlns:pic="http://schemas.openxmlformats.org/drawingml/2006/picture">
                        <pic:nvPicPr>
                          <pic:cNvPr id="936" name="AutoShape_1664_SpCnt_56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30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1" name="AutoShape_1664_SpCnt_566"/>
                  <wp:cNvGraphicFramePr/>
                  <a:graphic xmlns:a="http://schemas.openxmlformats.org/drawingml/2006/main">
                    <a:graphicData uri="http://schemas.openxmlformats.org/drawingml/2006/picture">
                      <pic:pic xmlns:pic="http://schemas.openxmlformats.org/drawingml/2006/picture">
                        <pic:nvPicPr>
                          <pic:cNvPr id="931" name="AutoShape_1664_SpCnt_56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411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32" name="AutoShape_1664_SpCnt_567"/>
                  <wp:cNvGraphicFramePr/>
                  <a:graphic xmlns:a="http://schemas.openxmlformats.org/drawingml/2006/main">
                    <a:graphicData uri="http://schemas.openxmlformats.org/drawingml/2006/picture">
                      <pic:pic xmlns:pic="http://schemas.openxmlformats.org/drawingml/2006/picture">
                        <pic:nvPicPr>
                          <pic:cNvPr id="932" name="AutoShape_1664_SpCnt_56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513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35" name="AutoShape_1664_SpCnt_568"/>
                  <wp:cNvGraphicFramePr/>
                  <a:graphic xmlns:a="http://schemas.openxmlformats.org/drawingml/2006/main">
                    <a:graphicData uri="http://schemas.openxmlformats.org/drawingml/2006/picture">
                      <pic:pic xmlns:pic="http://schemas.openxmlformats.org/drawingml/2006/picture">
                        <pic:nvPicPr>
                          <pic:cNvPr id="935" name="AutoShape_1664_SpCnt_56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6160" behindDoc="0" locked="0" layoutInCell="1" allowOverlap="1">
                  <wp:simplePos x="0" y="0"/>
                  <wp:positionH relativeFrom="column">
                    <wp:posOffset>0</wp:posOffset>
                  </wp:positionH>
                  <wp:positionV relativeFrom="paragraph">
                    <wp:posOffset>0</wp:posOffset>
                  </wp:positionV>
                  <wp:extent cx="752475" cy="1430020"/>
                  <wp:effectExtent l="0" t="0" r="0" b="0"/>
                  <wp:wrapNone/>
                  <wp:docPr id="942" name="AutoShape_1791_SpCnt_190"/>
                  <wp:cNvGraphicFramePr/>
                  <a:graphic xmlns:a="http://schemas.openxmlformats.org/drawingml/2006/main">
                    <a:graphicData uri="http://schemas.openxmlformats.org/drawingml/2006/picture">
                      <pic:pic xmlns:pic="http://schemas.openxmlformats.org/drawingml/2006/picture">
                        <pic:nvPicPr>
                          <pic:cNvPr id="942" name="AutoShape_1791_SpCnt_190"/>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71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43" name="AutoShape_1664_SpCnt_569"/>
                  <wp:cNvGraphicFramePr/>
                  <a:graphic xmlns:a="http://schemas.openxmlformats.org/drawingml/2006/main">
                    <a:graphicData uri="http://schemas.openxmlformats.org/drawingml/2006/picture">
                      <pic:pic xmlns:pic="http://schemas.openxmlformats.org/drawingml/2006/picture">
                        <pic:nvPicPr>
                          <pic:cNvPr id="943" name="AutoShape_1664_SpCnt_56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820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82" name="AutoShape_1664_SpCnt_570"/>
                  <wp:cNvGraphicFramePr/>
                  <a:graphic xmlns:a="http://schemas.openxmlformats.org/drawingml/2006/main">
                    <a:graphicData uri="http://schemas.openxmlformats.org/drawingml/2006/picture">
                      <pic:pic xmlns:pic="http://schemas.openxmlformats.org/drawingml/2006/picture">
                        <pic:nvPicPr>
                          <pic:cNvPr id="982" name="AutoShape_1664_SpCnt_570"/>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392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6" name="AutoShape_1664_SpCnt_571"/>
                  <wp:cNvGraphicFramePr/>
                  <a:graphic xmlns:a="http://schemas.openxmlformats.org/drawingml/2006/main">
                    <a:graphicData uri="http://schemas.openxmlformats.org/drawingml/2006/picture">
                      <pic:pic xmlns:pic="http://schemas.openxmlformats.org/drawingml/2006/picture">
                        <pic:nvPicPr>
                          <pic:cNvPr id="976" name="AutoShape_1664_SpCnt_57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0256" behindDoc="0" locked="0" layoutInCell="1" allowOverlap="1">
                  <wp:simplePos x="0" y="0"/>
                  <wp:positionH relativeFrom="column">
                    <wp:posOffset>0</wp:posOffset>
                  </wp:positionH>
                  <wp:positionV relativeFrom="paragraph">
                    <wp:posOffset>0</wp:posOffset>
                  </wp:positionV>
                  <wp:extent cx="786765" cy="1412240"/>
                  <wp:effectExtent l="0" t="0" r="0" b="0"/>
                  <wp:wrapNone/>
                  <wp:docPr id="962" name="AutoShape_1664_SpCnt_572"/>
                  <wp:cNvGraphicFramePr/>
                  <a:graphic xmlns:a="http://schemas.openxmlformats.org/drawingml/2006/main">
                    <a:graphicData uri="http://schemas.openxmlformats.org/drawingml/2006/picture">
                      <pic:pic xmlns:pic="http://schemas.openxmlformats.org/drawingml/2006/picture">
                        <pic:nvPicPr>
                          <pic:cNvPr id="962" name="AutoShape_1664_SpCnt_572"/>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12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67" name="AutoShape_1664_SpCnt_573"/>
                  <wp:cNvGraphicFramePr/>
                  <a:graphic xmlns:a="http://schemas.openxmlformats.org/drawingml/2006/main">
                    <a:graphicData uri="http://schemas.openxmlformats.org/drawingml/2006/picture">
                      <pic:pic xmlns:pic="http://schemas.openxmlformats.org/drawingml/2006/picture">
                        <pic:nvPicPr>
                          <pic:cNvPr id="967" name="AutoShape_1664_SpCnt_57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2304"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68" name="AutoShape_1664_SpCnt_574"/>
                  <wp:cNvGraphicFramePr/>
                  <a:graphic xmlns:a="http://schemas.openxmlformats.org/drawingml/2006/main">
                    <a:graphicData uri="http://schemas.openxmlformats.org/drawingml/2006/picture">
                      <pic:pic xmlns:pic="http://schemas.openxmlformats.org/drawingml/2006/picture">
                        <pic:nvPicPr>
                          <pic:cNvPr id="968" name="AutoShape_1664_SpCnt_574"/>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33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2" name="AutoShape_1664_SpCnt_575"/>
                  <wp:cNvGraphicFramePr/>
                  <a:graphic xmlns:a="http://schemas.openxmlformats.org/drawingml/2006/main">
                    <a:graphicData uri="http://schemas.openxmlformats.org/drawingml/2006/picture">
                      <pic:pic xmlns:pic="http://schemas.openxmlformats.org/drawingml/2006/picture">
                        <pic:nvPicPr>
                          <pic:cNvPr id="972" name="AutoShape_1664_SpCnt_57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4352"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56" name="AutoShape_1664_SpCnt_576"/>
                  <wp:cNvGraphicFramePr/>
                  <a:graphic xmlns:a="http://schemas.openxmlformats.org/drawingml/2006/main">
                    <a:graphicData uri="http://schemas.openxmlformats.org/drawingml/2006/picture">
                      <pic:pic xmlns:pic="http://schemas.openxmlformats.org/drawingml/2006/picture">
                        <pic:nvPicPr>
                          <pic:cNvPr id="956" name="AutoShape_1664_SpCnt_576"/>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53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59" name="AutoShape_1664_SpCnt_577"/>
                  <wp:cNvGraphicFramePr/>
                  <a:graphic xmlns:a="http://schemas.openxmlformats.org/drawingml/2006/main">
                    <a:graphicData uri="http://schemas.openxmlformats.org/drawingml/2006/picture">
                      <pic:pic xmlns:pic="http://schemas.openxmlformats.org/drawingml/2006/picture">
                        <pic:nvPicPr>
                          <pic:cNvPr id="959" name="AutoShape_1664_SpCnt_57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6400" behindDoc="0" locked="0" layoutInCell="1" allowOverlap="1">
                  <wp:simplePos x="0" y="0"/>
                  <wp:positionH relativeFrom="column">
                    <wp:posOffset>0</wp:posOffset>
                  </wp:positionH>
                  <wp:positionV relativeFrom="paragraph">
                    <wp:posOffset>0</wp:posOffset>
                  </wp:positionV>
                  <wp:extent cx="786765" cy="859790"/>
                  <wp:effectExtent l="0" t="0" r="0" b="0"/>
                  <wp:wrapNone/>
                  <wp:docPr id="970" name="AutoShape_1664_SpCnt_578"/>
                  <wp:cNvGraphicFramePr/>
                  <a:graphic xmlns:a="http://schemas.openxmlformats.org/drawingml/2006/main">
                    <a:graphicData uri="http://schemas.openxmlformats.org/drawingml/2006/picture">
                      <pic:pic xmlns:pic="http://schemas.openxmlformats.org/drawingml/2006/picture">
                        <pic:nvPicPr>
                          <pic:cNvPr id="970" name="AutoShape_1664_SpCnt_57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74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9" name="AutoShape_1664_SpCnt_579"/>
                  <wp:cNvGraphicFramePr/>
                  <a:graphic xmlns:a="http://schemas.openxmlformats.org/drawingml/2006/main">
                    <a:graphicData uri="http://schemas.openxmlformats.org/drawingml/2006/picture">
                      <pic:pic xmlns:pic="http://schemas.openxmlformats.org/drawingml/2006/picture">
                        <pic:nvPicPr>
                          <pic:cNvPr id="979" name="AutoShape_1664_SpCnt_57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8448" behindDoc="0" locked="0" layoutInCell="1" allowOverlap="1">
                  <wp:simplePos x="0" y="0"/>
                  <wp:positionH relativeFrom="column">
                    <wp:posOffset>0</wp:posOffset>
                  </wp:positionH>
                  <wp:positionV relativeFrom="paragraph">
                    <wp:posOffset>0</wp:posOffset>
                  </wp:positionV>
                  <wp:extent cx="786765" cy="903605"/>
                  <wp:effectExtent l="0" t="0" r="0" b="0"/>
                  <wp:wrapNone/>
                  <wp:docPr id="966" name="AutoShape_1664_SpCnt_580"/>
                  <wp:cNvGraphicFramePr/>
                  <a:graphic xmlns:a="http://schemas.openxmlformats.org/drawingml/2006/main">
                    <a:graphicData uri="http://schemas.openxmlformats.org/drawingml/2006/picture">
                      <pic:pic xmlns:pic="http://schemas.openxmlformats.org/drawingml/2006/picture">
                        <pic:nvPicPr>
                          <pic:cNvPr id="966" name="AutoShape_1664_SpCnt_580"/>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494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57" name="AutoShape_1664_SpCnt_581"/>
                  <wp:cNvGraphicFramePr/>
                  <a:graphic xmlns:a="http://schemas.openxmlformats.org/drawingml/2006/main">
                    <a:graphicData uri="http://schemas.openxmlformats.org/drawingml/2006/picture">
                      <pic:pic xmlns:pic="http://schemas.openxmlformats.org/drawingml/2006/picture">
                        <pic:nvPicPr>
                          <pic:cNvPr id="957" name="AutoShape_1664_SpCnt_581"/>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04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7" name="AutoShape_1664_SpCnt_582"/>
                  <wp:cNvGraphicFramePr/>
                  <a:graphic xmlns:a="http://schemas.openxmlformats.org/drawingml/2006/main">
                    <a:graphicData uri="http://schemas.openxmlformats.org/drawingml/2006/picture">
                      <pic:pic xmlns:pic="http://schemas.openxmlformats.org/drawingml/2006/picture">
                        <pic:nvPicPr>
                          <pic:cNvPr id="977" name="AutoShape_1664_SpCnt_58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152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69" name="AutoShape_1664_SpCnt_583"/>
                  <wp:cNvGraphicFramePr/>
                  <a:graphic xmlns:a="http://schemas.openxmlformats.org/drawingml/2006/main">
                    <a:graphicData uri="http://schemas.openxmlformats.org/drawingml/2006/picture">
                      <pic:pic xmlns:pic="http://schemas.openxmlformats.org/drawingml/2006/picture">
                        <pic:nvPicPr>
                          <pic:cNvPr id="969" name="AutoShape_1664_SpCnt_58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25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5" name="AutoShape_1664_SpCnt_584"/>
                  <wp:cNvGraphicFramePr/>
                  <a:graphic xmlns:a="http://schemas.openxmlformats.org/drawingml/2006/main">
                    <a:graphicData uri="http://schemas.openxmlformats.org/drawingml/2006/picture">
                      <pic:pic xmlns:pic="http://schemas.openxmlformats.org/drawingml/2006/picture">
                        <pic:nvPicPr>
                          <pic:cNvPr id="975" name="AutoShape_1664_SpCnt_58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356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58" name="AutoShape_1664_SpCnt_585"/>
                  <wp:cNvGraphicFramePr/>
                  <a:graphic xmlns:a="http://schemas.openxmlformats.org/drawingml/2006/main">
                    <a:graphicData uri="http://schemas.openxmlformats.org/drawingml/2006/picture">
                      <pic:pic xmlns:pic="http://schemas.openxmlformats.org/drawingml/2006/picture">
                        <pic:nvPicPr>
                          <pic:cNvPr id="958" name="AutoShape_1664_SpCnt_58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45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8" name="AutoShape_1664_SpCnt_586"/>
                  <wp:cNvGraphicFramePr/>
                  <a:graphic xmlns:a="http://schemas.openxmlformats.org/drawingml/2006/main">
                    <a:graphicData uri="http://schemas.openxmlformats.org/drawingml/2006/picture">
                      <pic:pic xmlns:pic="http://schemas.openxmlformats.org/drawingml/2006/picture">
                        <pic:nvPicPr>
                          <pic:cNvPr id="978" name="AutoShape_1664_SpCnt_58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561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73" name="AutoShape_1664_SpCnt_587"/>
                  <wp:cNvGraphicFramePr/>
                  <a:graphic xmlns:a="http://schemas.openxmlformats.org/drawingml/2006/main">
                    <a:graphicData uri="http://schemas.openxmlformats.org/drawingml/2006/picture">
                      <pic:pic xmlns:pic="http://schemas.openxmlformats.org/drawingml/2006/picture">
                        <pic:nvPicPr>
                          <pic:cNvPr id="973" name="AutoShape_1664_SpCnt_58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6640" behindDoc="0" locked="0" layoutInCell="1" allowOverlap="1">
                  <wp:simplePos x="0" y="0"/>
                  <wp:positionH relativeFrom="column">
                    <wp:posOffset>0</wp:posOffset>
                  </wp:positionH>
                  <wp:positionV relativeFrom="paragraph">
                    <wp:posOffset>0</wp:posOffset>
                  </wp:positionV>
                  <wp:extent cx="786765" cy="859790"/>
                  <wp:effectExtent l="0" t="0" r="0" b="0"/>
                  <wp:wrapNone/>
                  <wp:docPr id="980" name="AutoShape_1664_SpCnt_588"/>
                  <wp:cNvGraphicFramePr/>
                  <a:graphic xmlns:a="http://schemas.openxmlformats.org/drawingml/2006/main">
                    <a:graphicData uri="http://schemas.openxmlformats.org/drawingml/2006/picture">
                      <pic:pic xmlns:pic="http://schemas.openxmlformats.org/drawingml/2006/picture">
                        <pic:nvPicPr>
                          <pic:cNvPr id="980" name="AutoShape_1664_SpCnt_588"/>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766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60" name="AutoShape_1664_SpCnt_589"/>
                  <wp:cNvGraphicFramePr/>
                  <a:graphic xmlns:a="http://schemas.openxmlformats.org/drawingml/2006/main">
                    <a:graphicData uri="http://schemas.openxmlformats.org/drawingml/2006/picture">
                      <pic:pic xmlns:pic="http://schemas.openxmlformats.org/drawingml/2006/picture">
                        <pic:nvPicPr>
                          <pic:cNvPr id="960" name="AutoShape_1664_SpCnt_58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868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85" name="AutoShape_1664_SpCnt_590"/>
                  <wp:cNvGraphicFramePr/>
                  <a:graphic xmlns:a="http://schemas.openxmlformats.org/drawingml/2006/main">
                    <a:graphicData uri="http://schemas.openxmlformats.org/drawingml/2006/picture">
                      <pic:pic xmlns:pic="http://schemas.openxmlformats.org/drawingml/2006/picture">
                        <pic:nvPicPr>
                          <pic:cNvPr id="985" name="AutoShape_1664_SpCnt_59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5971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65" name="AutoShape_1664_SpCnt_591"/>
                  <wp:cNvGraphicFramePr/>
                  <a:graphic xmlns:a="http://schemas.openxmlformats.org/drawingml/2006/main">
                    <a:graphicData uri="http://schemas.openxmlformats.org/drawingml/2006/picture">
                      <pic:pic xmlns:pic="http://schemas.openxmlformats.org/drawingml/2006/picture">
                        <pic:nvPicPr>
                          <pic:cNvPr id="965" name="AutoShape_1664_SpCnt_59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0736" behindDoc="0" locked="0" layoutInCell="1" allowOverlap="1">
                  <wp:simplePos x="0" y="0"/>
                  <wp:positionH relativeFrom="column">
                    <wp:posOffset>0</wp:posOffset>
                  </wp:positionH>
                  <wp:positionV relativeFrom="paragraph">
                    <wp:posOffset>0</wp:posOffset>
                  </wp:positionV>
                  <wp:extent cx="786765" cy="903605"/>
                  <wp:effectExtent l="0" t="0" r="0" b="0"/>
                  <wp:wrapNone/>
                  <wp:docPr id="961" name="AutoShape_1664_SpCnt_592"/>
                  <wp:cNvGraphicFramePr/>
                  <a:graphic xmlns:a="http://schemas.openxmlformats.org/drawingml/2006/main">
                    <a:graphicData uri="http://schemas.openxmlformats.org/drawingml/2006/picture">
                      <pic:pic xmlns:pic="http://schemas.openxmlformats.org/drawingml/2006/picture">
                        <pic:nvPicPr>
                          <pic:cNvPr id="961" name="AutoShape_1664_SpCnt_592"/>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1760"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81" name="AutoShape_1664_SpCnt_593"/>
                  <wp:cNvGraphicFramePr/>
                  <a:graphic xmlns:a="http://schemas.openxmlformats.org/drawingml/2006/main">
                    <a:graphicData uri="http://schemas.openxmlformats.org/drawingml/2006/picture">
                      <pic:pic xmlns:pic="http://schemas.openxmlformats.org/drawingml/2006/picture">
                        <pic:nvPicPr>
                          <pic:cNvPr id="981" name="AutoShape_1664_SpCnt_593"/>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278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63" name="AutoShape_1664_SpCnt_594"/>
                  <wp:cNvGraphicFramePr/>
                  <a:graphic xmlns:a="http://schemas.openxmlformats.org/drawingml/2006/main">
                    <a:graphicData uri="http://schemas.openxmlformats.org/drawingml/2006/picture">
                      <pic:pic xmlns:pic="http://schemas.openxmlformats.org/drawingml/2006/picture">
                        <pic:nvPicPr>
                          <pic:cNvPr id="963" name="AutoShape_1664_SpCnt_59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38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1" name="AutoShape_1664_SpCnt_595"/>
                  <wp:cNvGraphicFramePr/>
                  <a:graphic xmlns:a="http://schemas.openxmlformats.org/drawingml/2006/main">
                    <a:graphicData uri="http://schemas.openxmlformats.org/drawingml/2006/picture">
                      <pic:pic xmlns:pic="http://schemas.openxmlformats.org/drawingml/2006/picture">
                        <pic:nvPicPr>
                          <pic:cNvPr id="971" name="AutoShape_1664_SpCnt_595"/>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48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74" name="AutoShape_1664_SpCnt_596"/>
                  <wp:cNvGraphicFramePr/>
                  <a:graphic xmlns:a="http://schemas.openxmlformats.org/drawingml/2006/main">
                    <a:graphicData uri="http://schemas.openxmlformats.org/drawingml/2006/picture">
                      <pic:pic xmlns:pic="http://schemas.openxmlformats.org/drawingml/2006/picture">
                        <pic:nvPicPr>
                          <pic:cNvPr id="974" name="AutoShape_1664_SpCnt_59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585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64" name="AutoShape_1664_SpCnt_597"/>
                  <wp:cNvGraphicFramePr/>
                  <a:graphic xmlns:a="http://schemas.openxmlformats.org/drawingml/2006/main">
                    <a:graphicData uri="http://schemas.openxmlformats.org/drawingml/2006/picture">
                      <pic:pic xmlns:pic="http://schemas.openxmlformats.org/drawingml/2006/picture">
                        <pic:nvPicPr>
                          <pic:cNvPr id="964" name="AutoShape_1664_SpCnt_59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6880" behindDoc="0" locked="0" layoutInCell="1" allowOverlap="1">
                  <wp:simplePos x="0" y="0"/>
                  <wp:positionH relativeFrom="column">
                    <wp:posOffset>0</wp:posOffset>
                  </wp:positionH>
                  <wp:positionV relativeFrom="paragraph">
                    <wp:posOffset>0</wp:posOffset>
                  </wp:positionV>
                  <wp:extent cx="786765" cy="903605"/>
                  <wp:effectExtent l="0" t="0" r="0" b="0"/>
                  <wp:wrapNone/>
                  <wp:docPr id="983" name="AutoShape_1664_SpCnt_598"/>
                  <wp:cNvGraphicFramePr/>
                  <a:graphic xmlns:a="http://schemas.openxmlformats.org/drawingml/2006/main">
                    <a:graphicData uri="http://schemas.openxmlformats.org/drawingml/2006/picture">
                      <pic:pic xmlns:pic="http://schemas.openxmlformats.org/drawingml/2006/picture">
                        <pic:nvPicPr>
                          <pic:cNvPr id="983" name="AutoShape_1664_SpCnt_598"/>
                          <pic:cNvPicPr/>
                        </pic:nvPicPr>
                        <pic:blipFill>
                          <a:blip r:embed="rId33"/>
                          <a:stretch>
                            <a:fillRect/>
                          </a:stretch>
                        </pic:blipFill>
                        <pic:spPr>
                          <a:xfrm>
                            <a:off x="0" y="0"/>
                            <a:ext cx="786765" cy="90360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7904" behindDoc="0" locked="0" layoutInCell="1" allowOverlap="1">
                  <wp:simplePos x="0" y="0"/>
                  <wp:positionH relativeFrom="column">
                    <wp:posOffset>0</wp:posOffset>
                  </wp:positionH>
                  <wp:positionV relativeFrom="paragraph">
                    <wp:posOffset>0</wp:posOffset>
                  </wp:positionV>
                  <wp:extent cx="752475" cy="1412240"/>
                  <wp:effectExtent l="0" t="0" r="0" b="0"/>
                  <wp:wrapNone/>
                  <wp:docPr id="986" name="AutoShape_1791_SpCnt_191"/>
                  <wp:cNvGraphicFramePr/>
                  <a:graphic xmlns:a="http://schemas.openxmlformats.org/drawingml/2006/main">
                    <a:graphicData uri="http://schemas.openxmlformats.org/drawingml/2006/picture">
                      <pic:pic xmlns:pic="http://schemas.openxmlformats.org/drawingml/2006/picture">
                        <pic:nvPicPr>
                          <pic:cNvPr id="986" name="AutoShape_1791_SpCnt_191"/>
                          <pic:cNvPicPr/>
                        </pic:nvPicPr>
                        <pic:blipFill>
                          <a:blip r:embed="rId33"/>
                          <a:stretch>
                            <a:fillRect/>
                          </a:stretch>
                        </pic:blipFill>
                        <pic:spPr>
                          <a:xfrm>
                            <a:off x="0" y="0"/>
                            <a:ext cx="75247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89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984" name="AutoShape_1664_SpCnt_599"/>
                  <wp:cNvGraphicFramePr/>
                  <a:graphic xmlns:a="http://schemas.openxmlformats.org/drawingml/2006/main">
                    <a:graphicData uri="http://schemas.openxmlformats.org/drawingml/2006/picture">
                      <pic:pic xmlns:pic="http://schemas.openxmlformats.org/drawingml/2006/picture">
                        <pic:nvPicPr>
                          <pic:cNvPr id="984" name="AutoShape_1664_SpCnt_59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69952" behindDoc="0" locked="0" layoutInCell="1" allowOverlap="1">
                  <wp:simplePos x="0" y="0"/>
                  <wp:positionH relativeFrom="column">
                    <wp:posOffset>0</wp:posOffset>
                  </wp:positionH>
                  <wp:positionV relativeFrom="paragraph">
                    <wp:posOffset>0</wp:posOffset>
                  </wp:positionV>
                  <wp:extent cx="786765" cy="859790"/>
                  <wp:effectExtent l="0" t="0" r="0" b="0"/>
                  <wp:wrapNone/>
                  <wp:docPr id="987" name="AutoShape_1664_SpCnt_600"/>
                  <wp:cNvGraphicFramePr/>
                  <a:graphic xmlns:a="http://schemas.openxmlformats.org/drawingml/2006/main">
                    <a:graphicData uri="http://schemas.openxmlformats.org/drawingml/2006/picture">
                      <pic:pic xmlns:pic="http://schemas.openxmlformats.org/drawingml/2006/picture">
                        <pic:nvPicPr>
                          <pic:cNvPr id="987" name="AutoShape_1664_SpCnt_600"/>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097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1001" name="AutoShape_1664_SpCnt_601"/>
                  <wp:cNvGraphicFramePr/>
                  <a:graphic xmlns:a="http://schemas.openxmlformats.org/drawingml/2006/main">
                    <a:graphicData uri="http://schemas.openxmlformats.org/drawingml/2006/picture">
                      <pic:pic xmlns:pic="http://schemas.openxmlformats.org/drawingml/2006/picture">
                        <pic:nvPicPr>
                          <pic:cNvPr id="1001" name="AutoShape_1664_SpCnt_60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2000" behindDoc="0" locked="0" layoutInCell="1" allowOverlap="1">
                  <wp:simplePos x="0" y="0"/>
                  <wp:positionH relativeFrom="column">
                    <wp:posOffset>0</wp:posOffset>
                  </wp:positionH>
                  <wp:positionV relativeFrom="paragraph">
                    <wp:posOffset>0</wp:posOffset>
                  </wp:positionV>
                  <wp:extent cx="752475" cy="859790"/>
                  <wp:effectExtent l="0" t="0" r="0" b="0"/>
                  <wp:wrapNone/>
                  <wp:docPr id="1012" name="AutoShape_1791_SpCnt_192"/>
                  <wp:cNvGraphicFramePr/>
                  <a:graphic xmlns:a="http://schemas.openxmlformats.org/drawingml/2006/main">
                    <a:graphicData uri="http://schemas.openxmlformats.org/drawingml/2006/picture">
                      <pic:pic xmlns:pic="http://schemas.openxmlformats.org/drawingml/2006/picture">
                        <pic:nvPicPr>
                          <pic:cNvPr id="1012" name="AutoShape_1791_SpCnt_192"/>
                          <pic:cNvPicPr/>
                        </pic:nvPicPr>
                        <pic:blipFill>
                          <a:blip r:embed="rId33"/>
                          <a:stretch>
                            <a:fillRect/>
                          </a:stretch>
                        </pic:blipFill>
                        <pic:spPr>
                          <a:xfrm>
                            <a:off x="0" y="0"/>
                            <a:ext cx="75247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3024"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17" name="AutoShape_1664_SpCnt_602"/>
                  <wp:cNvGraphicFramePr/>
                  <a:graphic xmlns:a="http://schemas.openxmlformats.org/drawingml/2006/main">
                    <a:graphicData uri="http://schemas.openxmlformats.org/drawingml/2006/picture">
                      <pic:pic xmlns:pic="http://schemas.openxmlformats.org/drawingml/2006/picture">
                        <pic:nvPicPr>
                          <pic:cNvPr id="1017" name="AutoShape_1664_SpCnt_60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404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1018" name="AutoShape_1664_SpCnt_603"/>
                  <wp:cNvGraphicFramePr/>
                  <a:graphic xmlns:a="http://schemas.openxmlformats.org/drawingml/2006/main">
                    <a:graphicData uri="http://schemas.openxmlformats.org/drawingml/2006/picture">
                      <pic:pic xmlns:pic="http://schemas.openxmlformats.org/drawingml/2006/picture">
                        <pic:nvPicPr>
                          <pic:cNvPr id="1018" name="AutoShape_1664_SpCnt_603"/>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5072" behindDoc="0" locked="0" layoutInCell="1" allowOverlap="1">
                  <wp:simplePos x="0" y="0"/>
                  <wp:positionH relativeFrom="column">
                    <wp:posOffset>0</wp:posOffset>
                  </wp:positionH>
                  <wp:positionV relativeFrom="paragraph">
                    <wp:posOffset>0</wp:posOffset>
                  </wp:positionV>
                  <wp:extent cx="752475" cy="982345"/>
                  <wp:effectExtent l="0" t="0" r="0" b="0"/>
                  <wp:wrapNone/>
                  <wp:docPr id="990" name="AutoShape_1791_SpCnt_193"/>
                  <wp:cNvGraphicFramePr/>
                  <a:graphic xmlns:a="http://schemas.openxmlformats.org/drawingml/2006/main">
                    <a:graphicData uri="http://schemas.openxmlformats.org/drawingml/2006/picture">
                      <pic:pic xmlns:pic="http://schemas.openxmlformats.org/drawingml/2006/picture">
                        <pic:nvPicPr>
                          <pic:cNvPr id="990" name="AutoShape_1791_SpCnt_193"/>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6096" behindDoc="0" locked="0" layoutInCell="1" allowOverlap="1">
                  <wp:simplePos x="0" y="0"/>
                  <wp:positionH relativeFrom="column">
                    <wp:posOffset>0</wp:posOffset>
                  </wp:positionH>
                  <wp:positionV relativeFrom="paragraph">
                    <wp:posOffset>0</wp:posOffset>
                  </wp:positionV>
                  <wp:extent cx="752475" cy="982345"/>
                  <wp:effectExtent l="0" t="0" r="0" b="0"/>
                  <wp:wrapNone/>
                  <wp:docPr id="994" name="AutoShape_1791_SpCnt_194"/>
                  <wp:cNvGraphicFramePr/>
                  <a:graphic xmlns:a="http://schemas.openxmlformats.org/drawingml/2006/main">
                    <a:graphicData uri="http://schemas.openxmlformats.org/drawingml/2006/picture">
                      <pic:pic xmlns:pic="http://schemas.openxmlformats.org/drawingml/2006/picture">
                        <pic:nvPicPr>
                          <pic:cNvPr id="994" name="AutoShape_1791_SpCnt_194"/>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7120" behindDoc="0" locked="0" layoutInCell="1" allowOverlap="1">
                  <wp:simplePos x="0" y="0"/>
                  <wp:positionH relativeFrom="column">
                    <wp:posOffset>0</wp:posOffset>
                  </wp:positionH>
                  <wp:positionV relativeFrom="paragraph">
                    <wp:posOffset>0</wp:posOffset>
                  </wp:positionV>
                  <wp:extent cx="752475" cy="982345"/>
                  <wp:effectExtent l="0" t="0" r="0" b="0"/>
                  <wp:wrapNone/>
                  <wp:docPr id="1000" name="AutoShape_1791_SpCnt_195"/>
                  <wp:cNvGraphicFramePr/>
                  <a:graphic xmlns:a="http://schemas.openxmlformats.org/drawingml/2006/main">
                    <a:graphicData uri="http://schemas.openxmlformats.org/drawingml/2006/picture">
                      <pic:pic xmlns:pic="http://schemas.openxmlformats.org/drawingml/2006/picture">
                        <pic:nvPicPr>
                          <pic:cNvPr id="1000" name="AutoShape_1791_SpCnt_195"/>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81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08" name="AutoShape_1664_SpCnt_604"/>
                  <wp:cNvGraphicFramePr/>
                  <a:graphic xmlns:a="http://schemas.openxmlformats.org/drawingml/2006/main">
                    <a:graphicData uri="http://schemas.openxmlformats.org/drawingml/2006/picture">
                      <pic:pic xmlns:pic="http://schemas.openxmlformats.org/drawingml/2006/picture">
                        <pic:nvPicPr>
                          <pic:cNvPr id="1008" name="AutoShape_1664_SpCnt_60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79168" behindDoc="0" locked="0" layoutInCell="1" allowOverlap="1">
                  <wp:simplePos x="0" y="0"/>
                  <wp:positionH relativeFrom="column">
                    <wp:posOffset>0</wp:posOffset>
                  </wp:positionH>
                  <wp:positionV relativeFrom="paragraph">
                    <wp:posOffset>0</wp:posOffset>
                  </wp:positionV>
                  <wp:extent cx="786765" cy="1430020"/>
                  <wp:effectExtent l="0" t="0" r="0" b="0"/>
                  <wp:wrapNone/>
                  <wp:docPr id="1005" name="AutoShape_1664_SpCnt_605"/>
                  <wp:cNvGraphicFramePr/>
                  <a:graphic xmlns:a="http://schemas.openxmlformats.org/drawingml/2006/main">
                    <a:graphicData uri="http://schemas.openxmlformats.org/drawingml/2006/picture">
                      <pic:pic xmlns:pic="http://schemas.openxmlformats.org/drawingml/2006/picture">
                        <pic:nvPicPr>
                          <pic:cNvPr id="1005" name="AutoShape_1664_SpCnt_60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0192" behindDoc="0" locked="0" layoutInCell="1" allowOverlap="1">
                  <wp:simplePos x="0" y="0"/>
                  <wp:positionH relativeFrom="column">
                    <wp:posOffset>0</wp:posOffset>
                  </wp:positionH>
                  <wp:positionV relativeFrom="paragraph">
                    <wp:posOffset>0</wp:posOffset>
                  </wp:positionV>
                  <wp:extent cx="752475" cy="1430020"/>
                  <wp:effectExtent l="0" t="0" r="0" b="0"/>
                  <wp:wrapNone/>
                  <wp:docPr id="995" name="AutoShape_1791_SpCnt_196"/>
                  <wp:cNvGraphicFramePr/>
                  <a:graphic xmlns:a="http://schemas.openxmlformats.org/drawingml/2006/main">
                    <a:graphicData uri="http://schemas.openxmlformats.org/drawingml/2006/picture">
                      <pic:pic xmlns:pic="http://schemas.openxmlformats.org/drawingml/2006/picture">
                        <pic:nvPicPr>
                          <pic:cNvPr id="995" name="AutoShape_1791_SpCnt_196"/>
                          <pic:cNvPicPr/>
                        </pic:nvPicPr>
                        <pic:blipFill>
                          <a:blip r:embed="rId33"/>
                          <a:stretch>
                            <a:fillRect/>
                          </a:stretch>
                        </pic:blipFill>
                        <pic:spPr>
                          <a:xfrm>
                            <a:off x="0" y="0"/>
                            <a:ext cx="75247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12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992" name="AutoShape_1664_SpCnt_606"/>
                  <wp:cNvGraphicFramePr/>
                  <a:graphic xmlns:a="http://schemas.openxmlformats.org/drawingml/2006/main">
                    <a:graphicData uri="http://schemas.openxmlformats.org/drawingml/2006/picture">
                      <pic:pic xmlns:pic="http://schemas.openxmlformats.org/drawingml/2006/picture">
                        <pic:nvPicPr>
                          <pic:cNvPr id="992" name="AutoShape_1664_SpCnt_60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224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1013" name="AutoShape_1664_SpCnt_607"/>
                  <wp:cNvGraphicFramePr/>
                  <a:graphic xmlns:a="http://schemas.openxmlformats.org/drawingml/2006/main">
                    <a:graphicData uri="http://schemas.openxmlformats.org/drawingml/2006/picture">
                      <pic:pic xmlns:pic="http://schemas.openxmlformats.org/drawingml/2006/picture">
                        <pic:nvPicPr>
                          <pic:cNvPr id="1013" name="AutoShape_1664_SpCnt_607"/>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3264" behindDoc="0" locked="0" layoutInCell="1" allowOverlap="1">
                  <wp:simplePos x="0" y="0"/>
                  <wp:positionH relativeFrom="column">
                    <wp:posOffset>0</wp:posOffset>
                  </wp:positionH>
                  <wp:positionV relativeFrom="paragraph">
                    <wp:posOffset>0</wp:posOffset>
                  </wp:positionV>
                  <wp:extent cx="786765" cy="982345"/>
                  <wp:effectExtent l="0" t="0" r="0" b="0"/>
                  <wp:wrapNone/>
                  <wp:docPr id="993" name="AutoShape_1664_SpCnt_608"/>
                  <wp:cNvGraphicFramePr/>
                  <a:graphic xmlns:a="http://schemas.openxmlformats.org/drawingml/2006/main">
                    <a:graphicData uri="http://schemas.openxmlformats.org/drawingml/2006/picture">
                      <pic:pic xmlns:pic="http://schemas.openxmlformats.org/drawingml/2006/picture">
                        <pic:nvPicPr>
                          <pic:cNvPr id="993" name="AutoShape_1664_SpCnt_60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4288" behindDoc="0" locked="0" layoutInCell="1" allowOverlap="1">
                  <wp:simplePos x="0" y="0"/>
                  <wp:positionH relativeFrom="column">
                    <wp:posOffset>0</wp:posOffset>
                  </wp:positionH>
                  <wp:positionV relativeFrom="paragraph">
                    <wp:posOffset>0</wp:posOffset>
                  </wp:positionV>
                  <wp:extent cx="786765" cy="1412240"/>
                  <wp:effectExtent l="0" t="0" r="0" b="0"/>
                  <wp:wrapNone/>
                  <wp:docPr id="1002" name="AutoShape_1664_SpCnt_609"/>
                  <wp:cNvGraphicFramePr/>
                  <a:graphic xmlns:a="http://schemas.openxmlformats.org/drawingml/2006/main">
                    <a:graphicData uri="http://schemas.openxmlformats.org/drawingml/2006/picture">
                      <pic:pic xmlns:pic="http://schemas.openxmlformats.org/drawingml/2006/picture">
                        <pic:nvPicPr>
                          <pic:cNvPr id="1002" name="AutoShape_1664_SpCnt_609"/>
                          <pic:cNvPicPr/>
                        </pic:nvPicPr>
                        <pic:blipFill>
                          <a:blip r:embed="rId33"/>
                          <a:stretch>
                            <a:fillRect/>
                          </a:stretch>
                        </pic:blipFill>
                        <pic:spPr>
                          <a:xfrm>
                            <a:off x="0" y="0"/>
                            <a:ext cx="786765" cy="141224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53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96" name="AutoShape_1664_SpCnt_610"/>
                  <wp:cNvGraphicFramePr/>
                  <a:graphic xmlns:a="http://schemas.openxmlformats.org/drawingml/2006/main">
                    <a:graphicData uri="http://schemas.openxmlformats.org/drawingml/2006/picture">
                      <pic:pic xmlns:pic="http://schemas.openxmlformats.org/drawingml/2006/picture">
                        <pic:nvPicPr>
                          <pic:cNvPr id="996" name="AutoShape_1664_SpCnt_61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6336"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97" name="AutoShape_1664_SpCnt_611"/>
                  <wp:cNvGraphicFramePr/>
                  <a:graphic xmlns:a="http://schemas.openxmlformats.org/drawingml/2006/main">
                    <a:graphicData uri="http://schemas.openxmlformats.org/drawingml/2006/picture">
                      <pic:pic xmlns:pic="http://schemas.openxmlformats.org/drawingml/2006/picture">
                        <pic:nvPicPr>
                          <pic:cNvPr id="997" name="AutoShape_1664_SpCnt_61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7360" behindDoc="0" locked="0" layoutInCell="1" allowOverlap="1">
                  <wp:simplePos x="0" y="0"/>
                  <wp:positionH relativeFrom="column">
                    <wp:posOffset>0</wp:posOffset>
                  </wp:positionH>
                  <wp:positionV relativeFrom="paragraph">
                    <wp:posOffset>0</wp:posOffset>
                  </wp:positionV>
                  <wp:extent cx="752475" cy="982345"/>
                  <wp:effectExtent l="0" t="0" r="0" b="0"/>
                  <wp:wrapNone/>
                  <wp:docPr id="1014" name="AutoShape_1791_SpCnt_197"/>
                  <wp:cNvGraphicFramePr/>
                  <a:graphic xmlns:a="http://schemas.openxmlformats.org/drawingml/2006/main">
                    <a:graphicData uri="http://schemas.openxmlformats.org/drawingml/2006/picture">
                      <pic:pic xmlns:pic="http://schemas.openxmlformats.org/drawingml/2006/picture">
                        <pic:nvPicPr>
                          <pic:cNvPr id="1014" name="AutoShape_1791_SpCnt_197"/>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8384" behindDoc="0" locked="0" layoutInCell="1" allowOverlap="1">
                  <wp:simplePos x="0" y="0"/>
                  <wp:positionH relativeFrom="column">
                    <wp:posOffset>0</wp:posOffset>
                  </wp:positionH>
                  <wp:positionV relativeFrom="paragraph">
                    <wp:posOffset>0</wp:posOffset>
                  </wp:positionV>
                  <wp:extent cx="786765" cy="859790"/>
                  <wp:effectExtent l="0" t="0" r="0" b="0"/>
                  <wp:wrapNone/>
                  <wp:docPr id="1009" name="AutoShape_1664_SpCnt_612"/>
                  <wp:cNvGraphicFramePr/>
                  <a:graphic xmlns:a="http://schemas.openxmlformats.org/drawingml/2006/main">
                    <a:graphicData uri="http://schemas.openxmlformats.org/drawingml/2006/picture">
                      <pic:pic xmlns:pic="http://schemas.openxmlformats.org/drawingml/2006/picture">
                        <pic:nvPicPr>
                          <pic:cNvPr id="1009" name="AutoShape_1664_SpCnt_612"/>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89408"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03" name="AutoShape_1664_SpCnt_613"/>
                  <wp:cNvGraphicFramePr/>
                  <a:graphic xmlns:a="http://schemas.openxmlformats.org/drawingml/2006/main">
                    <a:graphicData uri="http://schemas.openxmlformats.org/drawingml/2006/picture">
                      <pic:pic xmlns:pic="http://schemas.openxmlformats.org/drawingml/2006/picture">
                        <pic:nvPicPr>
                          <pic:cNvPr id="1003" name="AutoShape_1664_SpCnt_61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0432" behindDoc="0" locked="0" layoutInCell="1" allowOverlap="1">
                  <wp:simplePos x="0" y="0"/>
                  <wp:positionH relativeFrom="column">
                    <wp:posOffset>0</wp:posOffset>
                  </wp:positionH>
                  <wp:positionV relativeFrom="paragraph">
                    <wp:posOffset>0</wp:posOffset>
                  </wp:positionV>
                  <wp:extent cx="786765" cy="982345"/>
                  <wp:effectExtent l="0" t="0" r="0" b="0"/>
                  <wp:wrapNone/>
                  <wp:docPr id="999" name="AutoShape_1664_SpCnt_614"/>
                  <wp:cNvGraphicFramePr/>
                  <a:graphic xmlns:a="http://schemas.openxmlformats.org/drawingml/2006/main">
                    <a:graphicData uri="http://schemas.openxmlformats.org/drawingml/2006/picture">
                      <pic:pic xmlns:pic="http://schemas.openxmlformats.org/drawingml/2006/picture">
                        <pic:nvPicPr>
                          <pic:cNvPr id="999" name="AutoShape_1664_SpCnt_61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1456" behindDoc="0" locked="0" layoutInCell="1" allowOverlap="1">
                  <wp:simplePos x="0" y="0"/>
                  <wp:positionH relativeFrom="column">
                    <wp:posOffset>0</wp:posOffset>
                  </wp:positionH>
                  <wp:positionV relativeFrom="paragraph">
                    <wp:posOffset>0</wp:posOffset>
                  </wp:positionV>
                  <wp:extent cx="786765" cy="1021715"/>
                  <wp:effectExtent l="0" t="0" r="0" b="0"/>
                  <wp:wrapNone/>
                  <wp:docPr id="989" name="AutoShape_1664_SpCnt_615"/>
                  <wp:cNvGraphicFramePr/>
                  <a:graphic xmlns:a="http://schemas.openxmlformats.org/drawingml/2006/main">
                    <a:graphicData uri="http://schemas.openxmlformats.org/drawingml/2006/picture">
                      <pic:pic xmlns:pic="http://schemas.openxmlformats.org/drawingml/2006/picture">
                        <pic:nvPicPr>
                          <pic:cNvPr id="989" name="AutoShape_1664_SpCnt_615"/>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2480" behindDoc="0" locked="0" layoutInCell="1" allowOverlap="1">
                  <wp:simplePos x="0" y="0"/>
                  <wp:positionH relativeFrom="column">
                    <wp:posOffset>0</wp:posOffset>
                  </wp:positionH>
                  <wp:positionV relativeFrom="paragraph">
                    <wp:posOffset>0</wp:posOffset>
                  </wp:positionV>
                  <wp:extent cx="786765" cy="982345"/>
                  <wp:effectExtent l="0" t="0" r="0" b="0"/>
                  <wp:wrapNone/>
                  <wp:docPr id="998" name="AutoShape_1664_SpCnt_616"/>
                  <wp:cNvGraphicFramePr/>
                  <a:graphic xmlns:a="http://schemas.openxmlformats.org/drawingml/2006/main">
                    <a:graphicData uri="http://schemas.openxmlformats.org/drawingml/2006/picture">
                      <pic:pic xmlns:pic="http://schemas.openxmlformats.org/drawingml/2006/picture">
                        <pic:nvPicPr>
                          <pic:cNvPr id="998" name="AutoShape_1664_SpCnt_61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350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1010" name="AutoShape_1664_SpCnt_617"/>
                  <wp:cNvGraphicFramePr/>
                  <a:graphic xmlns:a="http://schemas.openxmlformats.org/drawingml/2006/main">
                    <a:graphicData uri="http://schemas.openxmlformats.org/drawingml/2006/picture">
                      <pic:pic xmlns:pic="http://schemas.openxmlformats.org/drawingml/2006/picture">
                        <pic:nvPicPr>
                          <pic:cNvPr id="1010" name="AutoShape_1664_SpCnt_617"/>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4528"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04" name="AutoShape_1664_SpCnt_618"/>
                  <wp:cNvGraphicFramePr/>
                  <a:graphic xmlns:a="http://schemas.openxmlformats.org/drawingml/2006/main">
                    <a:graphicData uri="http://schemas.openxmlformats.org/drawingml/2006/picture">
                      <pic:pic xmlns:pic="http://schemas.openxmlformats.org/drawingml/2006/picture">
                        <pic:nvPicPr>
                          <pic:cNvPr id="1004" name="AutoShape_1664_SpCnt_61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5552" behindDoc="0" locked="0" layoutInCell="1" allowOverlap="1">
                  <wp:simplePos x="0" y="0"/>
                  <wp:positionH relativeFrom="column">
                    <wp:posOffset>0</wp:posOffset>
                  </wp:positionH>
                  <wp:positionV relativeFrom="paragraph">
                    <wp:posOffset>0</wp:posOffset>
                  </wp:positionV>
                  <wp:extent cx="786765" cy="1021715"/>
                  <wp:effectExtent l="0" t="0" r="0" b="0"/>
                  <wp:wrapNone/>
                  <wp:docPr id="1006" name="AutoShape_1664_SpCnt_619"/>
                  <wp:cNvGraphicFramePr/>
                  <a:graphic xmlns:a="http://schemas.openxmlformats.org/drawingml/2006/main">
                    <a:graphicData uri="http://schemas.openxmlformats.org/drawingml/2006/picture">
                      <pic:pic xmlns:pic="http://schemas.openxmlformats.org/drawingml/2006/picture">
                        <pic:nvPicPr>
                          <pic:cNvPr id="1006" name="AutoShape_1664_SpCnt_619"/>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6576"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07" name="AutoShape_1664_SpCnt_620"/>
                  <wp:cNvGraphicFramePr/>
                  <a:graphic xmlns:a="http://schemas.openxmlformats.org/drawingml/2006/main">
                    <a:graphicData uri="http://schemas.openxmlformats.org/drawingml/2006/picture">
                      <pic:pic xmlns:pic="http://schemas.openxmlformats.org/drawingml/2006/picture">
                        <pic:nvPicPr>
                          <pic:cNvPr id="1007" name="AutoShape_1664_SpCnt_620"/>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760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88" name="AutoShape_1664_SpCnt_621"/>
                  <wp:cNvGraphicFramePr/>
                  <a:graphic xmlns:a="http://schemas.openxmlformats.org/drawingml/2006/main">
                    <a:graphicData uri="http://schemas.openxmlformats.org/drawingml/2006/picture">
                      <pic:pic xmlns:pic="http://schemas.openxmlformats.org/drawingml/2006/picture">
                        <pic:nvPicPr>
                          <pic:cNvPr id="988" name="AutoShape_1664_SpCnt_621"/>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8624" behindDoc="0" locked="0" layoutInCell="1" allowOverlap="1">
                  <wp:simplePos x="0" y="0"/>
                  <wp:positionH relativeFrom="column">
                    <wp:posOffset>0</wp:posOffset>
                  </wp:positionH>
                  <wp:positionV relativeFrom="paragraph">
                    <wp:posOffset>0</wp:posOffset>
                  </wp:positionV>
                  <wp:extent cx="752475" cy="982345"/>
                  <wp:effectExtent l="0" t="0" r="0" b="0"/>
                  <wp:wrapNone/>
                  <wp:docPr id="1011" name="AutoShape_1791_SpCnt_198"/>
                  <wp:cNvGraphicFramePr/>
                  <a:graphic xmlns:a="http://schemas.openxmlformats.org/drawingml/2006/main">
                    <a:graphicData uri="http://schemas.openxmlformats.org/drawingml/2006/picture">
                      <pic:pic xmlns:pic="http://schemas.openxmlformats.org/drawingml/2006/picture">
                        <pic:nvPicPr>
                          <pic:cNvPr id="1011" name="AutoShape_1791_SpCnt_198"/>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699648" behindDoc="0" locked="0" layoutInCell="1" allowOverlap="1">
                  <wp:simplePos x="0" y="0"/>
                  <wp:positionH relativeFrom="column">
                    <wp:posOffset>0</wp:posOffset>
                  </wp:positionH>
                  <wp:positionV relativeFrom="paragraph">
                    <wp:posOffset>0</wp:posOffset>
                  </wp:positionV>
                  <wp:extent cx="786765" cy="859790"/>
                  <wp:effectExtent l="0" t="0" r="0" b="0"/>
                  <wp:wrapNone/>
                  <wp:docPr id="1015" name="AutoShape_1664_SpCnt_622"/>
                  <wp:cNvGraphicFramePr/>
                  <a:graphic xmlns:a="http://schemas.openxmlformats.org/drawingml/2006/main">
                    <a:graphicData uri="http://schemas.openxmlformats.org/drawingml/2006/picture">
                      <pic:pic xmlns:pic="http://schemas.openxmlformats.org/drawingml/2006/picture">
                        <pic:nvPicPr>
                          <pic:cNvPr id="1015" name="AutoShape_1664_SpCnt_622"/>
                          <pic:cNvPicPr/>
                        </pic:nvPicPr>
                        <pic:blipFill>
                          <a:blip r:embed="rId33"/>
                          <a:stretch>
                            <a:fillRect/>
                          </a:stretch>
                        </pic:blipFill>
                        <pic:spPr>
                          <a:xfrm>
                            <a:off x="0" y="0"/>
                            <a:ext cx="786765" cy="8597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0672"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16" name="AutoShape_1664_SpCnt_623"/>
                  <wp:cNvGraphicFramePr/>
                  <a:graphic xmlns:a="http://schemas.openxmlformats.org/drawingml/2006/main">
                    <a:graphicData uri="http://schemas.openxmlformats.org/drawingml/2006/picture">
                      <pic:pic xmlns:pic="http://schemas.openxmlformats.org/drawingml/2006/picture">
                        <pic:nvPicPr>
                          <pic:cNvPr id="1016" name="AutoShape_1664_SpCnt_623"/>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1696"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19" name="AutoShape_1664_SpCnt_624"/>
                  <wp:cNvGraphicFramePr/>
                  <a:graphic xmlns:a="http://schemas.openxmlformats.org/drawingml/2006/main">
                    <a:graphicData uri="http://schemas.openxmlformats.org/drawingml/2006/picture">
                      <pic:pic xmlns:pic="http://schemas.openxmlformats.org/drawingml/2006/picture">
                        <pic:nvPicPr>
                          <pic:cNvPr id="1019" name="AutoShape_1664_SpCnt_624"/>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2720" behindDoc="0" locked="0" layoutInCell="1" allowOverlap="1">
                  <wp:simplePos x="0" y="0"/>
                  <wp:positionH relativeFrom="column">
                    <wp:posOffset>0</wp:posOffset>
                  </wp:positionH>
                  <wp:positionV relativeFrom="paragraph">
                    <wp:posOffset>0</wp:posOffset>
                  </wp:positionV>
                  <wp:extent cx="786765" cy="1430020"/>
                  <wp:effectExtent l="0" t="0" r="0" b="0"/>
                  <wp:wrapNone/>
                  <wp:docPr id="991" name="AutoShape_1664_SpCnt_625"/>
                  <wp:cNvGraphicFramePr/>
                  <a:graphic xmlns:a="http://schemas.openxmlformats.org/drawingml/2006/main">
                    <a:graphicData uri="http://schemas.openxmlformats.org/drawingml/2006/picture">
                      <pic:pic xmlns:pic="http://schemas.openxmlformats.org/drawingml/2006/picture">
                        <pic:nvPicPr>
                          <pic:cNvPr id="991" name="AutoShape_1664_SpCnt_625"/>
                          <pic:cNvPicPr/>
                        </pic:nvPicPr>
                        <pic:blipFill>
                          <a:blip r:embed="rId33"/>
                          <a:stretch>
                            <a:fillRect/>
                          </a:stretch>
                        </pic:blipFill>
                        <pic:spPr>
                          <a:xfrm>
                            <a:off x="0" y="0"/>
                            <a:ext cx="786765" cy="143002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3744"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31" name="AutoShape_1664_SpCnt_626"/>
                  <wp:cNvGraphicFramePr/>
                  <a:graphic xmlns:a="http://schemas.openxmlformats.org/drawingml/2006/main">
                    <a:graphicData uri="http://schemas.openxmlformats.org/drawingml/2006/picture">
                      <pic:pic xmlns:pic="http://schemas.openxmlformats.org/drawingml/2006/picture">
                        <pic:nvPicPr>
                          <pic:cNvPr id="1031" name="AutoShape_1664_SpCnt_626"/>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4768" behindDoc="0" locked="0" layoutInCell="1" allowOverlap="1">
                  <wp:simplePos x="0" y="0"/>
                  <wp:positionH relativeFrom="column">
                    <wp:posOffset>0</wp:posOffset>
                  </wp:positionH>
                  <wp:positionV relativeFrom="paragraph">
                    <wp:posOffset>0</wp:posOffset>
                  </wp:positionV>
                  <wp:extent cx="752475" cy="982345"/>
                  <wp:effectExtent l="0" t="0" r="0" b="0"/>
                  <wp:wrapNone/>
                  <wp:docPr id="1020" name="AutoShape_1791_SpCnt_199"/>
                  <wp:cNvGraphicFramePr/>
                  <a:graphic xmlns:a="http://schemas.openxmlformats.org/drawingml/2006/main">
                    <a:graphicData uri="http://schemas.openxmlformats.org/drawingml/2006/picture">
                      <pic:pic xmlns:pic="http://schemas.openxmlformats.org/drawingml/2006/picture">
                        <pic:nvPicPr>
                          <pic:cNvPr id="1020" name="AutoShape_1791_SpCnt_199"/>
                          <pic:cNvPicPr/>
                        </pic:nvPicPr>
                        <pic:blipFill>
                          <a:blip r:embed="rId33"/>
                          <a:stretch>
                            <a:fillRect/>
                          </a:stretch>
                        </pic:blipFill>
                        <pic:spPr>
                          <a:xfrm>
                            <a:off x="0" y="0"/>
                            <a:ext cx="75247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5792"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21" name="AutoShape_1664_SpCnt_627"/>
                  <wp:cNvGraphicFramePr/>
                  <a:graphic xmlns:a="http://schemas.openxmlformats.org/drawingml/2006/main">
                    <a:graphicData uri="http://schemas.openxmlformats.org/drawingml/2006/picture">
                      <pic:pic xmlns:pic="http://schemas.openxmlformats.org/drawingml/2006/picture">
                        <pic:nvPicPr>
                          <pic:cNvPr id="1021" name="AutoShape_1664_SpCnt_627"/>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6816"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24" name="AutoShape_1664_SpCnt_628"/>
                  <wp:cNvGraphicFramePr/>
                  <a:graphic xmlns:a="http://schemas.openxmlformats.org/drawingml/2006/main">
                    <a:graphicData uri="http://schemas.openxmlformats.org/drawingml/2006/picture">
                      <pic:pic xmlns:pic="http://schemas.openxmlformats.org/drawingml/2006/picture">
                        <pic:nvPicPr>
                          <pic:cNvPr id="1024" name="AutoShape_1664_SpCnt_628"/>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7840"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22" name="AutoShape_1664_SpCnt_629"/>
                  <wp:cNvGraphicFramePr/>
                  <a:graphic xmlns:a="http://schemas.openxmlformats.org/drawingml/2006/main">
                    <a:graphicData uri="http://schemas.openxmlformats.org/drawingml/2006/picture">
                      <pic:pic xmlns:pic="http://schemas.openxmlformats.org/drawingml/2006/picture">
                        <pic:nvPicPr>
                          <pic:cNvPr id="1022" name="AutoShape_1664_SpCnt_629"/>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8864" behindDoc="0" locked="0" layoutInCell="1" allowOverlap="1">
                  <wp:simplePos x="0" y="0"/>
                  <wp:positionH relativeFrom="column">
                    <wp:posOffset>0</wp:posOffset>
                  </wp:positionH>
                  <wp:positionV relativeFrom="paragraph">
                    <wp:posOffset>0</wp:posOffset>
                  </wp:positionV>
                  <wp:extent cx="786765" cy="1021715"/>
                  <wp:effectExtent l="0" t="0" r="0" b="0"/>
                  <wp:wrapNone/>
                  <wp:docPr id="1032" name="AutoShape_1664_SpCnt_630"/>
                  <wp:cNvGraphicFramePr/>
                  <a:graphic xmlns:a="http://schemas.openxmlformats.org/drawingml/2006/main">
                    <a:graphicData uri="http://schemas.openxmlformats.org/drawingml/2006/picture">
                      <pic:pic xmlns:pic="http://schemas.openxmlformats.org/drawingml/2006/picture">
                        <pic:nvPicPr>
                          <pic:cNvPr id="1032" name="AutoShape_1664_SpCnt_630"/>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09888" behindDoc="0" locked="0" layoutInCell="1" allowOverlap="1">
                  <wp:simplePos x="0" y="0"/>
                  <wp:positionH relativeFrom="column">
                    <wp:posOffset>0</wp:posOffset>
                  </wp:positionH>
                  <wp:positionV relativeFrom="paragraph">
                    <wp:posOffset>0</wp:posOffset>
                  </wp:positionV>
                  <wp:extent cx="786765" cy="1021715"/>
                  <wp:effectExtent l="0" t="0" r="0" b="0"/>
                  <wp:wrapNone/>
                  <wp:docPr id="1023" name="AutoShape_1664_SpCnt_631"/>
                  <wp:cNvGraphicFramePr/>
                  <a:graphic xmlns:a="http://schemas.openxmlformats.org/drawingml/2006/main">
                    <a:graphicData uri="http://schemas.openxmlformats.org/drawingml/2006/picture">
                      <pic:pic xmlns:pic="http://schemas.openxmlformats.org/drawingml/2006/picture">
                        <pic:nvPicPr>
                          <pic:cNvPr id="1023" name="AutoShape_1664_SpCnt_631"/>
                          <pic:cNvPicPr/>
                        </pic:nvPicPr>
                        <pic:blipFill>
                          <a:blip r:embed="rId33"/>
                          <a:stretch>
                            <a:fillRect/>
                          </a:stretch>
                        </pic:blipFill>
                        <pic:spPr>
                          <a:xfrm>
                            <a:off x="0" y="0"/>
                            <a:ext cx="786765" cy="102171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10912" behindDoc="0" locked="0" layoutInCell="1" allowOverlap="1">
                  <wp:simplePos x="0" y="0"/>
                  <wp:positionH relativeFrom="column">
                    <wp:posOffset>0</wp:posOffset>
                  </wp:positionH>
                  <wp:positionV relativeFrom="paragraph">
                    <wp:posOffset>0</wp:posOffset>
                  </wp:positionV>
                  <wp:extent cx="786765" cy="982345"/>
                  <wp:effectExtent l="0" t="0" r="0" b="0"/>
                  <wp:wrapNone/>
                  <wp:docPr id="1030" name="AutoShape_1664_SpCnt_632"/>
                  <wp:cNvGraphicFramePr/>
                  <a:graphic xmlns:a="http://schemas.openxmlformats.org/drawingml/2006/main">
                    <a:graphicData uri="http://schemas.openxmlformats.org/drawingml/2006/picture">
                      <pic:pic xmlns:pic="http://schemas.openxmlformats.org/drawingml/2006/picture">
                        <pic:nvPicPr>
                          <pic:cNvPr id="1030" name="AutoShape_1664_SpCnt_632"/>
                          <pic:cNvPicPr/>
                        </pic:nvPicPr>
                        <pic:blipFill>
                          <a:blip r:embed="rId33"/>
                          <a:stretch>
                            <a:fillRect/>
                          </a:stretch>
                        </pic:blipFill>
                        <pic:spPr>
                          <a:xfrm>
                            <a:off x="0" y="0"/>
                            <a:ext cx="786765" cy="982345"/>
                          </a:xfrm>
                          <a:prstGeom prst="rect">
                            <a:avLst/>
                          </a:prstGeom>
                          <a:noFill/>
                          <a:ln>
                            <a:noFill/>
                          </a:ln>
                        </pic:spPr>
                      </pic:pic>
                    </a:graphicData>
                  </a:graphic>
                </wp:anchor>
              </w:drawing>
            </w:r>
            <w:r>
              <w:rPr>
                <w:rFonts w:hint="eastAsia" w:ascii="宋体" w:hAnsi="宋体" w:eastAsia="宋体" w:cs="宋体"/>
                <w:color w:val="000000"/>
                <w:kern w:val="0"/>
                <w:sz w:val="18"/>
                <w:szCs w:val="18"/>
                <w:lang w:bidi="ar"/>
              </w:rPr>
              <w:t>1200*2000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材料采用AAA级橡胶木实木框架，整根木料大板直拼。松木加密排骨架，油漆采用环保水性漆,五底三面,达到色泽美观。榫卯连接。</w:t>
            </w:r>
          </w:p>
        </w:tc>
        <w:tc>
          <w:tcPr>
            <w:tcW w:w="582"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shd w:val="clear" w:color="auto" w:fill="FFFFFF"/>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3065" w:type="dxa"/>
            <w:shd w:val="clear" w:color="auto" w:fill="FFFFFF"/>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shd w:val="clear" w:color="auto" w:fill="FFFFFF"/>
              </w:rPr>
              <w:drawing>
                <wp:anchor distT="0" distB="0" distL="114300" distR="114300" simplePos="0" relativeHeight="252711936" behindDoc="0" locked="0" layoutInCell="1" allowOverlap="1">
                  <wp:simplePos x="0" y="0"/>
                  <wp:positionH relativeFrom="column">
                    <wp:posOffset>142875</wp:posOffset>
                  </wp:positionH>
                  <wp:positionV relativeFrom="paragraph">
                    <wp:posOffset>15240</wp:posOffset>
                  </wp:positionV>
                  <wp:extent cx="1288415" cy="965200"/>
                  <wp:effectExtent l="0" t="0" r="6985" b="6350"/>
                  <wp:wrapNone/>
                  <wp:docPr id="1033" name="图片_7"/>
                  <wp:cNvGraphicFramePr/>
                  <a:graphic xmlns:a="http://schemas.openxmlformats.org/drawingml/2006/main">
                    <a:graphicData uri="http://schemas.openxmlformats.org/drawingml/2006/picture">
                      <pic:pic xmlns:pic="http://schemas.openxmlformats.org/drawingml/2006/picture">
                        <pic:nvPicPr>
                          <pic:cNvPr id="1033" name="图片_7"/>
                          <pic:cNvPicPr/>
                        </pic:nvPicPr>
                        <pic:blipFill>
                          <a:blip r:embed="rId144"/>
                          <a:stretch>
                            <a:fillRect/>
                          </a:stretch>
                        </pic:blipFill>
                        <pic:spPr>
                          <a:xfrm>
                            <a:off x="0" y="0"/>
                            <a:ext cx="1288415" cy="965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3</w:t>
            </w:r>
          </w:p>
        </w:tc>
        <w:tc>
          <w:tcPr>
            <w:tcW w:w="808"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衣柜</w:t>
            </w:r>
          </w:p>
        </w:tc>
        <w:tc>
          <w:tcPr>
            <w:tcW w:w="1144"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900*450*1800</w:t>
            </w:r>
          </w:p>
        </w:tc>
        <w:tc>
          <w:tcPr>
            <w:tcW w:w="3683" w:type="dxa"/>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材质：采用环保0.8mm厚冷轧钢板，经模具化钣金流水线精工而成。耐压、强度大、抗冲击不易变形。喷塑材料采用绿色环保型粉沫，对人体及周围环境不产生危害，无毒、无副作用，使用时无异味。链接标准件（镀锌）、支撑加固辅件耐磨耐压，硬度满足称重要求。五金件及其他配件均选用钢制办公家具专用配件，环保、耐磨、触摸面光滑，边角无刺尖</w:t>
            </w:r>
          </w:p>
        </w:tc>
        <w:tc>
          <w:tcPr>
            <w:tcW w:w="582"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3065"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2712960" behindDoc="0" locked="0" layoutInCell="1" allowOverlap="1">
                  <wp:simplePos x="0" y="0"/>
                  <wp:positionH relativeFrom="column">
                    <wp:posOffset>419100</wp:posOffset>
                  </wp:positionH>
                  <wp:positionV relativeFrom="paragraph">
                    <wp:posOffset>123825</wp:posOffset>
                  </wp:positionV>
                  <wp:extent cx="715010" cy="1334770"/>
                  <wp:effectExtent l="0" t="0" r="8890" b="17780"/>
                  <wp:wrapNone/>
                  <wp:docPr id="1025" name="图片_1131"/>
                  <wp:cNvGraphicFramePr/>
                  <a:graphic xmlns:a="http://schemas.openxmlformats.org/drawingml/2006/main">
                    <a:graphicData uri="http://schemas.openxmlformats.org/drawingml/2006/picture">
                      <pic:pic xmlns:pic="http://schemas.openxmlformats.org/drawingml/2006/picture">
                        <pic:nvPicPr>
                          <pic:cNvPr id="1025" name="图片_1131"/>
                          <pic:cNvPicPr/>
                        </pic:nvPicPr>
                        <pic:blipFill>
                          <a:blip r:embed="rId145"/>
                          <a:stretch>
                            <a:fillRect/>
                          </a:stretch>
                        </pic:blipFill>
                        <pic:spPr>
                          <a:xfrm>
                            <a:off x="0" y="0"/>
                            <a:ext cx="715010" cy="1334770"/>
                          </a:xfrm>
                          <a:prstGeom prst="rect">
                            <a:avLst/>
                          </a:prstGeom>
                          <a:noFill/>
                          <a:ln>
                            <a:noFill/>
                          </a:ln>
                        </pic:spPr>
                      </pic:pic>
                    </a:graphicData>
                  </a:graphic>
                </wp:anchor>
              </w:drawing>
            </w:r>
            <w:r>
              <w:rPr>
                <w:rFonts w:hint="eastAsia" w:ascii="宋体" w:hAnsi="宋体" w:eastAsia="宋体" w:cs="宋体"/>
                <w:color w:val="000000"/>
                <w:kern w:val="0"/>
                <w:sz w:val="20"/>
                <w:szCs w:val="20"/>
                <w:bdr w:val="single" w:color="000000" w:sz="4" w:space="0"/>
              </w:rPr>
              <w:drawing>
                <wp:anchor distT="0" distB="0" distL="114300" distR="114300" simplePos="0" relativeHeight="252713984" behindDoc="0" locked="0" layoutInCell="1" allowOverlap="1">
                  <wp:simplePos x="0" y="0"/>
                  <wp:positionH relativeFrom="column">
                    <wp:posOffset>1046480</wp:posOffset>
                  </wp:positionH>
                  <wp:positionV relativeFrom="paragraph">
                    <wp:posOffset>0</wp:posOffset>
                  </wp:positionV>
                  <wp:extent cx="1002665" cy="1270"/>
                  <wp:effectExtent l="0" t="0" r="0" b="0"/>
                  <wp:wrapNone/>
                  <wp:docPr id="1027" name="图片_1130"/>
                  <wp:cNvGraphicFramePr/>
                  <a:graphic xmlns:a="http://schemas.openxmlformats.org/drawingml/2006/main">
                    <a:graphicData uri="http://schemas.openxmlformats.org/drawingml/2006/picture">
                      <pic:pic xmlns:pic="http://schemas.openxmlformats.org/drawingml/2006/picture">
                        <pic:nvPicPr>
                          <pic:cNvPr id="1027" name="图片_1130"/>
                          <pic:cNvPicPr/>
                        </pic:nvPicPr>
                        <pic:blipFill>
                          <a:blip r:embed="rId51"/>
                          <a:stretch>
                            <a:fillRect/>
                          </a:stretch>
                        </pic:blipFill>
                        <pic:spPr>
                          <a:xfrm>
                            <a:off x="0" y="0"/>
                            <a:ext cx="1002665" cy="1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4</w:t>
            </w:r>
          </w:p>
        </w:tc>
        <w:tc>
          <w:tcPr>
            <w:tcW w:w="808"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矮柜</w:t>
            </w:r>
          </w:p>
        </w:tc>
        <w:tc>
          <w:tcPr>
            <w:tcW w:w="1144"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1600*400*1200</w:t>
            </w:r>
          </w:p>
        </w:tc>
        <w:tc>
          <w:tcPr>
            <w:tcW w:w="3683" w:type="dxa"/>
            <w:shd w:val="clear" w:color="auto" w:fill="auto"/>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1、基材：选用环保16mmE1级实木颗粒板，贴三聚氰胺面纸，耐划，坚固、美观、产品完全符合国家标准，其甲醛释放量为零。</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8"/>
                <w:szCs w:val="18"/>
                <w:lang w:bidi="ar"/>
              </w:rPr>
              <w:t xml:space="preserve">2、采用厚度≥2.0mm耐老化PVC封边条封边，甲醛释放量达到国家环保水平。表面光滑、平整、无毛刺、无节疤，走线孔内缘及隐蔽部位全部做封闭处理，起到开孔部位不释放甲醛特性，物理性能佳，不易变形及开裂。 </w:t>
            </w:r>
            <w:r>
              <w:rPr>
                <w:rFonts w:hint="eastAsia" w:ascii="宋体" w:hAnsi="宋体" w:eastAsia="宋体" w:cs="宋体"/>
                <w:color w:val="000000"/>
                <w:kern w:val="0"/>
                <w:sz w:val="20"/>
                <w:szCs w:val="20"/>
                <w:lang w:bidi="ar"/>
              </w:rPr>
              <w:t xml:space="preserve">    </w:t>
            </w:r>
          </w:p>
        </w:tc>
        <w:tc>
          <w:tcPr>
            <w:tcW w:w="582"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487" w:type="dxa"/>
            <w:shd w:val="clear" w:color="auto" w:fill="FFFFFF"/>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3065" w:type="dxa"/>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2715008" behindDoc="0" locked="0" layoutInCell="1" allowOverlap="1">
                  <wp:simplePos x="0" y="0"/>
                  <wp:positionH relativeFrom="column">
                    <wp:posOffset>123825</wp:posOffset>
                  </wp:positionH>
                  <wp:positionV relativeFrom="paragraph">
                    <wp:posOffset>228600</wp:posOffset>
                  </wp:positionV>
                  <wp:extent cx="1581150" cy="1061085"/>
                  <wp:effectExtent l="0" t="0" r="0" b="5715"/>
                  <wp:wrapNone/>
                  <wp:docPr id="1035" name="图片_1132"/>
                  <wp:cNvGraphicFramePr/>
                  <a:graphic xmlns:a="http://schemas.openxmlformats.org/drawingml/2006/main">
                    <a:graphicData uri="http://schemas.openxmlformats.org/drawingml/2006/picture">
                      <pic:pic xmlns:pic="http://schemas.openxmlformats.org/drawingml/2006/picture">
                        <pic:nvPicPr>
                          <pic:cNvPr id="1035" name="图片_1132"/>
                          <pic:cNvPicPr/>
                        </pic:nvPicPr>
                        <pic:blipFill>
                          <a:blip r:embed="rId146"/>
                          <a:stretch>
                            <a:fillRect/>
                          </a:stretch>
                        </pic:blipFill>
                        <pic:spPr>
                          <a:xfrm>
                            <a:off x="0" y="0"/>
                            <a:ext cx="158115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5</w:t>
            </w:r>
          </w:p>
        </w:tc>
        <w:tc>
          <w:tcPr>
            <w:tcW w:w="808" w:type="dxa"/>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折叠椅</w:t>
            </w:r>
          </w:p>
        </w:tc>
        <w:tc>
          <w:tcPr>
            <w:tcW w:w="1144" w:type="dxa"/>
            <w:shd w:val="clear" w:color="auto"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495*530*790</w:t>
            </w:r>
          </w:p>
        </w:tc>
        <w:tc>
          <w:tcPr>
            <w:tcW w:w="3683" w:type="dxa"/>
            <w:shd w:val="clear" w:color="auto" w:fill="FFFFFF"/>
            <w:vAlign w:val="center"/>
          </w:tcPr>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A. 椅背：</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1.材质：采</w:t>
            </w:r>
            <w:r>
              <w:rPr>
                <w:rFonts w:hint="eastAsia" w:asciiTheme="minorEastAsia" w:hAnsiTheme="minorEastAsia" w:cstheme="minorEastAsia"/>
                <w:sz w:val="18"/>
                <w:szCs w:val="18"/>
              </w:rPr>
              <w:t>用</w:t>
            </w:r>
            <w:r>
              <w:rPr>
                <w:rFonts w:hint="eastAsia" w:asciiTheme="minorEastAsia" w:hAnsiTheme="minorEastAsia" w:cstheme="minorEastAsia"/>
                <w:sz w:val="18"/>
                <w:szCs w:val="18"/>
                <w:lang w:bidi="ar"/>
              </w:rPr>
              <w:t>PP塑料一体射出成型，不得采用回收料生产。</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2.椅背套铝管整体尺寸：长450mm×宽195mm。</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3.功能：靠背曲线得需契合人体脊柱的弯曲度，可承托背部。</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B. 坐垫：</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1.材质：采</w:t>
            </w:r>
            <w:r>
              <w:rPr>
                <w:rFonts w:hint="eastAsia" w:asciiTheme="minorEastAsia" w:hAnsiTheme="minorEastAsia" w:cstheme="minorEastAsia"/>
                <w:sz w:val="18"/>
                <w:szCs w:val="18"/>
              </w:rPr>
              <w:t>用</w:t>
            </w:r>
            <w:r>
              <w:rPr>
                <w:rFonts w:hint="eastAsia" w:asciiTheme="minorEastAsia" w:hAnsiTheme="minorEastAsia" w:cstheme="minorEastAsia"/>
                <w:sz w:val="18"/>
                <w:szCs w:val="18"/>
                <w:lang w:bidi="ar"/>
              </w:rPr>
              <w:t>PP塑料一体射出成型。不得采用回收料生产。</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2.尺寸：495mm×405mm。</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3.功能：坐垫宽阔厚实，弧形塑臀，，可以在坐垫上随时增加软坐垫，一款多用型，塑料座垫方便整理打扫，软垫增加弹性保持舒适度。托住人体尾椎部分，尾椎不承受空的支撑，座面可翻动，方便水平叠放，节省空间。</w:t>
            </w:r>
          </w:p>
          <w:p>
            <w:pPr>
              <w:widowControl/>
              <w:jc w:val="left"/>
              <w:textAlignment w:val="center"/>
              <w:rPr>
                <w:rFonts w:asciiTheme="minorEastAsia" w:hAnsiTheme="minorEastAsia" w:cstheme="minorEastAsia"/>
                <w:sz w:val="18"/>
                <w:szCs w:val="18"/>
                <w:lang w:bidi="ar"/>
              </w:rPr>
            </w:pPr>
            <w:r>
              <w:rPr>
                <w:rFonts w:hint="eastAsia" w:asciiTheme="minorEastAsia" w:hAnsiTheme="minorEastAsia" w:cstheme="minorEastAsia"/>
                <w:sz w:val="18"/>
                <w:szCs w:val="18"/>
                <w:lang w:bidi="ar"/>
              </w:rPr>
              <w:t>4..椅架：1、材质及形状：圆形铝管。</w:t>
            </w:r>
          </w:p>
          <w:p>
            <w:pPr>
              <w:widowControl/>
              <w:jc w:val="left"/>
              <w:textAlignment w:val="center"/>
              <w:rPr>
                <w:rFonts w:ascii="宋体" w:hAnsi="宋体" w:eastAsia="宋体" w:cs="宋体"/>
                <w:color w:val="000000"/>
                <w:sz w:val="18"/>
                <w:szCs w:val="18"/>
              </w:rPr>
            </w:pPr>
            <w:r>
              <w:rPr>
                <w:rFonts w:hint="eastAsia" w:asciiTheme="minorEastAsia" w:hAnsiTheme="minorEastAsia" w:cstheme="minorEastAsia"/>
                <w:sz w:val="18"/>
                <w:szCs w:val="18"/>
                <w:lang w:bidi="ar"/>
              </w:rPr>
              <w:t>5、结构：铝管尺寸：</w:t>
            </w:r>
            <w:r>
              <w:rPr>
                <w:rStyle w:val="127"/>
                <w:rFonts w:hint="eastAsia" w:asciiTheme="minorEastAsia" w:hAnsiTheme="minorEastAsia" w:cstheme="minorEastAsia"/>
                <w:lang w:bidi="ar"/>
              </w:rPr>
              <w:t>φ</w:t>
            </w:r>
            <w:r>
              <w:rPr>
                <w:rFonts w:hint="eastAsia" w:asciiTheme="minorEastAsia" w:hAnsiTheme="minorEastAsia" w:cstheme="minorEastAsia"/>
                <w:sz w:val="18"/>
                <w:szCs w:val="18"/>
                <w:lang w:bidi="ar"/>
              </w:rPr>
              <w:t>31()*2.5mm圆管，采用全周满焊焊接而成，结构牢固，长期使用也不会产生摇晃、松散的现象。椅架后架装有软性塑料，避免椅架收起时碰到油漆，尺寸45*25mm，方便，简洁。</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3065" w:type="dxa"/>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2716032" behindDoc="0" locked="0" layoutInCell="1" allowOverlap="1">
                  <wp:simplePos x="0" y="0"/>
                  <wp:positionH relativeFrom="column">
                    <wp:posOffset>0</wp:posOffset>
                  </wp:positionH>
                  <wp:positionV relativeFrom="paragraph">
                    <wp:posOffset>0</wp:posOffset>
                  </wp:positionV>
                  <wp:extent cx="0" cy="37465"/>
                  <wp:effectExtent l="0" t="0" r="0" b="0"/>
                  <wp:wrapNone/>
                  <wp:docPr id="1026" name="Picture_2_SpCnt_52"/>
                  <wp:cNvGraphicFramePr/>
                  <a:graphic xmlns:a="http://schemas.openxmlformats.org/drawingml/2006/main">
                    <a:graphicData uri="http://schemas.openxmlformats.org/drawingml/2006/picture">
                      <pic:pic xmlns:pic="http://schemas.openxmlformats.org/drawingml/2006/picture">
                        <pic:nvPicPr>
                          <pic:cNvPr id="1026" name="Picture_2_SpCnt_52"/>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22"/>
                <w:bdr w:val="single" w:color="000000" w:sz="4" w:space="0"/>
              </w:rPr>
              <w:drawing>
                <wp:anchor distT="0" distB="0" distL="114300" distR="114300" simplePos="0" relativeHeight="252717056" behindDoc="0" locked="0" layoutInCell="1" allowOverlap="1">
                  <wp:simplePos x="0" y="0"/>
                  <wp:positionH relativeFrom="column">
                    <wp:posOffset>123825</wp:posOffset>
                  </wp:positionH>
                  <wp:positionV relativeFrom="paragraph">
                    <wp:posOffset>257175</wp:posOffset>
                  </wp:positionV>
                  <wp:extent cx="1205230" cy="922655"/>
                  <wp:effectExtent l="0" t="0" r="13970" b="10795"/>
                  <wp:wrapNone/>
                  <wp:docPr id="1028" name="图片_1135"/>
                  <wp:cNvGraphicFramePr/>
                  <a:graphic xmlns:a="http://schemas.openxmlformats.org/drawingml/2006/main">
                    <a:graphicData uri="http://schemas.openxmlformats.org/drawingml/2006/picture">
                      <pic:pic xmlns:pic="http://schemas.openxmlformats.org/drawingml/2006/picture">
                        <pic:nvPicPr>
                          <pic:cNvPr id="1028" name="图片_1135"/>
                          <pic:cNvPicPr/>
                        </pic:nvPicPr>
                        <pic:blipFill>
                          <a:blip r:embed="rId147"/>
                          <a:stretch>
                            <a:fillRect/>
                          </a:stretch>
                        </pic:blipFill>
                        <pic:spPr>
                          <a:xfrm>
                            <a:off x="0" y="0"/>
                            <a:ext cx="1205230" cy="922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486" w:type="dxa"/>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6</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伸缩看台</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1200*1060*600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铝制看台，带2对滑轮，可折叠易携带，面层四周采用铝合金边框包边，内嵌16mm环保多层板面层包环保地毯，台身为铝合金支架材质，国标铝合金6061-T6，玻璃舞台支架主管50*3，副管42*3，小管32*2，接口50*25*3目字方通，伸缩管43*3，调节丝杆是钢铁材质，规格：展开：长120cm、宽106cm、高60cm；</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第①层：长120cm、板宽35.5cm、②）离地高60cm ；第②层：长120cm、宽35cm，离地高40cm；第③层：长120cm、宽30.离地高20cm</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个</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2718080" behindDoc="0" locked="0" layoutInCell="1" allowOverlap="1">
                  <wp:simplePos x="0" y="0"/>
                  <wp:positionH relativeFrom="column">
                    <wp:posOffset>0</wp:posOffset>
                  </wp:positionH>
                  <wp:positionV relativeFrom="paragraph">
                    <wp:posOffset>0</wp:posOffset>
                  </wp:positionV>
                  <wp:extent cx="0" cy="37465"/>
                  <wp:effectExtent l="0" t="0" r="0" b="0"/>
                  <wp:wrapNone/>
                  <wp:docPr id="1034" name="Picture_2_SpCnt_53"/>
                  <wp:cNvGraphicFramePr/>
                  <a:graphic xmlns:a="http://schemas.openxmlformats.org/drawingml/2006/main">
                    <a:graphicData uri="http://schemas.openxmlformats.org/drawingml/2006/picture">
                      <pic:pic xmlns:pic="http://schemas.openxmlformats.org/drawingml/2006/picture">
                        <pic:nvPicPr>
                          <pic:cNvPr id="1034" name="Picture_2_SpCnt_53"/>
                          <pic:cNvPicPr/>
                        </pic:nvPicPr>
                        <pic:blipFill>
                          <a:blip r:embed="rId33"/>
                          <a:stretch>
                            <a:fillRect/>
                          </a:stretch>
                        </pic:blipFill>
                        <pic:spPr>
                          <a:xfrm>
                            <a:off x="0" y="0"/>
                            <a:ext cx="0" cy="37465"/>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19104" behindDoc="0" locked="0" layoutInCell="1" allowOverlap="1">
                  <wp:simplePos x="0" y="0"/>
                  <wp:positionH relativeFrom="column">
                    <wp:posOffset>252730</wp:posOffset>
                  </wp:positionH>
                  <wp:positionV relativeFrom="paragraph">
                    <wp:posOffset>66040</wp:posOffset>
                  </wp:positionV>
                  <wp:extent cx="1078865" cy="1075690"/>
                  <wp:effectExtent l="0" t="0" r="6985" b="10160"/>
                  <wp:wrapNone/>
                  <wp:docPr id="1036" name="图片_1136"/>
                  <wp:cNvGraphicFramePr/>
                  <a:graphic xmlns:a="http://schemas.openxmlformats.org/drawingml/2006/main">
                    <a:graphicData uri="http://schemas.openxmlformats.org/drawingml/2006/picture">
                      <pic:pic xmlns:pic="http://schemas.openxmlformats.org/drawingml/2006/picture">
                        <pic:nvPicPr>
                          <pic:cNvPr id="1036" name="图片_1136"/>
                          <pic:cNvPicPr/>
                        </pic:nvPicPr>
                        <pic:blipFill>
                          <a:blip r:embed="rId148"/>
                          <a:stretch>
                            <a:fillRect/>
                          </a:stretch>
                        </pic:blipFill>
                        <pic:spPr>
                          <a:xfrm>
                            <a:off x="0" y="0"/>
                            <a:ext cx="1078865" cy="1075690"/>
                          </a:xfrm>
                          <a:prstGeom prst="rect">
                            <a:avLst/>
                          </a:prstGeom>
                          <a:noFill/>
                          <a:ln>
                            <a:noFill/>
                          </a:ln>
                        </pic:spPr>
                      </pic:pic>
                    </a:graphicData>
                  </a:graphic>
                </wp:anchor>
              </w:drawing>
            </w:r>
            <w:r>
              <w:rPr>
                <w:rFonts w:hint="eastAsia" w:ascii="宋体" w:hAnsi="宋体" w:eastAsia="宋体" w:cs="宋体"/>
                <w:color w:val="000000"/>
                <w:kern w:val="0"/>
                <w:sz w:val="18"/>
                <w:szCs w:val="18"/>
                <w:bdr w:val="single" w:color="000000" w:sz="4" w:space="0"/>
              </w:rPr>
              <w:drawing>
                <wp:anchor distT="0" distB="0" distL="114300" distR="114300" simplePos="0" relativeHeight="252720128" behindDoc="0" locked="0" layoutInCell="1" allowOverlap="1">
                  <wp:simplePos x="0" y="0"/>
                  <wp:positionH relativeFrom="column">
                    <wp:posOffset>466725</wp:posOffset>
                  </wp:positionH>
                  <wp:positionV relativeFrom="paragraph">
                    <wp:posOffset>1138555</wp:posOffset>
                  </wp:positionV>
                  <wp:extent cx="429895" cy="669925"/>
                  <wp:effectExtent l="0" t="0" r="8255" b="15875"/>
                  <wp:wrapNone/>
                  <wp:docPr id="1037" name="图片_1137"/>
                  <wp:cNvGraphicFramePr/>
                  <a:graphic xmlns:a="http://schemas.openxmlformats.org/drawingml/2006/main">
                    <a:graphicData uri="http://schemas.openxmlformats.org/drawingml/2006/picture">
                      <pic:pic xmlns:pic="http://schemas.openxmlformats.org/drawingml/2006/picture">
                        <pic:nvPicPr>
                          <pic:cNvPr id="1037" name="图片_1137"/>
                          <pic:cNvPicPr/>
                        </pic:nvPicPr>
                        <pic:blipFill>
                          <a:blip r:embed="rId149"/>
                          <a:stretch>
                            <a:fillRect/>
                          </a:stretch>
                        </pic:blipFill>
                        <pic:spPr>
                          <a:xfrm>
                            <a:off x="0" y="0"/>
                            <a:ext cx="429895" cy="669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486" w:type="dxa"/>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13</w:t>
            </w:r>
            <w:r>
              <w:rPr>
                <w:rFonts w:hint="eastAsia" w:ascii="宋体" w:hAnsi="宋体" w:eastAsia="宋体" w:cs="宋体"/>
                <w:color w:val="000000"/>
                <w:kern w:val="0"/>
                <w:sz w:val="18"/>
                <w:szCs w:val="18"/>
                <w:lang w:val="en-US" w:eastAsia="zh-CN" w:bidi="ar"/>
              </w:rPr>
              <w:t>7</w:t>
            </w:r>
          </w:p>
        </w:tc>
        <w:tc>
          <w:tcPr>
            <w:tcW w:w="808"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休息椅</w:t>
            </w:r>
          </w:p>
        </w:tc>
        <w:tc>
          <w:tcPr>
            <w:tcW w:w="1144"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1200*400*450</w:t>
            </w:r>
          </w:p>
        </w:tc>
        <w:tc>
          <w:tcPr>
            <w:tcW w:w="3683" w:type="dxa"/>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台面采用40mm厚纯白橡木实木制，采用环保环保油漆，经五底三面油漆工艺处理。台身以耐腐蚀的铝镁合金环保铝材为主框架，型材采用50*50*1.25、33*40*1.25,型材表面经防腐环氧树脂粉末喷涂，具有耐腐蚀，不散发有害气体等特性 ，涂层单面厚度70~110um，涂层膜厚度均匀，内外一致，色泽均匀，光滑平整，无划痕、无气泡、无杂质。型材采用40*40*40锌合金连接件连接，型材、连接件材料质地较硬、不易变形，易清洁打理。</w:t>
            </w:r>
          </w:p>
        </w:tc>
        <w:tc>
          <w:tcPr>
            <w:tcW w:w="582"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把</w:t>
            </w:r>
          </w:p>
        </w:tc>
        <w:tc>
          <w:tcPr>
            <w:tcW w:w="487" w:type="dxa"/>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w:t>
            </w:r>
          </w:p>
        </w:tc>
        <w:tc>
          <w:tcPr>
            <w:tcW w:w="3065" w:type="dxa"/>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2721152" behindDoc="0" locked="0" layoutInCell="1" allowOverlap="1">
                  <wp:simplePos x="0" y="0"/>
                  <wp:positionH relativeFrom="column">
                    <wp:posOffset>123825</wp:posOffset>
                  </wp:positionH>
                  <wp:positionV relativeFrom="paragraph">
                    <wp:posOffset>704850</wp:posOffset>
                  </wp:positionV>
                  <wp:extent cx="1645920" cy="981710"/>
                  <wp:effectExtent l="0" t="0" r="11430" b="8890"/>
                  <wp:wrapNone/>
                  <wp:docPr id="1029" name="图片_1140"/>
                  <wp:cNvGraphicFramePr/>
                  <a:graphic xmlns:a="http://schemas.openxmlformats.org/drawingml/2006/main">
                    <a:graphicData uri="http://schemas.openxmlformats.org/drawingml/2006/picture">
                      <pic:pic xmlns:pic="http://schemas.openxmlformats.org/drawingml/2006/picture">
                        <pic:nvPicPr>
                          <pic:cNvPr id="1029" name="图片_1140"/>
                          <pic:cNvPicPr/>
                        </pic:nvPicPr>
                        <pic:blipFill>
                          <a:blip r:embed="rId150"/>
                          <a:stretch>
                            <a:fillRect/>
                          </a:stretch>
                        </pic:blipFill>
                        <pic:spPr>
                          <a:xfrm>
                            <a:off x="0" y="0"/>
                            <a:ext cx="1645920" cy="9817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486" w:type="dxa"/>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1</w:t>
            </w:r>
            <w:r>
              <w:rPr>
                <w:rFonts w:hint="eastAsia" w:ascii="宋体" w:hAnsi="宋体" w:eastAsia="宋体" w:cs="宋体"/>
                <w:color w:val="000000"/>
                <w:kern w:val="0"/>
                <w:sz w:val="18"/>
                <w:szCs w:val="18"/>
                <w:lang w:val="en-US" w:eastAsia="zh-CN" w:bidi="ar"/>
              </w:rPr>
              <w:t>38</w:t>
            </w:r>
          </w:p>
        </w:tc>
        <w:tc>
          <w:tcPr>
            <w:tcW w:w="808"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会议桌</w:t>
            </w:r>
          </w:p>
        </w:tc>
        <w:tc>
          <w:tcPr>
            <w:tcW w:w="1144"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1200*400*760</w:t>
            </w:r>
          </w:p>
        </w:tc>
        <w:tc>
          <w:tcPr>
            <w:tcW w:w="3683" w:type="dxa"/>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1.面板材质基层采用25mm厚防水，防潮,防火,耐高温多层板热压成型，产品完全 符合国家标准，其甲醛释放量为零。表面采用耐磨、耐高温、耐剐、抗渗透、容易清洁、防潮、不褪色、白板热压。桌面封边条：采用厚度≥2.0mm耐老化PVC封边条封边，甲醛释放量达到国家环保水平。 </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2、桌架：采用铝合金经模具压注成形，壁厚为T3.1mm。其上节为30*60mm椭圆形长方形，桌架底座采用50*55mm椭圆形铝合金注压, 立柱跟下底座中间留空，安装自动化固定件 。桌架底座固定4个50mm黑色尼龙脚轮，经过五万次来回阻力疲劳测试无破裂                                                                             3.喷涂采用静电喷塑高温固化，使涂层与金属表面的附着力更强，不易腐蚀，不易脱落。烤漆粉经专业检测，符合国家安全标准。具体用料及规格由投标方科学合理设计，结构牢固，协调美观。                                                                                 4.前挡板采用符合国家标准的PE耐冲击新料一体射出成型，                                                                        5，功能：当桌面打开使用，黑色尼龙脚轮自动固定锁死，不需要人工固定，当桌面收纳起来，黑色尼龙脚轮自动松开，可以自由推动收纳且收纳并排在一起，不可采用脚采的轮子固定方式。</w:t>
            </w:r>
          </w:p>
        </w:tc>
        <w:tc>
          <w:tcPr>
            <w:tcW w:w="582" w:type="dxa"/>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w:t>
            </w:r>
          </w:p>
        </w:tc>
        <w:tc>
          <w:tcPr>
            <w:tcW w:w="487" w:type="dxa"/>
            <w:noWrap/>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3065" w:type="dxa"/>
            <w:noWrap/>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bdr w:val="single" w:color="000000" w:sz="4" w:space="0"/>
              </w:rPr>
              <w:drawing>
                <wp:anchor distT="0" distB="0" distL="114300" distR="114300" simplePos="0" relativeHeight="252722176" behindDoc="0" locked="0" layoutInCell="1" allowOverlap="1">
                  <wp:simplePos x="0" y="0"/>
                  <wp:positionH relativeFrom="column">
                    <wp:posOffset>335280</wp:posOffset>
                  </wp:positionH>
                  <wp:positionV relativeFrom="paragraph">
                    <wp:posOffset>331470</wp:posOffset>
                  </wp:positionV>
                  <wp:extent cx="1203960" cy="1054100"/>
                  <wp:effectExtent l="0" t="0" r="15240" b="12700"/>
                  <wp:wrapNone/>
                  <wp:docPr id="1038" name="图片_1138"/>
                  <wp:cNvGraphicFramePr/>
                  <a:graphic xmlns:a="http://schemas.openxmlformats.org/drawingml/2006/main">
                    <a:graphicData uri="http://schemas.openxmlformats.org/drawingml/2006/picture">
                      <pic:pic xmlns:pic="http://schemas.openxmlformats.org/drawingml/2006/picture">
                        <pic:nvPicPr>
                          <pic:cNvPr id="1038" name="图片_1138"/>
                          <pic:cNvPicPr/>
                        </pic:nvPicPr>
                        <pic:blipFill>
                          <a:blip r:embed="rId151"/>
                          <a:stretch>
                            <a:fillRect/>
                          </a:stretch>
                        </pic:blipFill>
                        <pic:spPr>
                          <a:xfrm>
                            <a:off x="0" y="0"/>
                            <a:ext cx="1203960" cy="1054100"/>
                          </a:xfrm>
                          <a:prstGeom prst="rect">
                            <a:avLst/>
                          </a:prstGeom>
                          <a:noFill/>
                          <a:ln>
                            <a:noFill/>
                          </a:ln>
                        </pic:spPr>
                      </pic:pic>
                    </a:graphicData>
                  </a:graphic>
                </wp:anchor>
              </w:drawing>
            </w:r>
          </w:p>
        </w:tc>
      </w:tr>
    </w:tbl>
    <w:p>
      <w:pPr>
        <w:spacing w:line="360" w:lineRule="auto"/>
        <w:ind w:firstLine="480" w:firstLineChars="200"/>
        <w:jc w:val="left"/>
        <w:rPr>
          <w:rFonts w:hint="eastAsia" w:ascii="黑体" w:hAnsi="宋体" w:eastAsia="黑体"/>
          <w:bCs/>
          <w:color w:val="000000"/>
          <w:sz w:val="24"/>
          <w:szCs w:val="24"/>
          <w:highlight w:val="none"/>
        </w:rPr>
      </w:pPr>
    </w:p>
    <w:p>
      <w:pPr>
        <w:spacing w:line="360" w:lineRule="auto"/>
        <w:ind w:firstLine="480" w:firstLineChars="200"/>
        <w:jc w:val="left"/>
        <w:rPr>
          <w:rFonts w:ascii="黑体" w:hAnsi="宋体" w:eastAsia="黑体"/>
          <w:bCs/>
          <w:color w:val="000000"/>
          <w:sz w:val="24"/>
          <w:szCs w:val="24"/>
          <w:highlight w:val="none"/>
        </w:rPr>
      </w:pPr>
      <w:r>
        <w:rPr>
          <w:rFonts w:hint="eastAsia" w:ascii="黑体" w:hAnsi="宋体" w:eastAsia="黑体"/>
          <w:bCs/>
          <w:color w:val="000000"/>
          <w:sz w:val="24"/>
          <w:szCs w:val="24"/>
          <w:highlight w:val="none"/>
        </w:rPr>
        <w:t>（二）</w:t>
      </w:r>
      <w:r>
        <w:rPr>
          <w:rFonts w:ascii="黑体" w:hAnsi="宋体" w:eastAsia="黑体"/>
          <w:bCs/>
          <w:color w:val="000000"/>
          <w:sz w:val="24"/>
          <w:szCs w:val="24"/>
          <w:highlight w:val="none"/>
        </w:rPr>
        <w:t xml:space="preserve"> </w:t>
      </w:r>
      <w:r>
        <w:rPr>
          <w:rFonts w:hint="eastAsia" w:ascii="黑体" w:hAnsi="宋体" w:eastAsia="黑体"/>
          <w:bCs/>
          <w:color w:val="000000"/>
          <w:sz w:val="24"/>
          <w:szCs w:val="24"/>
          <w:highlight w:val="none"/>
        </w:rPr>
        <w:t>有关说明：</w:t>
      </w:r>
      <w:r>
        <w:rPr>
          <w:rFonts w:ascii="黑体" w:hAnsi="宋体" w:eastAsia="黑体"/>
          <w:bCs/>
          <w:color w:val="000000"/>
          <w:sz w:val="24"/>
          <w:szCs w:val="24"/>
          <w:highlight w:val="none"/>
        </w:rPr>
        <w:t xml:space="preserve"> </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ascii="宋体" w:hAnsi="宋体"/>
          <w:bCs/>
          <w:color w:val="000000"/>
          <w:sz w:val="24"/>
          <w:szCs w:val="24"/>
          <w:highlight w:val="none"/>
        </w:rPr>
      </w:pPr>
      <w:r>
        <w:rPr>
          <w:rFonts w:hint="eastAsia" w:ascii="宋体" w:hAnsi="宋体"/>
          <w:bCs/>
          <w:color w:val="000000"/>
          <w:sz w:val="24"/>
          <w:szCs w:val="24"/>
          <w:highlight w:val="none"/>
        </w:rPr>
        <w:t>家具项目总报价一次报定，包括系统及配件、包装、运杂、安装调试、税收及售后服务等从项目中标起到项目正式交付以及免费维护期内所发生的一切费用。</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rPr>
      </w:pPr>
      <w:r>
        <w:rPr>
          <w:rFonts w:hint="eastAsia" w:ascii="宋体" w:hAnsi="宋体"/>
          <w:bCs/>
          <w:color w:val="000000"/>
          <w:sz w:val="24"/>
          <w:szCs w:val="24"/>
          <w:highlight w:val="none"/>
        </w:rPr>
        <w:t>本项目中所有产品均须符合国家环保等相关标准。</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rPr>
      </w:pPr>
      <w:r>
        <w:rPr>
          <w:rFonts w:hint="eastAsia" w:ascii="宋体" w:hAnsi="宋体"/>
          <w:bCs/>
          <w:color w:val="000000"/>
          <w:sz w:val="24"/>
          <w:szCs w:val="24"/>
          <w:highlight w:val="none"/>
        </w:rPr>
        <w:t>清单中图片款式仅作参考，投标单位应按照清单中的规格、材质和工艺来生产，定制家具需按照甲方实际场地尺寸或确定的方案进行加工，材质及工艺不变，规格偏差在10%以内，价格不予调整，投标人在投标时要考虑这一因素。</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rPr>
      </w:pPr>
      <w:r>
        <w:rPr>
          <w:rFonts w:hint="eastAsia" w:ascii="宋体" w:hAnsi="宋体"/>
          <w:bCs/>
          <w:color w:val="000000"/>
          <w:sz w:val="24"/>
          <w:szCs w:val="24"/>
          <w:highlight w:val="none"/>
        </w:rPr>
        <w:t>通过中国海关报关验放进入中国境内且产自关境外的产品不在本项目的报价范围。</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本项目中有信息安全产品的，必须选择经国家认证的信息安全产品，并提供由中国信息安全认证中心颁发的有效认证证书复印件。</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default"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投标人必须在满足招标文件要求的基础上进行报价，如有技术偏离请于投标偏离表中说明。</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质量要求：保证所有家具及部件均是全新的纯正新品，不得以废、旧材料制作，产品必须符合家具行业设计及采购人的品质、环保要求。在正式供货前应与采购人协商好所有家具的规格及方案，交货时所有家具应货物完好，物品配件齐全，否则视为不合格产品；采购人将对中标人正式供货家具随机抽取一件进行破坏性检测，被抽样检测家具中甲醛和苯等有害物质含量不符合采购方要求或国家标准的、参数和材质不符合招标文件要求的，视为不合格产品，采购人有权拒绝接收所有家具，并要求中标人按合同规定赔偿采购人损失（破坏性检测的货物，检测费用以及重新安装费用由中标人支付）。</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项目整体免费质保期：自项目验收合格之日起贰年。所投家具质保期内质量出现问题，中标单位应包退、包换、包修，费用由中标单位负责。</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在本项目办公家具质保期内，一旦办公家具发生质量问题，中标人保证在接到通知12小时内响应，1日历天内赶到现场进行修理、更换或退货，费用由中标人负责。如中标人在接到通知后12小时内没有答复，则视为中标人承认质量问题并承担由此发生的一切费用。质保期内办公家具的一切质量问题，更换部件及办公家具本身质量原因造成的直接经济损失应全部由中标人负责。</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投标人须按照招标文件“项目技术要求和有关说明”中规定的技术配置分别对自己所投产品进行报价，投标人必须在满足招标文件要求的基础上进行报价，如有技术正偏离请另列表说明。</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中标人对提供的每件家具上必须要有中标厂家的金属材质商标铭牌，铭牌上须标注有与中标人一致的名称和联系电话。</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完工期：合同签订生效后30个日历天内到货并安装完毕。具体时间按甲方书面通知，并满足总包单位进度计划要求为准。</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本项目合同履行地点：无锡市新吴实验中学。中标方必须按采购人要求将本项目中货物送到指定地点(包括可能的分布范围)，并分地实施安装调试。</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付款方式：货物安装调试结束，并经验收合格后支付至合同执行价的70%；审计结束后付至合同审定价的97%，保修期满经项目使用单位确认保修质量和保修效果后，结清全部货物余款。</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根据国家扶持中小企业的有关政策，在我中心组织的采购项目中标的供应商，如需要政府采购合同融资，请按锡财购【2020】17号文件执行。</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keepNext w:val="0"/>
        <w:keepLines w:val="0"/>
        <w:pageBreakBefore w:val="0"/>
        <w:widowControl w:val="0"/>
        <w:numPr>
          <w:ilvl w:val="0"/>
          <w:numId w:val="3"/>
        </w:numPr>
        <w:tabs>
          <w:tab w:val="left" w:pos="525"/>
          <w:tab w:val="left" w:pos="945"/>
        </w:tabs>
        <w:kinsoku/>
        <w:wordWrap/>
        <w:overflowPunct/>
        <w:topLinePunct w:val="0"/>
        <w:autoSpaceDE/>
        <w:autoSpaceDN/>
        <w:bidi w:val="0"/>
        <w:adjustRightInd/>
        <w:snapToGrid/>
        <w:spacing w:line="360" w:lineRule="auto"/>
        <w:ind w:left="527" w:leftChars="0" w:firstLine="480" w:firstLineChars="200"/>
        <w:jc w:val="left"/>
        <w:textAlignment w:val="auto"/>
        <w:rPr>
          <w:rFonts w:hint="eastAsia" w:ascii="宋体" w:hAnsi="宋体"/>
          <w:bCs/>
          <w:color w:val="000000"/>
          <w:sz w:val="24"/>
          <w:szCs w:val="24"/>
          <w:highlight w:val="none"/>
          <w:lang w:val="en-US" w:eastAsia="zh-CN"/>
        </w:rPr>
      </w:pPr>
      <w:r>
        <w:rPr>
          <w:rFonts w:hint="eastAsia" w:ascii="宋体" w:hAnsi="宋体"/>
          <w:bCs/>
          <w:color w:val="000000"/>
          <w:sz w:val="24"/>
          <w:szCs w:val="24"/>
          <w:highlight w:val="none"/>
          <w:lang w:val="en-US" w:eastAsia="zh-CN"/>
        </w:rPr>
        <w:t>依据《政府采购促进中小企业发展管理办法》规定享受扶持政策获得政府采购合同的，小微企业不得将合同分包给大中型企业，中型企业不得将合同分包给大型企业。</w:t>
      </w:r>
    </w:p>
    <w:p>
      <w:pPr>
        <w:spacing w:line="360" w:lineRule="auto"/>
        <w:ind w:firstLine="480" w:firstLineChars="200"/>
        <w:jc w:val="left"/>
        <w:rPr>
          <w:rFonts w:hint="eastAsia" w:ascii="宋体" w:hAnsi="宋体"/>
          <w:b/>
          <w:bCs/>
          <w:color w:val="000000"/>
          <w:sz w:val="24"/>
          <w:szCs w:val="24"/>
        </w:rPr>
        <w:sectPr>
          <w:pgSz w:w="11906" w:h="16838"/>
          <w:pgMar w:top="567" w:right="851" w:bottom="567" w:left="1134" w:header="624" w:footer="907" w:gutter="0"/>
          <w:pgNumType w:fmt="decimal"/>
          <w:cols w:space="720" w:num="1"/>
          <w:titlePg/>
          <w:docGrid w:type="linesAndChars" w:linePitch="312" w:charSpace="0"/>
        </w:sectPr>
      </w:pPr>
    </w:p>
    <w:p>
      <w:pPr>
        <w:spacing w:line="360" w:lineRule="auto"/>
        <w:jc w:val="center"/>
        <w:rPr>
          <w:rFonts w:ascii="黑体" w:hAnsi="宋体" w:eastAsia="黑体"/>
          <w:b/>
          <w:sz w:val="28"/>
          <w:szCs w:val="28"/>
        </w:rPr>
      </w:pPr>
      <w:r>
        <w:rPr>
          <w:rFonts w:hint="eastAsia" w:ascii="黑体" w:eastAsia="黑体"/>
          <w:bCs/>
          <w:sz w:val="28"/>
          <w:szCs w:val="28"/>
        </w:rPr>
        <w:t>四．合同书（格式文本）</w:t>
      </w:r>
    </w:p>
    <w:p>
      <w:pPr>
        <w:snapToGrid w:val="0"/>
        <w:spacing w:line="288" w:lineRule="auto"/>
        <w:jc w:val="center"/>
        <w:rPr>
          <w:rFonts w:ascii="黑体" w:hAnsi="宋体" w:eastAsia="黑体"/>
          <w:b/>
          <w:sz w:val="28"/>
          <w:szCs w:val="28"/>
        </w:rPr>
      </w:pPr>
      <w:r>
        <w:rPr>
          <w:rFonts w:hint="eastAsia" w:ascii="黑体" w:hAnsi="宋体" w:eastAsia="黑体"/>
          <w:b/>
          <w:sz w:val="28"/>
          <w:szCs w:val="28"/>
        </w:rPr>
        <w:t>合同书(货物）格式条款</w:t>
      </w:r>
    </w:p>
    <w:p>
      <w:pPr>
        <w:snapToGrid w:val="0"/>
        <w:spacing w:line="288" w:lineRule="auto"/>
        <w:ind w:firstLine="480" w:firstLineChars="200"/>
        <w:jc w:val="left"/>
        <w:rPr>
          <w:rFonts w:ascii="黑体" w:hAnsi="宋体" w:eastAsia="黑体"/>
          <w:b/>
          <w:sz w:val="28"/>
          <w:szCs w:val="28"/>
        </w:rPr>
      </w:pPr>
      <w:r>
        <w:rPr>
          <w:rFonts w:hint="eastAsia" w:ascii="宋体" w:hAnsi="宋体"/>
          <w:b/>
          <w:sz w:val="24"/>
          <w:szCs w:val="24"/>
        </w:rPr>
        <w:t>根据《中华人民共和国政府采购法》及相关法规、《中华人民共和国民法典》，遵循平等、自愿、公平和诚实信用的原则，甲乙双方就项目（项目编号：</w:t>
      </w:r>
      <w:r>
        <w:rPr>
          <w:rFonts w:hint="eastAsia" w:ascii="宋体" w:hAnsi="宋体"/>
          <w:b/>
          <w:sz w:val="24"/>
          <w:szCs w:val="24"/>
          <w:u w:val="single"/>
        </w:rPr>
        <w:t xml:space="preserve">          </w:t>
      </w:r>
      <w:r>
        <w:rPr>
          <w:rFonts w:hint="eastAsia" w:ascii="宋体" w:hAnsi="宋体"/>
          <w:b/>
          <w:sz w:val="24"/>
          <w:szCs w:val="24"/>
        </w:rPr>
        <w:t xml:space="preserve"> ）采购及有关事项协商一致，共同达成如下协议：</w:t>
      </w:r>
    </w:p>
    <w:p>
      <w:pPr>
        <w:snapToGrid w:val="0"/>
        <w:spacing w:line="288" w:lineRule="auto"/>
        <w:rPr>
          <w:rFonts w:ascii="宋体"/>
          <w:bCs/>
          <w:sz w:val="24"/>
          <w:szCs w:val="24"/>
          <w:u w:val="single"/>
        </w:rPr>
      </w:pPr>
      <w:r>
        <w:rPr>
          <w:rFonts w:hint="eastAsia" w:ascii="宋体" w:hAnsi="宋体"/>
          <w:bCs/>
          <w:sz w:val="24"/>
          <w:szCs w:val="24"/>
        </w:rPr>
        <w:t>需方（采购人）：</w:t>
      </w:r>
    </w:p>
    <w:p>
      <w:pPr>
        <w:snapToGrid w:val="0"/>
        <w:spacing w:line="288" w:lineRule="auto"/>
        <w:rPr>
          <w:rFonts w:ascii="宋体"/>
          <w:bCs/>
          <w:sz w:val="24"/>
          <w:szCs w:val="24"/>
          <w:u w:val="single"/>
        </w:rPr>
      </w:pPr>
      <w:r>
        <w:rPr>
          <w:rFonts w:hint="eastAsia" w:ascii="宋体" w:hAnsi="宋体"/>
          <w:bCs/>
          <w:sz w:val="24"/>
          <w:szCs w:val="24"/>
        </w:rPr>
        <w:t>供方（中标方）：</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一、采购项目编号：</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二、采购项目名称：</w:t>
      </w:r>
    </w:p>
    <w:p>
      <w:pPr>
        <w:tabs>
          <w:tab w:val="left" w:pos="210"/>
          <w:tab w:val="left" w:pos="840"/>
          <w:tab w:val="left" w:pos="1260"/>
        </w:tabs>
        <w:snapToGrid w:val="0"/>
        <w:spacing w:line="288" w:lineRule="auto"/>
        <w:ind w:left="420" w:leftChars="200"/>
        <w:rPr>
          <w:rFonts w:ascii="宋体"/>
          <w:bCs/>
          <w:sz w:val="24"/>
          <w:szCs w:val="24"/>
        </w:rPr>
      </w:pPr>
      <w:r>
        <w:rPr>
          <w:rFonts w:hint="eastAsia" w:ascii="宋体" w:hAnsi="宋体"/>
          <w:bCs/>
          <w:sz w:val="24"/>
          <w:szCs w:val="24"/>
        </w:rPr>
        <w:t>三、中标（成交）金额：</w:t>
      </w:r>
      <w:r>
        <w:rPr>
          <w:rFonts w:hint="eastAsia" w:ascii="宋体" w:hAnsi="宋体"/>
          <w:bCs/>
          <w:sz w:val="24"/>
          <w:szCs w:val="24"/>
          <w:u w:val="single"/>
        </w:rPr>
        <w:t xml:space="preserve">                       </w:t>
      </w:r>
      <w:r>
        <w:rPr>
          <w:rFonts w:hint="eastAsia" w:ascii="宋体" w:hAnsi="宋体"/>
          <w:bCs/>
          <w:sz w:val="24"/>
          <w:szCs w:val="24"/>
        </w:rPr>
        <w:t>（大写）；</w:t>
      </w:r>
      <w:r>
        <w:rPr>
          <w:rFonts w:hint="eastAsia" w:ascii="宋体" w:hAnsi="宋体"/>
          <w:bCs/>
          <w:sz w:val="24"/>
          <w:szCs w:val="24"/>
          <w:u w:val="single"/>
        </w:rPr>
        <w:t xml:space="preserve">                  </w:t>
      </w:r>
      <w:r>
        <w:rPr>
          <w:rFonts w:hint="eastAsia" w:ascii="宋体" w:hAnsi="宋体"/>
          <w:bCs/>
          <w:sz w:val="24"/>
          <w:szCs w:val="24"/>
        </w:rPr>
        <w:t>（小写）；</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四、交货期或完工期：</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五、项目整体质保期：</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六、交货地点和方式：</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七、货款支付步骤和办法：</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八、合同书不可分割部分：</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招标（采购）文件、投标（报价）文件、合同条款及中标</w:t>
      </w:r>
      <w:r>
        <w:rPr>
          <w:rFonts w:hint="eastAsia" w:ascii="宋体" w:hAnsi="宋体"/>
          <w:sz w:val="24"/>
          <w:szCs w:val="24"/>
        </w:rPr>
        <w:t>（成交）</w:t>
      </w:r>
      <w:r>
        <w:rPr>
          <w:rFonts w:hint="eastAsia" w:ascii="宋体" w:hAnsi="宋体"/>
          <w:bCs/>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ascii="宋体" w:hAnsi="宋体"/>
          <w:sz w:val="24"/>
          <w:szCs w:val="24"/>
        </w:rPr>
      </w:pPr>
      <w:r>
        <w:rPr>
          <w:rFonts w:hint="eastAsia" w:ascii="宋体" w:hAnsi="宋体"/>
          <w:sz w:val="24"/>
          <w:szCs w:val="24"/>
        </w:rPr>
        <w:t>九、合同书组成：</w:t>
      </w:r>
    </w:p>
    <w:p>
      <w:pPr>
        <w:tabs>
          <w:tab w:val="left" w:pos="210"/>
          <w:tab w:val="left" w:pos="735"/>
          <w:tab w:val="left" w:pos="1155"/>
        </w:tabs>
        <w:snapToGrid w:val="0"/>
        <w:spacing w:line="288" w:lineRule="auto"/>
        <w:ind w:firstLine="480" w:firstLineChars="200"/>
        <w:rPr>
          <w:rFonts w:ascii="宋体" w:hAnsi="宋体"/>
          <w:bCs/>
          <w:sz w:val="24"/>
          <w:szCs w:val="24"/>
        </w:rPr>
      </w:pPr>
      <w:r>
        <w:rPr>
          <w:rFonts w:hint="eastAsia" w:ascii="宋体" w:hAnsi="宋体"/>
          <w:sz w:val="24"/>
          <w:szCs w:val="24"/>
        </w:rPr>
        <w:t>合同书由格式条款</w:t>
      </w:r>
      <w:r>
        <w:rPr>
          <w:rFonts w:hint="eastAsia" w:ascii="宋体" w:hAnsi="宋体"/>
          <w:bCs/>
          <w:sz w:val="24"/>
          <w:szCs w:val="24"/>
        </w:rPr>
        <w:t>和合同条款二部分组成。合同条款应当包含法定必备条款和采购需求的所有内容，并应与“合同书不可分割部分”的内容一致，包括但不限于</w:t>
      </w:r>
      <w:r>
        <w:rPr>
          <w:rFonts w:hint="eastAsia" w:ascii="宋体" w:hAnsi="宋体"/>
          <w:sz w:val="24"/>
          <w:szCs w:val="24"/>
        </w:rPr>
        <w:t>合同类型,</w:t>
      </w:r>
      <w:r>
        <w:rPr>
          <w:rFonts w:hint="eastAsia" w:ascii="宋体" w:hAnsi="宋体"/>
          <w:bCs/>
          <w:sz w:val="24"/>
          <w:szCs w:val="24"/>
        </w:rPr>
        <w:t>标的名称、采购标的质量、数量，履行时间、地点和方式，包装方式，履约保证金要求，价款或报酬、付款进度安排、</w:t>
      </w:r>
      <w:r>
        <w:rPr>
          <w:rFonts w:ascii="宋体" w:hAnsi="宋体" w:cs="宋体"/>
          <w:sz w:val="24"/>
          <w:szCs w:val="24"/>
        </w:rPr>
        <w:t>与履约验收挂钩的资金支付条件及时间</w:t>
      </w:r>
      <w:r>
        <w:rPr>
          <w:rFonts w:hint="eastAsia" w:ascii="宋体" w:hAnsi="宋体"/>
          <w:bCs/>
          <w:sz w:val="24"/>
          <w:szCs w:val="24"/>
        </w:rPr>
        <w:t>，验收、交付标准和方法，质量保修范围和保修期，违约责任与解决争议的方法，甲乙双方权利与义务，合同分包要求等。</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十、合同书生效及注意事项：</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numPr>
          <w:ilvl w:val="255"/>
          <w:numId w:val="0"/>
        </w:num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一、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pPr>
        <w:numPr>
          <w:ilvl w:val="255"/>
          <w:numId w:val="0"/>
        </w:num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十二、根据《政府采购法》第四十九、五十条规定，甲乙双方不得擅自变更、中止或终止合同。</w:t>
      </w:r>
    </w:p>
    <w:p>
      <w:pPr>
        <w:snapToGrid w:val="0"/>
        <w:spacing w:line="288" w:lineRule="auto"/>
        <w:jc w:val="right"/>
        <w:rPr>
          <w:rFonts w:ascii="宋体" w:hAnsi="宋体"/>
          <w:bCs/>
          <w:sz w:val="24"/>
          <w:szCs w:val="24"/>
        </w:rPr>
      </w:pPr>
      <w:r>
        <w:rPr>
          <w:rFonts w:hint="eastAsia" w:ascii="宋体" w:hAnsi="宋体"/>
          <w:bCs/>
          <w:sz w:val="24"/>
          <w:szCs w:val="24"/>
        </w:rPr>
        <w:t>见证方：无锡市公共资源交易中心新吴分中心（签章）</w:t>
      </w:r>
    </w:p>
    <w:p>
      <w:pPr>
        <w:wordWrap w:val="0"/>
        <w:snapToGrid w:val="0"/>
        <w:spacing w:line="288" w:lineRule="auto"/>
        <w:ind w:right="480" w:firstLine="4108" w:firstLineChars="1712"/>
        <w:rPr>
          <w:rFonts w:ascii="宋体" w:hAnsi="宋体"/>
          <w:bCs/>
          <w:sz w:val="24"/>
          <w:szCs w:val="24"/>
        </w:rPr>
      </w:pPr>
      <w:r>
        <w:rPr>
          <w:rFonts w:hint="eastAsia" w:ascii="宋体" w:hAnsi="宋体"/>
          <w:bCs/>
          <w:sz w:val="24"/>
          <w:szCs w:val="24"/>
        </w:rPr>
        <w:t xml:space="preserve">见证人：                          </w:t>
      </w:r>
    </w:p>
    <w:p>
      <w:pPr>
        <w:pStyle w:val="2"/>
        <w:ind w:firstLine="0" w:firstLineChars="0"/>
        <w:rPr>
          <w:rFonts w:hint="eastAsia" w:ascii="宋体" w:hAnsi="宋体"/>
          <w:bCs/>
          <w:sz w:val="24"/>
          <w:szCs w:val="24"/>
          <w:lang w:val="en-US" w:eastAsia="zh-CN"/>
        </w:rPr>
      </w:pPr>
      <w:r>
        <w:rPr>
          <w:rFonts w:hint="eastAsia" w:ascii="宋体" w:hAnsi="宋体"/>
          <w:bCs/>
          <w:sz w:val="24"/>
          <w:szCs w:val="24"/>
        </w:rPr>
        <w:t xml:space="preserve">     </w:t>
      </w:r>
      <w:r>
        <w:rPr>
          <w:rFonts w:hint="eastAsia" w:ascii="宋体" w:hAnsi="宋体"/>
          <w:bCs/>
          <w:sz w:val="24"/>
          <w:szCs w:val="24"/>
          <w:lang w:val="en-US" w:eastAsia="zh-CN"/>
        </w:rPr>
        <w:t xml:space="preserve">                                          </w:t>
      </w:r>
    </w:p>
    <w:p>
      <w:pPr>
        <w:pStyle w:val="2"/>
        <w:ind w:firstLine="5520" w:firstLineChars="2300"/>
      </w:pPr>
      <w:r>
        <w:rPr>
          <w:rFonts w:hint="eastAsia" w:ascii="宋体" w:hAnsi="宋体"/>
          <w:bCs/>
          <w:sz w:val="24"/>
          <w:szCs w:val="24"/>
        </w:rPr>
        <w:t>年   月   日</w:t>
      </w:r>
    </w:p>
    <w:p>
      <w:pPr>
        <w:snapToGrid w:val="0"/>
        <w:spacing w:line="288" w:lineRule="auto"/>
        <w:jc w:val="both"/>
        <w:rPr>
          <w:rFonts w:ascii="黑体" w:hAnsi="宋体" w:eastAsia="黑体"/>
          <w:b/>
          <w:sz w:val="28"/>
          <w:szCs w:val="28"/>
        </w:rPr>
      </w:pPr>
    </w:p>
    <w:p>
      <w:pPr>
        <w:spacing w:line="360" w:lineRule="auto"/>
        <w:jc w:val="center"/>
        <w:rPr>
          <w:rFonts w:ascii="黑体" w:eastAsia="黑体"/>
          <w:bCs/>
          <w:sz w:val="28"/>
          <w:szCs w:val="28"/>
        </w:rPr>
      </w:pPr>
      <w:r>
        <w:rPr>
          <w:rFonts w:hint="eastAsia" w:ascii="黑体" w:eastAsia="黑体"/>
          <w:bCs/>
          <w:sz w:val="28"/>
          <w:szCs w:val="28"/>
        </w:rPr>
        <w:t>五．合同条款</w:t>
      </w:r>
    </w:p>
    <w:p>
      <w:pPr>
        <w:snapToGrid w:val="0"/>
        <w:spacing w:line="336" w:lineRule="auto"/>
        <w:ind w:firstLine="480" w:firstLineChars="200"/>
        <w:jc w:val="center"/>
        <w:rPr>
          <w:rFonts w:ascii="宋体" w:hAnsi="宋体"/>
          <w:bCs/>
          <w:sz w:val="24"/>
          <w:szCs w:val="24"/>
        </w:rPr>
      </w:pPr>
      <w:r>
        <w:rPr>
          <w:rFonts w:hint="eastAsia" w:ascii="宋体" w:hAnsi="宋体"/>
          <w:bCs/>
          <w:sz w:val="24"/>
          <w:szCs w:val="24"/>
        </w:rPr>
        <w:t>（根据相关法律规定以及采购文件确定事项订立）</w:t>
      </w:r>
    </w:p>
    <w:p>
      <w:pPr>
        <w:snapToGrid w:val="0"/>
        <w:spacing w:line="336" w:lineRule="auto"/>
        <w:ind w:firstLine="525"/>
        <w:rPr>
          <w:rFonts w:ascii="宋体"/>
          <w:bCs/>
          <w:sz w:val="24"/>
          <w:szCs w:val="24"/>
        </w:rPr>
      </w:pPr>
      <w:r>
        <w:rPr>
          <w:rFonts w:hint="eastAsia" w:ascii="宋体" w:hAnsi="宋体"/>
          <w:bCs/>
          <w:sz w:val="24"/>
          <w:szCs w:val="24"/>
        </w:rPr>
        <w:t>（一）合同内容：需方向供方购买。</w:t>
      </w:r>
    </w:p>
    <w:p>
      <w:pPr>
        <w:snapToGrid w:val="0"/>
        <w:spacing w:line="336" w:lineRule="auto"/>
        <w:ind w:firstLine="525"/>
        <w:rPr>
          <w:rFonts w:ascii="宋体"/>
          <w:bCs/>
          <w:sz w:val="24"/>
          <w:szCs w:val="24"/>
        </w:rPr>
      </w:pPr>
      <w:r>
        <w:rPr>
          <w:rFonts w:hint="eastAsia" w:ascii="宋体" w:hAnsi="宋体"/>
          <w:bCs/>
          <w:sz w:val="24"/>
          <w:szCs w:val="24"/>
        </w:rPr>
        <w:t>（二）价格及支付：</w:t>
      </w:r>
    </w:p>
    <w:p>
      <w:pPr>
        <w:tabs>
          <w:tab w:val="left" w:pos="525"/>
          <w:tab w:val="left" w:pos="1050"/>
          <w:tab w:val="left" w:pos="1155"/>
        </w:tabs>
        <w:snapToGrid w:val="0"/>
        <w:spacing w:line="336" w:lineRule="auto"/>
        <w:ind w:firstLine="523" w:firstLineChars="218"/>
        <w:rPr>
          <w:rFonts w:ascii="宋体"/>
          <w:bCs/>
          <w:sz w:val="24"/>
          <w:szCs w:val="24"/>
        </w:rPr>
      </w:pPr>
      <w:r>
        <w:rPr>
          <w:rFonts w:ascii="宋体" w:hAnsi="宋体"/>
          <w:bCs/>
          <w:sz w:val="24"/>
          <w:szCs w:val="24"/>
        </w:rPr>
        <w:t xml:space="preserve">1. </w:t>
      </w:r>
      <w:r>
        <w:rPr>
          <w:rFonts w:hint="eastAsia" w:ascii="宋体" w:hAnsi="宋体"/>
          <w:bCs/>
          <w:sz w:val="24"/>
          <w:szCs w:val="24"/>
        </w:rPr>
        <w:t>按此次中标价格执行，合同总标的额为</w:t>
      </w:r>
      <w:r>
        <w:rPr>
          <w:rFonts w:hint="eastAsia" w:ascii="宋体" w:hAnsi="宋体"/>
          <w:bCs/>
          <w:sz w:val="24"/>
          <w:szCs w:val="24"/>
          <w:u w:val="single"/>
        </w:rPr>
        <w:t xml:space="preserve">        </w:t>
      </w:r>
      <w:r>
        <w:rPr>
          <w:rFonts w:hint="eastAsia" w:ascii="宋体" w:hAnsi="宋体"/>
          <w:bCs/>
          <w:sz w:val="24"/>
          <w:szCs w:val="24"/>
        </w:rPr>
        <w:t>元。</w:t>
      </w:r>
    </w:p>
    <w:p>
      <w:pPr>
        <w:numPr>
          <w:ilvl w:val="1"/>
          <w:numId w:val="4"/>
        </w:numPr>
        <w:tabs>
          <w:tab w:val="left" w:pos="945"/>
          <w:tab w:val="left" w:pos="2100"/>
          <w:tab w:val="clear" w:pos="1770"/>
        </w:tabs>
        <w:snapToGrid w:val="0"/>
        <w:spacing w:line="336" w:lineRule="auto"/>
        <w:ind w:left="0" w:firstLine="525"/>
        <w:rPr>
          <w:rFonts w:ascii="宋体"/>
          <w:bCs/>
          <w:sz w:val="24"/>
          <w:szCs w:val="24"/>
        </w:rPr>
      </w:pPr>
      <w:r>
        <w:rPr>
          <w:rFonts w:hint="eastAsia" w:ascii="宋体" w:hAnsi="宋体"/>
          <w:bCs/>
          <w:sz w:val="24"/>
          <w:szCs w:val="24"/>
        </w:rPr>
        <w:t>付款方式：</w:t>
      </w:r>
    </w:p>
    <w:p>
      <w:pPr>
        <w:numPr>
          <w:ilvl w:val="1"/>
          <w:numId w:val="4"/>
        </w:numPr>
        <w:tabs>
          <w:tab w:val="left" w:pos="945"/>
          <w:tab w:val="left" w:pos="2100"/>
          <w:tab w:val="clear" w:pos="1770"/>
        </w:tabs>
        <w:snapToGrid w:val="0"/>
        <w:spacing w:line="336" w:lineRule="auto"/>
        <w:ind w:left="0" w:firstLine="525"/>
        <w:rPr>
          <w:rFonts w:ascii="宋体"/>
          <w:bCs/>
          <w:sz w:val="24"/>
          <w:szCs w:val="24"/>
        </w:rPr>
      </w:pPr>
      <w:r>
        <w:rPr>
          <w:rFonts w:hint="eastAsia" w:ascii="宋体" w:hAnsi="宋体"/>
          <w:bCs/>
          <w:sz w:val="24"/>
          <w:szCs w:val="24"/>
        </w:rPr>
        <w:t>履约保证金的缴纳和退付：</w:t>
      </w:r>
    </w:p>
    <w:p>
      <w:pPr>
        <w:tabs>
          <w:tab w:val="left" w:pos="945"/>
          <w:tab w:val="left" w:pos="2100"/>
        </w:tabs>
        <w:snapToGrid w:val="0"/>
        <w:spacing w:line="336" w:lineRule="auto"/>
        <w:ind w:firstLine="480" w:firstLineChars="200"/>
        <w:rPr>
          <w:rFonts w:ascii="宋体" w:hAnsi="宋体"/>
          <w:bCs/>
          <w:sz w:val="24"/>
          <w:szCs w:val="24"/>
        </w:rPr>
      </w:pPr>
      <w:r>
        <w:rPr>
          <w:rFonts w:hint="eastAsia" w:ascii="宋体" w:hAnsi="宋体"/>
          <w:bCs/>
          <w:sz w:val="24"/>
          <w:szCs w:val="24"/>
        </w:rPr>
        <w:t>本项目是</w:t>
      </w:r>
      <w:r>
        <w:rPr>
          <w:rFonts w:ascii="宋体" w:hAnsi="宋体"/>
          <w:bCs/>
          <w:sz w:val="24"/>
          <w:szCs w:val="24"/>
        </w:rPr>
        <w:t>/否向采购人缴纳履约保证金：</w:t>
      </w:r>
      <w:r>
        <w:rPr>
          <w:rFonts w:hint="eastAsia" w:ascii="宋体" w:hAnsi="宋体"/>
          <w:bCs/>
          <w:sz w:val="24"/>
          <w:szCs w:val="24"/>
          <w:u w:val="single"/>
        </w:rPr>
        <w:t xml:space="preserve">           </w:t>
      </w:r>
      <w:r>
        <w:rPr>
          <w:rFonts w:ascii="宋体" w:hAnsi="宋体"/>
          <w:bCs/>
          <w:sz w:val="24"/>
          <w:szCs w:val="24"/>
        </w:rPr>
        <w:t xml:space="preserve"> </w:t>
      </w:r>
      <w:r>
        <w:rPr>
          <w:rFonts w:hint="eastAsia" w:ascii="宋体" w:hAnsi="宋体"/>
          <w:bCs/>
          <w:sz w:val="24"/>
          <w:szCs w:val="24"/>
        </w:rPr>
        <w:t>。</w:t>
      </w:r>
    </w:p>
    <w:p>
      <w:pPr>
        <w:tabs>
          <w:tab w:val="left" w:pos="945"/>
          <w:tab w:val="left" w:pos="2100"/>
        </w:tabs>
        <w:snapToGrid w:val="0"/>
        <w:spacing w:line="336" w:lineRule="auto"/>
        <w:ind w:firstLine="480" w:firstLineChars="200"/>
        <w:rPr>
          <w:rFonts w:ascii="宋体" w:hAnsi="宋体"/>
          <w:bCs/>
          <w:sz w:val="24"/>
          <w:szCs w:val="24"/>
        </w:rPr>
      </w:pPr>
      <w:r>
        <w:rPr>
          <w:rFonts w:hint="eastAsia" w:ascii="宋体" w:hAnsi="宋体"/>
          <w:bCs/>
          <w:sz w:val="24"/>
          <w:szCs w:val="24"/>
        </w:rPr>
        <w:t>履约保证金缴纳金额：</w:t>
      </w:r>
      <w:r>
        <w:rPr>
          <w:rFonts w:hint="eastAsia" w:ascii="宋体" w:hAnsi="宋体"/>
          <w:bCs/>
          <w:sz w:val="24"/>
          <w:szCs w:val="24"/>
          <w:u w:val="single"/>
        </w:rPr>
        <w:t xml:space="preserve">                         </w:t>
      </w:r>
      <w:r>
        <w:rPr>
          <w:rFonts w:hint="eastAsia" w:ascii="宋体" w:hAnsi="宋体"/>
          <w:bCs/>
          <w:sz w:val="24"/>
          <w:szCs w:val="24"/>
        </w:rPr>
        <w:t>元。</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szCs w:val="24"/>
        </w:rPr>
        <w:t>履约保证金的缴纳时间：</w:t>
      </w:r>
      <w:r>
        <w:rPr>
          <w:rFonts w:hint="eastAsia" w:ascii="宋体" w:hAnsi="宋体"/>
          <w:bCs/>
          <w:sz w:val="24"/>
          <w:szCs w:val="24"/>
          <w:u w:val="single"/>
        </w:rPr>
        <w:t xml:space="preserve">       </w:t>
      </w:r>
      <w:r>
        <w:rPr>
          <w:rFonts w:hint="eastAsia" w:ascii="宋体" w:hAnsi="宋体"/>
          <w:bCs/>
          <w:sz w:val="24"/>
          <w:szCs w:val="24"/>
        </w:rPr>
        <w:t>，缴纳形式：</w:t>
      </w:r>
      <w:r>
        <w:rPr>
          <w:rFonts w:hint="eastAsia" w:ascii="宋体" w:hAnsi="宋体"/>
          <w:bCs/>
          <w:sz w:val="24"/>
          <w:szCs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szCs w:val="24"/>
        </w:rPr>
        <w:t>履约保证金的退付时间：</w:t>
      </w:r>
      <w:r>
        <w:rPr>
          <w:rFonts w:hint="eastAsia" w:ascii="宋体" w:hAnsi="宋体"/>
          <w:bCs/>
          <w:sz w:val="24"/>
          <w:szCs w:val="24"/>
          <w:u w:val="single"/>
        </w:rPr>
        <w:t xml:space="preserve">       </w:t>
      </w:r>
      <w:r>
        <w:rPr>
          <w:rFonts w:hint="eastAsia" w:ascii="宋体" w:hAnsi="宋体"/>
          <w:bCs/>
          <w:sz w:val="24"/>
          <w:szCs w:val="24"/>
        </w:rPr>
        <w:t>，退付办法：</w:t>
      </w:r>
      <w:r>
        <w:rPr>
          <w:rFonts w:hint="eastAsia" w:ascii="宋体" w:hAnsi="宋体"/>
          <w:bCs/>
          <w:sz w:val="24"/>
          <w:szCs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rPr>
        <w:t>履约保证金不予退还的情形：</w:t>
      </w:r>
      <w:r>
        <w:rPr>
          <w:rFonts w:hint="eastAsia" w:ascii="宋体" w:hAnsi="宋体"/>
          <w:bCs/>
          <w:sz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bCs/>
          <w:sz w:val="24"/>
          <w:szCs w:val="24"/>
        </w:rPr>
      </w:pPr>
      <w:r>
        <w:rPr>
          <w:rFonts w:hint="eastAsia" w:ascii="宋体" w:hAnsi="宋体"/>
          <w:bCs/>
          <w:sz w:val="24"/>
        </w:rPr>
        <w:t>逾期退还履约保证金的违约责任：</w:t>
      </w:r>
      <w:r>
        <w:rPr>
          <w:rFonts w:hint="eastAsia" w:ascii="宋体" w:hAnsi="宋体"/>
          <w:bCs/>
          <w:sz w:val="24"/>
          <w:u w:val="single"/>
        </w:rPr>
        <w:t xml:space="preserve">                 </w:t>
      </w:r>
      <w:r>
        <w:rPr>
          <w:rFonts w:hint="eastAsia" w:ascii="宋体" w:hAnsi="宋体"/>
          <w:bCs/>
          <w:sz w:val="24"/>
        </w:rPr>
        <w:t>。</w:t>
      </w:r>
    </w:p>
    <w:p>
      <w:pPr>
        <w:tabs>
          <w:tab w:val="left" w:pos="0"/>
          <w:tab w:val="left" w:pos="1365"/>
        </w:tabs>
        <w:snapToGrid w:val="0"/>
        <w:spacing w:line="336" w:lineRule="auto"/>
        <w:ind w:firstLine="480" w:firstLineChars="200"/>
        <w:rPr>
          <w:rFonts w:ascii="宋体"/>
          <w:bCs/>
          <w:sz w:val="24"/>
          <w:szCs w:val="24"/>
        </w:rPr>
      </w:pPr>
      <w:r>
        <w:rPr>
          <w:rFonts w:hint="eastAsia" w:ascii="宋体" w:hAnsi="宋体"/>
          <w:bCs/>
          <w:sz w:val="24"/>
          <w:szCs w:val="24"/>
        </w:rPr>
        <w:t>（三）知识产权</w:t>
      </w:r>
    </w:p>
    <w:p>
      <w:pPr>
        <w:tabs>
          <w:tab w:val="left" w:pos="945"/>
        </w:tabs>
        <w:snapToGrid w:val="0"/>
        <w:spacing w:line="336" w:lineRule="auto"/>
        <w:ind w:firstLine="480" w:firstLineChars="200"/>
        <w:rPr>
          <w:rFonts w:ascii="宋体"/>
          <w:bCs/>
          <w:sz w:val="24"/>
          <w:szCs w:val="24"/>
        </w:rPr>
      </w:pPr>
      <w:r>
        <w:rPr>
          <w:rFonts w:hint="eastAsia" w:ascii="宋体" w:hAnsi="宋体"/>
          <w:bCs/>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tabs>
          <w:tab w:val="left" w:pos="735"/>
        </w:tabs>
        <w:snapToGrid w:val="0"/>
        <w:spacing w:line="336" w:lineRule="auto"/>
        <w:ind w:firstLine="480" w:firstLineChars="200"/>
        <w:rPr>
          <w:rFonts w:ascii="宋体"/>
          <w:bCs/>
          <w:sz w:val="24"/>
          <w:szCs w:val="24"/>
        </w:rPr>
      </w:pPr>
      <w:r>
        <w:rPr>
          <w:rFonts w:hint="eastAsia" w:ascii="宋体" w:hAnsi="宋体"/>
          <w:bCs/>
          <w:sz w:val="24"/>
          <w:szCs w:val="24"/>
        </w:rPr>
        <w:t>（四）质量要求与检验：</w:t>
      </w:r>
    </w:p>
    <w:p>
      <w:pPr>
        <w:tabs>
          <w:tab w:val="left" w:pos="525"/>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1.供方应严格按照招标文件的有关规定和供方投标文件提供合格的货物及服务。</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2.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tabs>
          <w:tab w:val="left" w:pos="420"/>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3.货物的到货验收包括：数量、外观、质量、性能、随机备件、装箱单、质量证书等随机资料及包装完整无破损。</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4.货物和系统调试验收标准：按行业通行标准、厂方出厂标准、招标文件要求和供方投标文件的承诺，并不低于国家相关标准。</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5.货物运到需方指定地点并经需方验证签收后，由于需方保管不善造成的质量问题，供方应负责修理，但有关费用由需方承担。</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6.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7.需方不得擅自变更招投标文件约定的性能、指标等相关内容，如有变更应按《中华人民共和国政府采购法》、财政部《政府采购货物和服务招标投标管理办法》的相关程序执行。</w:t>
      </w:r>
    </w:p>
    <w:p>
      <w:pPr>
        <w:snapToGrid w:val="0"/>
        <w:spacing w:line="336" w:lineRule="auto"/>
        <w:ind w:firstLine="480" w:firstLineChars="200"/>
        <w:rPr>
          <w:rFonts w:ascii="宋体"/>
          <w:bCs/>
          <w:sz w:val="24"/>
          <w:szCs w:val="24"/>
        </w:rPr>
      </w:pPr>
      <w:r>
        <w:rPr>
          <w:rFonts w:hint="eastAsia" w:ascii="宋体" w:hAnsi="宋体"/>
          <w:bCs/>
          <w:sz w:val="24"/>
          <w:szCs w:val="24"/>
        </w:rPr>
        <w:t>（五）交货条件：</w:t>
      </w:r>
    </w:p>
    <w:p>
      <w:pPr>
        <w:tabs>
          <w:tab w:val="left" w:pos="420"/>
          <w:tab w:val="left" w:pos="1155"/>
        </w:tabs>
        <w:snapToGrid w:val="0"/>
        <w:spacing w:line="336" w:lineRule="auto"/>
        <w:ind w:firstLine="480" w:firstLineChars="200"/>
        <w:rPr>
          <w:rFonts w:ascii="宋体"/>
          <w:bCs/>
          <w:sz w:val="24"/>
          <w:szCs w:val="24"/>
        </w:rPr>
      </w:pPr>
      <w:r>
        <w:rPr>
          <w:rFonts w:hint="eastAsia" w:ascii="宋体" w:hAnsi="宋体"/>
          <w:bCs/>
          <w:sz w:val="24"/>
          <w:szCs w:val="24"/>
        </w:rPr>
        <w:t>1.交货日期（或完工期）：</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2.供方在验收时应先用信函、传真、电子邮件等书面方式通知需方。</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3.货物的外观、包装、运输应按国家有关规定或相关部颁标准执行。如因供方包装或运输不当等原因造成损坏或丢失，应由供方负责调换或补缺，如因此导致供方逾期交付货物的，供方还应承担逾期交付的违约责任。</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4.货物交货时，所有货物必须带有货物质量检验合格证书、中文质保单、装箱单、中文货物安装使用说明书。其它附件所有部件必须原包装。</w:t>
      </w:r>
    </w:p>
    <w:p>
      <w:pPr>
        <w:tabs>
          <w:tab w:val="left" w:pos="945"/>
          <w:tab w:val="left" w:pos="1155"/>
        </w:tabs>
        <w:snapToGrid w:val="0"/>
        <w:spacing w:line="336" w:lineRule="auto"/>
        <w:ind w:left="2" w:firstLine="480" w:firstLineChars="200"/>
        <w:rPr>
          <w:rFonts w:ascii="宋体"/>
          <w:bCs/>
          <w:sz w:val="24"/>
          <w:szCs w:val="24"/>
        </w:rPr>
      </w:pPr>
      <w:r>
        <w:rPr>
          <w:rFonts w:hint="eastAsia" w:ascii="宋体" w:hAnsi="宋体"/>
          <w:bCs/>
          <w:sz w:val="24"/>
          <w:szCs w:val="24"/>
        </w:rPr>
        <w:t>5.运输及到货地点：由供方负责办理运输并承担所有费用，直接送到需方指定地点，即：以合同书上的地点为准。</w:t>
      </w:r>
    </w:p>
    <w:p>
      <w:pPr>
        <w:snapToGrid w:val="0"/>
        <w:spacing w:line="336" w:lineRule="auto"/>
        <w:ind w:firstLine="480" w:firstLineChars="200"/>
        <w:rPr>
          <w:rFonts w:ascii="宋体"/>
          <w:bCs/>
          <w:sz w:val="24"/>
          <w:szCs w:val="24"/>
        </w:rPr>
      </w:pPr>
      <w:r>
        <w:rPr>
          <w:rFonts w:hint="eastAsia" w:ascii="宋体" w:hAnsi="宋体"/>
          <w:bCs/>
          <w:sz w:val="24"/>
          <w:szCs w:val="24"/>
        </w:rPr>
        <w:t>（六）安装调试及售后服务：</w:t>
      </w:r>
    </w:p>
    <w:p>
      <w:pPr>
        <w:tabs>
          <w:tab w:val="left" w:pos="525"/>
          <w:tab w:val="left" w:pos="840"/>
          <w:tab w:val="left" w:pos="945"/>
          <w:tab w:val="left" w:pos="1965"/>
        </w:tabs>
        <w:snapToGrid w:val="0"/>
        <w:spacing w:line="336" w:lineRule="auto"/>
        <w:ind w:firstLine="480" w:firstLineChars="200"/>
        <w:rPr>
          <w:rFonts w:ascii="宋体"/>
          <w:bCs/>
          <w:sz w:val="24"/>
          <w:szCs w:val="24"/>
        </w:rPr>
      </w:pPr>
      <w:r>
        <w:rPr>
          <w:rFonts w:hint="eastAsia" w:ascii="宋体" w:hAnsi="宋体"/>
          <w:bCs/>
          <w:sz w:val="24"/>
          <w:szCs w:val="24"/>
        </w:rPr>
        <w:t>1.供方负责本项目的安装和调试，并保证其提供的货物符合国家、行业、地方、招投标文件及合同规定的质量、性能和标准，并正确且安全地安装。</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2.供方提供的服务全部按照国家有关法律法规规章和“三包”规定以及按招标文件要求和供方投标文件中的承诺执行。</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3.质保期后的货物维护由双方协商再定。</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4.需方应向供方现场调试的技术人员及维修人员提供方便条件，有关费用由供方负责。</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5.需方如要求供方提供招标文件及供方投标文件以外的其它服务，其费用另定。</w:t>
      </w:r>
    </w:p>
    <w:p>
      <w:pPr>
        <w:snapToGrid w:val="0"/>
        <w:spacing w:line="336" w:lineRule="auto"/>
        <w:ind w:firstLine="480" w:firstLineChars="200"/>
        <w:rPr>
          <w:rFonts w:ascii="宋体"/>
          <w:bCs/>
          <w:sz w:val="24"/>
          <w:szCs w:val="24"/>
        </w:rPr>
      </w:pPr>
      <w:r>
        <w:rPr>
          <w:rFonts w:hint="eastAsia" w:ascii="宋体" w:hAnsi="宋体"/>
          <w:bCs/>
          <w:sz w:val="24"/>
          <w:szCs w:val="24"/>
        </w:rPr>
        <w:t>（七）违约责任：</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2.如供方逾期交货且未经需方同意延长交货时间，除不可抗力外，每逾期一日，供方应按照逾期交货金额的万分之五的标准累计计算向需方支付违约金。逾期超过</w:t>
      </w:r>
      <w:r>
        <w:rPr>
          <w:rFonts w:ascii="宋体" w:hAnsi="宋体"/>
          <w:bCs/>
          <w:sz w:val="24"/>
          <w:szCs w:val="24"/>
        </w:rPr>
        <w:t>20</w:t>
      </w:r>
      <w:r>
        <w:rPr>
          <w:rFonts w:hint="eastAsia" w:ascii="宋体" w:hAnsi="宋体"/>
          <w:bCs/>
          <w:sz w:val="24"/>
          <w:szCs w:val="24"/>
        </w:rPr>
        <w:t>个工作日的，需方有权依照法律程序解除合同，需方如已支付费用的，供方全部返还，且供方应按照合同总价的</w:t>
      </w:r>
      <w:r>
        <w:rPr>
          <w:rFonts w:ascii="宋体" w:hAnsi="宋体"/>
          <w:bCs/>
          <w:sz w:val="24"/>
          <w:szCs w:val="24"/>
        </w:rPr>
        <w:t>30%</w:t>
      </w:r>
      <w:r>
        <w:rPr>
          <w:rFonts w:hint="eastAsia" w:ascii="宋体" w:hAnsi="宋体"/>
          <w:bCs/>
          <w:sz w:val="24"/>
          <w:szCs w:val="24"/>
        </w:rPr>
        <w:t>向需方支付违约金，如给需方造成损失的，还应赔偿损失。</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3.需方无正当理由逾期付款时，每逾期一日，需方应按照逾期付款金额的万分之五的标准累计计算向供方支付违约金。</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4.由于需方的原因要求延期交货，需方应按规定承付货款，并承担供方提供的代为保管费。（有关仓储规定另议）</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5.供方如无不可抗力，又未履行招标文件、投标文件和合同条款的，一经查实，由供方赔偿由此给需方造成的损失，并按照合同总价的</w:t>
      </w:r>
      <w:r>
        <w:rPr>
          <w:rFonts w:ascii="宋体" w:hAnsi="宋体"/>
          <w:bCs/>
          <w:sz w:val="24"/>
          <w:szCs w:val="24"/>
        </w:rPr>
        <w:t>30%</w:t>
      </w:r>
      <w:r>
        <w:rPr>
          <w:rFonts w:hint="eastAsia" w:ascii="宋体" w:hAnsi="宋体"/>
          <w:bCs/>
          <w:sz w:val="24"/>
          <w:szCs w:val="24"/>
        </w:rPr>
        <w:t>向需方支付违约金，因招、投标产生的其他责任及后果按招标文件的相关要求及处理方式执行。</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6.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w:t>
      </w:r>
      <w:r>
        <w:rPr>
          <w:rFonts w:ascii="宋体" w:hAnsi="宋体"/>
          <w:bCs/>
          <w:sz w:val="24"/>
          <w:szCs w:val="24"/>
        </w:rPr>
        <w:t>20%</w:t>
      </w:r>
      <w:r>
        <w:rPr>
          <w:rFonts w:hint="eastAsia" w:ascii="宋体" w:hAnsi="宋体"/>
          <w:bCs/>
          <w:sz w:val="24"/>
          <w:szCs w:val="24"/>
        </w:rPr>
        <w:t>向需方支付违约金，如给需方造成其他损失的，供方还应负责赔偿。</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7.如遭遇不可抗力事件，遭遇不可抗力的一方应尽快以书面形式将不可抗力的情况和原因通知另一方，并积极采取措施防止损失扩大。因不可抗力造成的损失，供、需双方按照法律规定处理。</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8.招标文件及合同中所述之“不可抗力”系指不可预见、不可避免、不可克服的事件，包括但不限于：战争、洪水、台风、地震及其他法律、法规规定的事件。</w:t>
      </w:r>
    </w:p>
    <w:p>
      <w:pPr>
        <w:pStyle w:val="118"/>
        <w:numPr>
          <w:ilvl w:val="0"/>
          <w:numId w:val="5"/>
        </w:numPr>
        <w:snapToGrid w:val="0"/>
        <w:spacing w:line="336" w:lineRule="auto"/>
        <w:ind w:firstLineChars="0"/>
        <w:rPr>
          <w:rFonts w:ascii="宋体"/>
          <w:bCs/>
          <w:sz w:val="24"/>
          <w:szCs w:val="24"/>
        </w:rPr>
      </w:pPr>
      <w:r>
        <w:rPr>
          <w:rFonts w:hint="eastAsia" w:ascii="宋体" w:hAnsi="宋体"/>
          <w:bCs/>
          <w:sz w:val="24"/>
          <w:szCs w:val="24"/>
        </w:rPr>
        <w:t>合同生效及其它：</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1.合同经供需双方代表签字并盖章，且在无锡市公共资源交易中心新吴分中心见证后即生效。</w:t>
      </w:r>
    </w:p>
    <w:p>
      <w:pPr>
        <w:tabs>
          <w:tab w:val="left" w:pos="0"/>
          <w:tab w:val="left" w:pos="315"/>
          <w:tab w:val="left" w:pos="525"/>
          <w:tab w:val="left" w:pos="945"/>
        </w:tabs>
        <w:snapToGrid w:val="0"/>
        <w:spacing w:line="336" w:lineRule="auto"/>
        <w:ind w:firstLine="480" w:firstLineChars="200"/>
        <w:rPr>
          <w:rFonts w:ascii="宋体" w:hAnsi="宋体"/>
          <w:bCs/>
          <w:sz w:val="24"/>
          <w:szCs w:val="24"/>
        </w:rPr>
      </w:pPr>
      <w:r>
        <w:rPr>
          <w:rFonts w:hint="eastAsia" w:ascii="宋体" w:hAnsi="宋体"/>
          <w:bCs/>
          <w:sz w:val="24"/>
          <w:szCs w:val="24"/>
        </w:rPr>
        <w:t>2.合同签订后供需双方即直接产生权利与义务的关系，合同执行过程中出现的问题应按照合同约定、法律法规的规定办理。在合同履行过程中，双方如有争议，</w:t>
      </w:r>
      <w:r>
        <w:rPr>
          <w:rFonts w:hint="eastAsia" w:ascii="宋体" w:hAnsi="宋体"/>
          <w:sz w:val="24"/>
          <w:szCs w:val="24"/>
        </w:rPr>
        <w:t>由供需双方协商处理，若协商不成，</w:t>
      </w:r>
      <w:r>
        <w:rPr>
          <w:rFonts w:hint="eastAsia" w:ascii="宋体" w:hAnsi="宋体"/>
          <w:bCs/>
          <w:sz w:val="24"/>
          <w:szCs w:val="24"/>
        </w:rPr>
        <w:t>可选择以下方式处理：</w:t>
      </w:r>
    </w:p>
    <w:p>
      <w:pPr>
        <w:tabs>
          <w:tab w:val="left" w:pos="0"/>
          <w:tab w:val="left" w:pos="315"/>
          <w:tab w:val="left" w:pos="525"/>
          <w:tab w:val="left" w:pos="945"/>
        </w:tabs>
        <w:snapToGrid w:val="0"/>
        <w:spacing w:line="336" w:lineRule="auto"/>
        <w:ind w:firstLine="480" w:firstLineChars="200"/>
        <w:rPr>
          <w:rFonts w:ascii="宋体" w:hAnsi="宋体"/>
          <w:sz w:val="24"/>
          <w:szCs w:val="24"/>
        </w:rPr>
      </w:pPr>
      <w:r>
        <w:rPr>
          <w:rFonts w:hint="eastAsia" w:ascii="宋体" w:hAnsi="宋体"/>
          <w:sz w:val="24"/>
          <w:szCs w:val="24"/>
        </w:rPr>
        <w:t>（1）向无锡仲裁委员会申请仲裁。</w:t>
      </w:r>
    </w:p>
    <w:p>
      <w:pPr>
        <w:tabs>
          <w:tab w:val="left" w:pos="0"/>
          <w:tab w:val="left" w:pos="315"/>
          <w:tab w:val="left" w:pos="525"/>
          <w:tab w:val="left" w:pos="945"/>
        </w:tabs>
        <w:snapToGrid w:val="0"/>
        <w:spacing w:line="336" w:lineRule="auto"/>
        <w:ind w:firstLine="480" w:firstLineChars="200"/>
        <w:rPr>
          <w:rFonts w:ascii="宋体"/>
          <w:sz w:val="24"/>
          <w:szCs w:val="24"/>
        </w:rPr>
      </w:pPr>
      <w:r>
        <w:rPr>
          <w:rFonts w:hint="eastAsia" w:ascii="宋体" w:hAnsi="宋体"/>
          <w:sz w:val="24"/>
          <w:szCs w:val="24"/>
        </w:rPr>
        <w:t>（2）向需方所在地法院提起诉讼。</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3.合同在执行过程中出现的未尽事宜，双方在不违背本合同和招标文件的原则下协商解决，协商结果以书面形式签订补充协议，且补充协议与本合同具有同等效力。</w:t>
      </w:r>
    </w:p>
    <w:p>
      <w:pPr>
        <w:tabs>
          <w:tab w:val="left" w:pos="0"/>
          <w:tab w:val="left" w:pos="315"/>
          <w:tab w:val="left" w:pos="525"/>
          <w:tab w:val="left" w:pos="945"/>
        </w:tabs>
        <w:snapToGrid w:val="0"/>
        <w:spacing w:line="336" w:lineRule="auto"/>
        <w:ind w:firstLine="480" w:firstLineChars="200"/>
        <w:rPr>
          <w:rFonts w:ascii="宋体" w:hAnsi="宋体"/>
          <w:sz w:val="24"/>
          <w:szCs w:val="24"/>
        </w:rPr>
      </w:pPr>
      <w:r>
        <w:rPr>
          <w:rFonts w:hint="eastAsia" w:ascii="宋体" w:hAnsi="宋体"/>
          <w:sz w:val="24"/>
          <w:szCs w:val="24"/>
        </w:rPr>
        <w:t>4.合同中未有约定的按照有关的法律法规以及国家行业标准或技术文件规定予以解决。</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5.供需双方确认：对本合同条款及后果均已知悉，一致确认不存在欺诈、胁迫、乘人之危、重大误解、显失公平等任何可能导致合同无效或被撤销的情形。</w:t>
      </w:r>
    </w:p>
    <w:p>
      <w:pPr>
        <w:snapToGrid w:val="0"/>
        <w:spacing w:line="336" w:lineRule="auto"/>
        <w:rPr>
          <w:rFonts w:ascii="宋体"/>
          <w:bCs/>
          <w:sz w:val="24"/>
          <w:szCs w:val="24"/>
          <w:u w:val="single"/>
        </w:rPr>
      </w:pPr>
      <w:r>
        <w:rPr>
          <w:rFonts w:hint="eastAsia" w:ascii="宋体" w:hAnsi="宋体"/>
          <w:bCs/>
          <w:sz w:val="24"/>
          <w:szCs w:val="24"/>
        </w:rPr>
        <w:t>需方（采购人）：（签章）</w:t>
      </w:r>
      <w:r>
        <w:rPr>
          <w:rFonts w:ascii="宋体" w:hAnsi="宋体"/>
          <w:bCs/>
          <w:sz w:val="24"/>
          <w:szCs w:val="24"/>
        </w:rPr>
        <w:t xml:space="preserve">           </w:t>
      </w:r>
      <w:r>
        <w:rPr>
          <w:rFonts w:hint="eastAsia" w:ascii="宋体" w:hAnsi="宋体"/>
          <w:bCs/>
          <w:sz w:val="24"/>
          <w:szCs w:val="24"/>
        </w:rPr>
        <w:t xml:space="preserve">        供方（中标方）：（签章）</w:t>
      </w:r>
    </w:p>
    <w:p>
      <w:pPr>
        <w:snapToGrid w:val="0"/>
        <w:spacing w:line="336" w:lineRule="auto"/>
        <w:rPr>
          <w:rFonts w:ascii="宋体" w:hAnsi="宋体"/>
          <w:bCs/>
          <w:sz w:val="24"/>
          <w:szCs w:val="24"/>
        </w:rPr>
      </w:pPr>
      <w:r>
        <w:rPr>
          <w:rFonts w:hint="eastAsia" w:ascii="宋体" w:hAnsi="宋体"/>
          <w:bCs/>
          <w:sz w:val="24"/>
          <w:szCs w:val="24"/>
        </w:rPr>
        <w:t>法定（授权）代表人：</w:t>
      </w:r>
      <w:r>
        <w:rPr>
          <w:rFonts w:ascii="宋体" w:hAnsi="宋体"/>
          <w:bCs/>
          <w:sz w:val="24"/>
          <w:szCs w:val="24"/>
        </w:rPr>
        <w:t xml:space="preserve">            </w:t>
      </w:r>
      <w:r>
        <w:rPr>
          <w:rFonts w:hint="eastAsia" w:ascii="宋体" w:hAnsi="宋体"/>
          <w:bCs/>
          <w:sz w:val="24"/>
          <w:szCs w:val="24"/>
        </w:rPr>
        <w:t xml:space="preserve">         法定（授权）代表人：</w:t>
      </w:r>
    </w:p>
    <w:p>
      <w:pPr>
        <w:snapToGrid w:val="0"/>
        <w:spacing w:line="336" w:lineRule="auto"/>
        <w:rPr>
          <w:rFonts w:ascii="宋体" w:hAnsi="宋体"/>
          <w:bCs/>
          <w:sz w:val="24"/>
          <w:szCs w:val="24"/>
          <w:u w:val="single"/>
        </w:rPr>
      </w:pPr>
      <w:r>
        <w:rPr>
          <w:rFonts w:hint="eastAsia" w:ascii="宋体" w:hAnsi="宋体"/>
          <w:bCs/>
          <w:sz w:val="24"/>
          <w:szCs w:val="24"/>
        </w:rPr>
        <w:t>地址：</w:t>
      </w:r>
      <w:r>
        <w:rPr>
          <w:rFonts w:ascii="宋体" w:hAnsi="宋体"/>
          <w:bCs/>
          <w:sz w:val="24"/>
          <w:szCs w:val="24"/>
        </w:rPr>
        <w:t xml:space="preserve">                          </w:t>
      </w:r>
      <w:r>
        <w:rPr>
          <w:rFonts w:hint="eastAsia" w:ascii="宋体" w:hAnsi="宋体"/>
          <w:bCs/>
          <w:sz w:val="24"/>
          <w:szCs w:val="24"/>
        </w:rPr>
        <w:t xml:space="preserve">         地址：</w:t>
      </w:r>
    </w:p>
    <w:p>
      <w:pPr>
        <w:snapToGrid w:val="0"/>
        <w:spacing w:line="336" w:lineRule="auto"/>
        <w:ind w:firstLine="480" w:firstLineChars="200"/>
        <w:rPr>
          <w:rFonts w:ascii="宋体"/>
          <w:bCs/>
          <w:sz w:val="24"/>
          <w:szCs w:val="24"/>
          <w:u w:val="single"/>
        </w:rPr>
      </w:pPr>
      <w:r>
        <w:rPr>
          <w:rFonts w:hint="eastAsia" w:ascii="宋体" w:hAnsi="宋体"/>
          <w:bCs/>
          <w:sz w:val="24"/>
          <w:szCs w:val="24"/>
        </w:rPr>
        <w:t>年</w:t>
      </w:r>
      <w:r>
        <w:rPr>
          <w:rFonts w:ascii="宋体" w:hAnsi="宋体"/>
          <w:bCs/>
          <w:sz w:val="24"/>
          <w:szCs w:val="24"/>
        </w:rPr>
        <w:t xml:space="preserve">    </w:t>
      </w:r>
      <w:r>
        <w:rPr>
          <w:rFonts w:hint="eastAsia" w:ascii="宋体" w:hAnsi="宋体"/>
          <w:bCs/>
          <w:sz w:val="24"/>
          <w:szCs w:val="24"/>
        </w:rPr>
        <w:t>月</w:t>
      </w:r>
      <w:r>
        <w:rPr>
          <w:rFonts w:ascii="宋体" w:hAnsi="宋体"/>
          <w:bCs/>
          <w:sz w:val="24"/>
          <w:szCs w:val="24"/>
        </w:rPr>
        <w:t xml:space="preserve">    </w:t>
      </w:r>
      <w:r>
        <w:rPr>
          <w:rFonts w:hint="eastAsia" w:ascii="宋体" w:hAnsi="宋体"/>
          <w:bCs/>
          <w:sz w:val="24"/>
          <w:szCs w:val="24"/>
        </w:rPr>
        <w:t>日</w:t>
      </w:r>
      <w:r>
        <w:rPr>
          <w:rFonts w:ascii="宋体" w:hAnsi="宋体"/>
          <w:bCs/>
          <w:sz w:val="24"/>
          <w:szCs w:val="24"/>
        </w:rPr>
        <w:t xml:space="preserve">                 </w:t>
      </w:r>
      <w:r>
        <w:rPr>
          <w:rFonts w:hint="eastAsia" w:ascii="宋体" w:hAnsi="宋体"/>
          <w:bCs/>
          <w:sz w:val="24"/>
          <w:szCs w:val="24"/>
        </w:rPr>
        <w:t xml:space="preserve">          年</w:t>
      </w:r>
      <w:r>
        <w:rPr>
          <w:rFonts w:ascii="宋体" w:hAnsi="宋体"/>
          <w:bCs/>
          <w:sz w:val="24"/>
          <w:szCs w:val="24"/>
        </w:rPr>
        <w:t xml:space="preserve">      </w:t>
      </w:r>
      <w:r>
        <w:rPr>
          <w:rFonts w:hint="eastAsia" w:ascii="宋体" w:hAnsi="宋体"/>
          <w:bCs/>
          <w:sz w:val="24"/>
          <w:szCs w:val="24"/>
        </w:rPr>
        <w:t>月</w:t>
      </w:r>
      <w:r>
        <w:rPr>
          <w:rFonts w:ascii="宋体" w:hAnsi="宋体"/>
          <w:bCs/>
          <w:sz w:val="24"/>
          <w:szCs w:val="24"/>
        </w:rPr>
        <w:t xml:space="preserve">       </w:t>
      </w:r>
      <w:r>
        <w:rPr>
          <w:rFonts w:hint="eastAsia" w:ascii="宋体" w:hAnsi="宋体"/>
          <w:bCs/>
          <w:sz w:val="24"/>
          <w:szCs w:val="24"/>
        </w:rPr>
        <w:t>日</w:t>
      </w:r>
    </w:p>
    <w:p>
      <w:pPr>
        <w:snapToGrid w:val="0"/>
        <w:spacing w:line="336" w:lineRule="auto"/>
        <w:ind w:firstLine="480" w:firstLineChars="200"/>
        <w:rPr>
          <w:rFonts w:ascii="宋体" w:hAnsi="宋体"/>
          <w:bCs/>
          <w:sz w:val="24"/>
          <w:szCs w:val="24"/>
          <w:u w:val="single"/>
        </w:rPr>
      </w:pPr>
      <w:r>
        <w:rPr>
          <w:rFonts w:ascii="宋体" w:hAnsi="宋体"/>
          <w:bCs/>
          <w:sz w:val="24"/>
          <w:szCs w:val="24"/>
        </w:rPr>
        <w:t xml:space="preserve">                           </w:t>
      </w:r>
      <w:r>
        <w:rPr>
          <w:rFonts w:hint="eastAsia" w:ascii="宋体" w:hAnsi="宋体"/>
          <w:bCs/>
          <w:sz w:val="24"/>
          <w:szCs w:val="24"/>
        </w:rPr>
        <w:t xml:space="preserve">          供方户名：</w:t>
      </w:r>
    </w:p>
    <w:p>
      <w:pPr>
        <w:snapToGrid w:val="0"/>
        <w:spacing w:line="336" w:lineRule="auto"/>
        <w:rPr>
          <w:rFonts w:ascii="宋体" w:hAnsi="宋体"/>
          <w:bCs/>
          <w:sz w:val="24"/>
          <w:szCs w:val="24"/>
          <w:u w:val="single"/>
        </w:rPr>
      </w:pPr>
      <w:r>
        <w:rPr>
          <w:rFonts w:ascii="宋体" w:hAnsi="宋体"/>
          <w:bCs/>
          <w:sz w:val="24"/>
          <w:szCs w:val="24"/>
        </w:rPr>
        <w:t xml:space="preserve">                               </w:t>
      </w:r>
      <w:r>
        <w:rPr>
          <w:rFonts w:hint="eastAsia" w:ascii="宋体" w:hAnsi="宋体"/>
          <w:bCs/>
          <w:sz w:val="24"/>
          <w:szCs w:val="24"/>
        </w:rPr>
        <w:t xml:space="preserve">          </w:t>
      </w:r>
      <w:r>
        <w:rPr>
          <w:rFonts w:ascii="宋体" w:hAnsi="宋体"/>
          <w:bCs/>
          <w:sz w:val="24"/>
          <w:szCs w:val="24"/>
        </w:rPr>
        <w:t>供方开户银行：</w:t>
      </w:r>
    </w:p>
    <w:p>
      <w:pPr>
        <w:rPr>
          <w:rFonts w:ascii="黑体" w:eastAsia="黑体"/>
          <w:bCs/>
          <w:color w:val="000000"/>
          <w:sz w:val="36"/>
        </w:rPr>
      </w:pPr>
      <w:r>
        <w:rPr>
          <w:rFonts w:ascii="宋体" w:hAnsi="宋体"/>
          <w:bCs/>
          <w:sz w:val="24"/>
          <w:szCs w:val="24"/>
        </w:rPr>
        <w:t xml:space="preserve">                           </w:t>
      </w:r>
      <w:r>
        <w:rPr>
          <w:rFonts w:hint="eastAsia" w:ascii="宋体" w:hAnsi="宋体"/>
          <w:bCs/>
          <w:sz w:val="24"/>
          <w:szCs w:val="24"/>
        </w:rPr>
        <w:t xml:space="preserve">              供方帐号：</w:t>
      </w:r>
    </w:p>
    <w:p>
      <w:pPr>
        <w:jc w:val="center"/>
        <w:rPr>
          <w:rFonts w:hint="eastAsia" w:ascii="黑体" w:eastAsia="黑体"/>
          <w:bCs/>
          <w:sz w:val="28"/>
          <w:szCs w:val="28"/>
        </w:rPr>
      </w:pPr>
    </w:p>
    <w:p>
      <w:pPr>
        <w:jc w:val="center"/>
        <w:rPr>
          <w:rFonts w:ascii="宋体" w:hAnsi="宋体"/>
          <w:bCs/>
          <w:sz w:val="24"/>
          <w:szCs w:val="24"/>
        </w:rPr>
      </w:pPr>
      <w:r>
        <w:rPr>
          <w:rFonts w:hint="eastAsia" w:ascii="黑体" w:eastAsia="黑体"/>
          <w:bCs/>
          <w:sz w:val="28"/>
          <w:szCs w:val="28"/>
        </w:rPr>
        <w:t>六. 附件</w:t>
      </w:r>
    </w:p>
    <w:p>
      <w:pPr>
        <w:jc w:val="left"/>
        <w:rPr>
          <w:rFonts w:ascii="宋体" w:hAnsi="宋体"/>
          <w:bCs/>
          <w:sz w:val="24"/>
          <w:szCs w:val="24"/>
        </w:rPr>
      </w:pPr>
      <w:r>
        <w:rPr>
          <w:rFonts w:hint="eastAsia" w:ascii="宋体" w:hAnsi="宋体"/>
          <w:bCs/>
          <w:sz w:val="24"/>
          <w:szCs w:val="24"/>
        </w:rPr>
        <w:t>附件一：评分标准</w:t>
      </w:r>
    </w:p>
    <w:p>
      <w:pPr>
        <w:tabs>
          <w:tab w:val="left" w:pos="510"/>
          <w:tab w:val="left" w:pos="846"/>
          <w:tab w:val="left" w:pos="945"/>
          <w:tab w:val="left" w:pos="1155"/>
          <w:tab w:val="left" w:pos="3823"/>
        </w:tabs>
        <w:spacing w:line="360" w:lineRule="auto"/>
        <w:rPr>
          <w:rFonts w:ascii="宋体" w:hAnsi="宋体"/>
          <w:b/>
          <w:bCs/>
          <w:sz w:val="24"/>
          <w:szCs w:val="24"/>
        </w:rPr>
      </w:pPr>
      <w:r>
        <w:rPr>
          <w:rFonts w:hint="eastAsia" w:ascii="宋体" w:hAnsi="宋体"/>
          <w:b/>
          <w:bCs/>
          <w:sz w:val="24"/>
          <w:szCs w:val="24"/>
        </w:rPr>
        <w:t>（1）价格（30分）：</w:t>
      </w:r>
    </w:p>
    <w:p>
      <w:pPr>
        <w:tabs>
          <w:tab w:val="left" w:pos="945"/>
          <w:tab w:val="left" w:pos="1155"/>
        </w:tabs>
        <w:spacing w:line="360" w:lineRule="auto"/>
        <w:ind w:firstLine="566" w:firstLineChars="236"/>
        <w:rPr>
          <w:rFonts w:ascii="宋体" w:hAnsi="宋体"/>
          <w:bCs/>
          <w:sz w:val="24"/>
          <w:szCs w:val="24"/>
        </w:rPr>
      </w:pPr>
      <w:r>
        <w:rPr>
          <w:rFonts w:hint="eastAsia" w:ascii="宋体" w:hAnsi="宋体"/>
          <w:bCs/>
          <w:sz w:val="24"/>
          <w:szCs w:val="24"/>
        </w:rPr>
        <w:t>采用低价优先法计算，即满足招标文件要求且投标价格最低的投标报价为评标基准价，其价格分为满分。其他投标人的价格分统一按照下列公式计算：</w:t>
      </w:r>
    </w:p>
    <w:p>
      <w:pPr>
        <w:tabs>
          <w:tab w:val="left" w:pos="945"/>
          <w:tab w:val="left" w:pos="1155"/>
        </w:tabs>
        <w:spacing w:line="360" w:lineRule="auto"/>
        <w:ind w:firstLine="480" w:firstLineChars="200"/>
        <w:rPr>
          <w:rFonts w:ascii="宋体" w:hAnsi="宋体"/>
          <w:bCs/>
          <w:sz w:val="24"/>
          <w:szCs w:val="24"/>
        </w:rPr>
      </w:pPr>
      <w:r>
        <w:rPr>
          <w:rFonts w:hint="eastAsia" w:ascii="宋体" w:hAnsi="宋体"/>
          <w:bCs/>
          <w:sz w:val="24"/>
          <w:szCs w:val="24"/>
        </w:rPr>
        <w:t>投标报价得分</w:t>
      </w:r>
      <w:r>
        <w:rPr>
          <w:rFonts w:ascii="宋体" w:hAnsi="宋体"/>
          <w:bCs/>
          <w:sz w:val="24"/>
          <w:szCs w:val="24"/>
        </w:rPr>
        <w:t>=(</w:t>
      </w:r>
      <w:r>
        <w:rPr>
          <w:rFonts w:hint="eastAsia" w:ascii="宋体" w:hAnsi="宋体"/>
          <w:bCs/>
          <w:sz w:val="24"/>
          <w:szCs w:val="24"/>
        </w:rPr>
        <w:t>评标基准价／投标报价</w:t>
      </w:r>
      <w:r>
        <w:rPr>
          <w:rFonts w:ascii="宋体" w:hAnsi="宋体"/>
          <w:bCs/>
          <w:sz w:val="24"/>
          <w:szCs w:val="24"/>
        </w:rPr>
        <w:t>)</w:t>
      </w:r>
      <w:r>
        <w:rPr>
          <w:rFonts w:hint="eastAsia" w:ascii="宋体" w:hAnsi="宋体"/>
          <w:bCs/>
          <w:sz w:val="24"/>
          <w:szCs w:val="24"/>
        </w:rPr>
        <w:t>×价格权值×</w:t>
      </w:r>
      <w:r>
        <w:rPr>
          <w:rFonts w:ascii="宋体" w:hAnsi="宋体"/>
          <w:bCs/>
          <w:sz w:val="24"/>
          <w:szCs w:val="24"/>
        </w:rPr>
        <w:t>100</w:t>
      </w:r>
      <w:r>
        <w:rPr>
          <w:rFonts w:hint="eastAsia" w:ascii="宋体" w:hAnsi="宋体"/>
          <w:bCs/>
          <w:sz w:val="24"/>
          <w:szCs w:val="24"/>
        </w:rPr>
        <w:t>。</w:t>
      </w:r>
    </w:p>
    <w:p>
      <w:pPr>
        <w:spacing w:line="360" w:lineRule="auto"/>
        <w:ind w:firstLine="480" w:firstLineChars="200"/>
        <w:jc w:val="left"/>
        <w:rPr>
          <w:rFonts w:ascii="宋体" w:hAnsi="宋体"/>
          <w:bCs/>
          <w:sz w:val="24"/>
          <w:szCs w:val="24"/>
        </w:rPr>
      </w:pPr>
      <w:r>
        <w:rPr>
          <w:rFonts w:hint="eastAsia" w:ascii="宋体" w:hAnsi="宋体"/>
          <w:bCs/>
          <w:sz w:val="24"/>
          <w:szCs w:val="24"/>
        </w:rPr>
        <w:t>价格扣除：专门面向中小/小微企业的项目除外。</w:t>
      </w:r>
    </w:p>
    <w:p>
      <w:pPr>
        <w:spacing w:line="360" w:lineRule="auto"/>
        <w:ind w:firstLine="480" w:firstLineChars="200"/>
        <w:jc w:val="left"/>
        <w:rPr>
          <w:rFonts w:ascii="宋体" w:hAnsi="宋体"/>
          <w:bCs/>
          <w:sz w:val="24"/>
          <w:szCs w:val="24"/>
        </w:rPr>
      </w:pPr>
      <w:r>
        <w:rPr>
          <w:rFonts w:hint="eastAsia" w:ascii="宋体" w:hAnsi="宋体"/>
          <w:bCs/>
          <w:sz w:val="24"/>
          <w:szCs w:val="24"/>
        </w:rPr>
        <w:t>①对小型和微型企业产品的价格给予10</w:t>
      </w:r>
      <w:r>
        <w:rPr>
          <w:rFonts w:ascii="宋体" w:hAnsi="宋体"/>
          <w:bCs/>
          <w:sz w:val="24"/>
          <w:szCs w:val="24"/>
        </w:rPr>
        <w:t>%</w:t>
      </w:r>
      <w:r>
        <w:rPr>
          <w:rFonts w:hint="eastAsia" w:ascii="宋体" w:hAnsi="宋体"/>
          <w:bCs/>
          <w:sz w:val="24"/>
          <w:szCs w:val="24"/>
        </w:rPr>
        <w:t>的扣除，用扣除后的价格参与评审。参加投标的中小企业，应当按照《政府采购促进中小企业发展管理办法》</w:t>
      </w:r>
      <w:r>
        <w:rPr>
          <w:rFonts w:ascii="宋体" w:hAnsi="宋体"/>
          <w:bCs/>
          <w:sz w:val="24"/>
          <w:szCs w:val="24"/>
        </w:rPr>
        <w:t>（财库﹝2020﹞46 号）</w:t>
      </w:r>
      <w:r>
        <w:rPr>
          <w:rFonts w:hint="eastAsia" w:ascii="宋体" w:hAnsi="宋体"/>
          <w:bCs/>
          <w:sz w:val="24"/>
          <w:szCs w:val="24"/>
        </w:rPr>
        <w:t>的规定提供《中小企业声明函》（货物）（中小企业划型标准详见《关于印发中小企业划型标准规定的通知》工信部联企业〔</w:t>
      </w:r>
      <w:r>
        <w:rPr>
          <w:rFonts w:ascii="宋体" w:hAnsi="宋体"/>
          <w:bCs/>
          <w:sz w:val="24"/>
          <w:szCs w:val="24"/>
        </w:rPr>
        <w:t>2011</w:t>
      </w:r>
      <w:r>
        <w:rPr>
          <w:rFonts w:hint="eastAsia" w:ascii="宋体" w:hAnsi="宋体"/>
          <w:bCs/>
          <w:sz w:val="24"/>
          <w:szCs w:val="24"/>
        </w:rPr>
        <w:t>〕</w:t>
      </w:r>
      <w:r>
        <w:rPr>
          <w:rFonts w:ascii="宋体" w:hAnsi="宋体"/>
          <w:bCs/>
          <w:sz w:val="24"/>
          <w:szCs w:val="24"/>
        </w:rPr>
        <w:t>300</w:t>
      </w:r>
      <w:r>
        <w:rPr>
          <w:rFonts w:hint="eastAsia" w:ascii="宋体" w:hAnsi="宋体"/>
          <w:bCs/>
          <w:sz w:val="24"/>
          <w:szCs w:val="24"/>
        </w:rPr>
        <w:t>号）。</w:t>
      </w:r>
    </w:p>
    <w:p>
      <w:pPr>
        <w:spacing w:line="360" w:lineRule="auto"/>
        <w:ind w:firstLine="480" w:firstLineChars="200"/>
        <w:jc w:val="left"/>
        <w:rPr>
          <w:rFonts w:ascii="宋体" w:hAnsi="宋体"/>
          <w:bCs/>
          <w:sz w:val="24"/>
          <w:szCs w:val="24"/>
        </w:rPr>
      </w:pPr>
      <w:r>
        <w:rPr>
          <w:rFonts w:hint="eastAsia" w:ascii="宋体" w:hAnsi="宋体"/>
          <w:bCs/>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spacing w:line="360" w:lineRule="auto"/>
        <w:ind w:firstLine="480" w:firstLineChars="200"/>
        <w:jc w:val="left"/>
        <w:rPr>
          <w:rFonts w:ascii="宋体" w:hAnsi="宋体"/>
          <w:bCs/>
          <w:sz w:val="24"/>
          <w:szCs w:val="24"/>
        </w:rPr>
      </w:pPr>
      <w:r>
        <w:rPr>
          <w:rFonts w:hint="eastAsia" w:ascii="宋体" w:hAnsi="宋体"/>
          <w:bCs/>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spacing w:line="360" w:lineRule="auto"/>
        <w:ind w:firstLine="480" w:firstLineChars="200"/>
        <w:jc w:val="left"/>
        <w:rPr>
          <w:rFonts w:ascii="宋体" w:hAnsi="宋体"/>
          <w:bCs/>
          <w:sz w:val="24"/>
          <w:szCs w:val="24"/>
        </w:rPr>
      </w:pPr>
      <w:r>
        <w:rPr>
          <w:rFonts w:hint="eastAsia" w:ascii="宋体" w:hAnsi="宋体"/>
          <w:bCs/>
          <w:sz w:val="24"/>
          <w:szCs w:val="24"/>
        </w:rPr>
        <w:t>同一投标人，上述三项价格扣除优惠不得重复享受。</w:t>
      </w:r>
    </w:p>
    <w:p>
      <w:pPr>
        <w:tabs>
          <w:tab w:val="left" w:pos="525"/>
          <w:tab w:val="left" w:pos="945"/>
          <w:tab w:val="left" w:pos="1155"/>
          <w:tab w:val="left" w:pos="3396"/>
          <w:tab w:val="left" w:pos="5098"/>
        </w:tabs>
        <w:spacing w:line="360" w:lineRule="auto"/>
        <w:rPr>
          <w:rFonts w:ascii="宋体" w:hAnsi="宋体"/>
          <w:b/>
          <w:bCs/>
          <w:sz w:val="24"/>
          <w:szCs w:val="24"/>
        </w:rPr>
      </w:pPr>
      <w:r>
        <w:rPr>
          <w:rFonts w:hint="eastAsia" w:ascii="宋体" w:hAnsi="宋体"/>
          <w:b/>
          <w:bCs/>
          <w:sz w:val="24"/>
          <w:szCs w:val="24"/>
        </w:rPr>
        <w:t>（</w:t>
      </w:r>
      <w:r>
        <w:rPr>
          <w:rFonts w:ascii="宋体" w:hAnsi="宋体"/>
          <w:b/>
          <w:bCs/>
          <w:sz w:val="24"/>
          <w:szCs w:val="24"/>
        </w:rPr>
        <w:t>2</w:t>
      </w:r>
      <w:r>
        <w:rPr>
          <w:rFonts w:hint="eastAsia" w:ascii="宋体" w:hAnsi="宋体"/>
          <w:b/>
          <w:bCs/>
          <w:sz w:val="24"/>
          <w:szCs w:val="24"/>
        </w:rPr>
        <w:t>）</w:t>
      </w:r>
      <w:r>
        <w:rPr>
          <w:rFonts w:hint="eastAsia" w:ascii="宋体" w:hAnsi="宋体"/>
          <w:b/>
          <w:bCs/>
          <w:color w:val="000000"/>
          <w:sz w:val="24"/>
          <w:szCs w:val="24"/>
        </w:rPr>
        <w:t>产品及材料质量</w:t>
      </w:r>
      <w:r>
        <w:rPr>
          <w:rFonts w:hint="eastAsia" w:ascii="宋体" w:hAnsi="宋体"/>
          <w:b/>
          <w:bCs/>
          <w:sz w:val="24"/>
          <w:szCs w:val="24"/>
        </w:rPr>
        <w:t>（</w:t>
      </w:r>
      <w:r>
        <w:rPr>
          <w:rFonts w:ascii="宋体" w:hAnsi="宋体"/>
          <w:b/>
          <w:bCs/>
          <w:sz w:val="24"/>
          <w:szCs w:val="24"/>
        </w:rPr>
        <w:t>8</w:t>
      </w:r>
      <w:r>
        <w:rPr>
          <w:rFonts w:hint="eastAsia" w:ascii="宋体" w:hAnsi="宋体"/>
          <w:b/>
          <w:bCs/>
          <w:sz w:val="24"/>
          <w:szCs w:val="24"/>
        </w:rPr>
        <w:t>分）：</w:t>
      </w:r>
    </w:p>
    <w:p>
      <w:pPr>
        <w:spacing w:line="360" w:lineRule="auto"/>
        <w:ind w:firstLine="480" w:firstLineChars="200"/>
        <w:jc w:val="left"/>
        <w:rPr>
          <w:rFonts w:ascii="宋体" w:hAnsi="宋体"/>
          <w:b/>
          <w:sz w:val="24"/>
          <w:szCs w:val="24"/>
        </w:rPr>
      </w:pPr>
      <w:r>
        <w:rPr>
          <w:rFonts w:hint="eastAsia" w:ascii="宋体" w:hAnsi="宋体"/>
          <w:bCs/>
          <w:sz w:val="24"/>
          <w:szCs w:val="24"/>
        </w:rPr>
        <w:t>检测报告：投标人能够提供有效期内的带C</w:t>
      </w:r>
      <w:r>
        <w:rPr>
          <w:rFonts w:ascii="宋体" w:hAnsi="宋体"/>
          <w:bCs/>
          <w:sz w:val="24"/>
          <w:szCs w:val="24"/>
        </w:rPr>
        <w:t>MA</w:t>
      </w:r>
      <w:r>
        <w:rPr>
          <w:rFonts w:hint="eastAsia" w:ascii="宋体" w:hAnsi="宋体"/>
          <w:bCs/>
          <w:sz w:val="24"/>
          <w:szCs w:val="24"/>
        </w:rPr>
        <w:t>和C</w:t>
      </w:r>
      <w:r>
        <w:rPr>
          <w:rFonts w:ascii="宋体" w:hAnsi="宋体"/>
          <w:bCs/>
          <w:sz w:val="24"/>
          <w:szCs w:val="24"/>
        </w:rPr>
        <w:t>NAS</w:t>
      </w:r>
      <w:r>
        <w:rPr>
          <w:rFonts w:hint="eastAsia" w:ascii="宋体" w:hAnsi="宋体"/>
          <w:bCs/>
          <w:sz w:val="24"/>
          <w:szCs w:val="24"/>
        </w:rPr>
        <w:t>标记的由法定质检单位出具的</w:t>
      </w:r>
      <w:r>
        <w:rPr>
          <w:rFonts w:hint="eastAsia" w:ascii="宋体" w:hAnsi="宋体"/>
          <w:bCs/>
          <w:sz w:val="24"/>
          <w:szCs w:val="24"/>
          <w:lang w:val="en-US" w:eastAsia="zh-CN"/>
        </w:rPr>
        <w:t>原材料</w:t>
      </w:r>
      <w:r>
        <w:rPr>
          <w:rFonts w:hint="eastAsia" w:ascii="宋体" w:hAnsi="宋体"/>
          <w:bCs/>
          <w:sz w:val="24"/>
          <w:szCs w:val="24"/>
        </w:rPr>
        <w:t>抽检报告：检测结果必须包含下列每项要求内注明条目，检测报告中必须包含所需检测项目，每提供一个检测</w:t>
      </w:r>
      <w:r>
        <w:rPr>
          <w:rFonts w:hint="eastAsia" w:cs="宋体"/>
          <w:sz w:val="24"/>
          <w:szCs w:val="24"/>
        </w:rPr>
        <w:t>依据项</w:t>
      </w:r>
      <w:r>
        <w:rPr>
          <w:rFonts w:hint="eastAsia" w:ascii="宋体" w:hAnsi="宋体"/>
          <w:bCs/>
          <w:sz w:val="24"/>
          <w:szCs w:val="24"/>
        </w:rPr>
        <w:t>得0</w:t>
      </w:r>
      <w:r>
        <w:rPr>
          <w:rFonts w:ascii="宋体" w:hAnsi="宋体"/>
          <w:bCs/>
          <w:sz w:val="24"/>
          <w:szCs w:val="24"/>
        </w:rPr>
        <w:t>.5</w:t>
      </w:r>
      <w:r>
        <w:rPr>
          <w:rFonts w:hint="eastAsia" w:ascii="宋体" w:hAnsi="宋体"/>
          <w:bCs/>
          <w:sz w:val="24"/>
          <w:szCs w:val="24"/>
        </w:rPr>
        <w:t>分。每提供一份完整的合格检测报告得1分，最多得</w:t>
      </w:r>
      <w:r>
        <w:rPr>
          <w:rFonts w:ascii="宋体" w:hAnsi="宋体"/>
          <w:bCs/>
          <w:sz w:val="24"/>
          <w:szCs w:val="24"/>
        </w:rPr>
        <w:t>8</w:t>
      </w:r>
      <w:r>
        <w:rPr>
          <w:rFonts w:hint="eastAsia" w:ascii="宋体" w:hAnsi="宋体"/>
          <w:bCs/>
          <w:sz w:val="24"/>
          <w:szCs w:val="24"/>
        </w:rPr>
        <w:t>分</w:t>
      </w:r>
      <w:r>
        <w:rPr>
          <w:rFonts w:hint="eastAsia" w:ascii="宋体" w:hAnsi="宋体"/>
          <w:b/>
          <w:sz w:val="24"/>
          <w:szCs w:val="24"/>
        </w:rPr>
        <w:t>。（检测类别：抽样检测或委托抽样检测）</w:t>
      </w:r>
    </w:p>
    <w:p>
      <w:pPr>
        <w:spacing w:line="360" w:lineRule="auto"/>
        <w:ind w:firstLine="480" w:firstLineChars="200"/>
        <w:jc w:val="left"/>
        <w:rPr>
          <w:rFonts w:ascii="宋体" w:hAnsi="宋体"/>
          <w:b/>
          <w:bCs/>
          <w:sz w:val="24"/>
          <w:szCs w:val="24"/>
          <w:highlight w:val="none"/>
        </w:rPr>
      </w:pPr>
      <w:r>
        <w:rPr>
          <w:rFonts w:hint="eastAsia" w:ascii="宋体" w:hAnsi="宋体"/>
          <w:b/>
          <w:bCs/>
          <w:sz w:val="24"/>
          <w:szCs w:val="24"/>
          <w:highlight w:val="none"/>
        </w:rPr>
        <w:t>原材料抽样检测报告</w:t>
      </w:r>
      <w:r>
        <w:rPr>
          <w:rFonts w:ascii="宋体" w:hAnsi="宋体"/>
          <w:b/>
          <w:bCs/>
          <w:sz w:val="24"/>
          <w:szCs w:val="24"/>
          <w:highlight w:val="none"/>
        </w:rPr>
        <w:t xml:space="preserve">: </w:t>
      </w:r>
    </w:p>
    <w:p>
      <w:pPr>
        <w:spacing w:line="360" w:lineRule="auto"/>
        <w:ind w:firstLine="283" w:firstLineChars="118"/>
        <w:jc w:val="left"/>
        <w:rPr>
          <w:rFonts w:ascii="宋体" w:hAnsi="宋体"/>
          <w:bCs/>
          <w:sz w:val="24"/>
          <w:szCs w:val="24"/>
          <w:highlight w:val="none"/>
        </w:rPr>
      </w:pPr>
      <w:r>
        <w:rPr>
          <w:rFonts w:ascii="宋体" w:hAnsi="宋体"/>
          <w:bCs/>
          <w:sz w:val="24"/>
          <w:szCs w:val="24"/>
          <w:highlight w:val="none"/>
        </w:rPr>
        <w:fldChar w:fldCharType="begin"/>
      </w:r>
      <w:r>
        <w:rPr>
          <w:rFonts w:ascii="宋体" w:hAnsi="宋体"/>
          <w:bCs/>
          <w:sz w:val="24"/>
          <w:szCs w:val="24"/>
          <w:highlight w:val="none"/>
        </w:rPr>
        <w:instrText xml:space="preserve"> </w:instrText>
      </w:r>
      <w:r>
        <w:rPr>
          <w:rFonts w:hint="eastAsia" w:ascii="宋体" w:hAnsi="宋体"/>
          <w:bCs/>
          <w:sz w:val="24"/>
          <w:szCs w:val="24"/>
          <w:highlight w:val="none"/>
        </w:rPr>
        <w:instrText xml:space="preserve">eq \o\ac(</w:instrText>
      </w:r>
      <w:r>
        <w:rPr>
          <w:rFonts w:hint="eastAsia" w:ascii="宋体" w:hAnsi="宋体"/>
          <w:bCs/>
          <w:position w:val="-4"/>
          <w:sz w:val="36"/>
          <w:szCs w:val="24"/>
          <w:highlight w:val="none"/>
        </w:rPr>
        <w:instrText xml:space="preserve">○</w:instrText>
      </w:r>
      <w:r>
        <w:rPr>
          <w:rFonts w:hint="eastAsia" w:ascii="宋体" w:hAnsi="宋体"/>
          <w:bCs/>
          <w:sz w:val="24"/>
          <w:szCs w:val="24"/>
          <w:highlight w:val="none"/>
        </w:rPr>
        <w:instrText xml:space="preserve">,1)</w:instrText>
      </w:r>
      <w:r>
        <w:rPr>
          <w:rFonts w:ascii="宋体" w:hAnsi="宋体"/>
          <w:bCs/>
          <w:sz w:val="24"/>
          <w:szCs w:val="24"/>
          <w:highlight w:val="none"/>
        </w:rPr>
        <w:fldChar w:fldCharType="end"/>
      </w:r>
      <w:r>
        <w:rPr>
          <w:rFonts w:hint="eastAsia" w:ascii="宋体" w:hAnsi="宋体"/>
          <w:bCs/>
          <w:sz w:val="24"/>
          <w:szCs w:val="24"/>
          <w:highlight w:val="none"/>
        </w:rPr>
        <w:t>A</w:t>
      </w:r>
      <w:r>
        <w:rPr>
          <w:rFonts w:ascii="宋体" w:hAnsi="宋体"/>
          <w:bCs/>
          <w:sz w:val="24"/>
          <w:szCs w:val="24"/>
          <w:highlight w:val="none"/>
        </w:rPr>
        <w:t>BS</w:t>
      </w:r>
      <w:r>
        <w:rPr>
          <w:rFonts w:hint="eastAsia" w:ascii="宋体" w:hAnsi="宋体"/>
          <w:bCs/>
          <w:sz w:val="24"/>
          <w:szCs w:val="24"/>
          <w:highlight w:val="none"/>
        </w:rPr>
        <w:t>工程塑料:</w:t>
      </w:r>
      <w:r>
        <w:rPr>
          <w:rFonts w:hint="eastAsia" w:cs="宋体"/>
          <w:sz w:val="24"/>
          <w:szCs w:val="24"/>
          <w:highlight w:val="none"/>
        </w:rPr>
        <w:t xml:space="preserve"> 检测依据：G</w:t>
      </w:r>
      <w:r>
        <w:rPr>
          <w:rFonts w:cs="宋体"/>
          <w:sz w:val="24"/>
          <w:szCs w:val="24"/>
          <w:highlight w:val="none"/>
        </w:rPr>
        <w:t>B</w:t>
      </w:r>
      <w:r>
        <w:rPr>
          <w:rFonts w:ascii="宋体" w:hAnsi="宋体"/>
          <w:bCs/>
          <w:sz w:val="24"/>
          <w:szCs w:val="24"/>
          <w:highlight w:val="none"/>
        </w:rPr>
        <w:t>28481-2012</w:t>
      </w:r>
      <w:r>
        <w:rPr>
          <w:rFonts w:hint="eastAsia" w:ascii="宋体" w:hAnsi="宋体"/>
          <w:bCs/>
          <w:sz w:val="24"/>
          <w:szCs w:val="24"/>
          <w:highlight w:val="none"/>
        </w:rPr>
        <w:t>有害物质限量</w:t>
      </w:r>
      <w:r>
        <w:rPr>
          <w:rFonts w:ascii="宋体" w:hAnsi="宋体"/>
          <w:bCs/>
          <w:sz w:val="24"/>
          <w:szCs w:val="24"/>
          <w:highlight w:val="none"/>
        </w:rPr>
        <w:t>(</w:t>
      </w:r>
      <w:r>
        <w:rPr>
          <w:rFonts w:hint="eastAsia" w:ascii="宋体" w:hAnsi="宋体"/>
          <w:bCs/>
          <w:sz w:val="24"/>
          <w:szCs w:val="24"/>
          <w:highlight w:val="none"/>
        </w:rPr>
        <w:t>邻苯二甲</w:t>
      </w:r>
      <w:r>
        <w:rPr>
          <w:rFonts w:ascii="宋体" w:hAnsi="宋体"/>
          <w:bCs/>
          <w:sz w:val="24"/>
          <w:szCs w:val="24"/>
          <w:highlight w:val="none"/>
        </w:rPr>
        <w:t xml:space="preserve"> 酸酯(%)</w:t>
      </w:r>
      <w:r>
        <w:rPr>
          <w:rFonts w:hint="eastAsia" w:ascii="宋体" w:hAnsi="宋体"/>
          <w:bCs/>
          <w:sz w:val="24"/>
          <w:szCs w:val="24"/>
          <w:highlight w:val="none"/>
        </w:rPr>
        <w:t>、多环芳烃)、</w:t>
      </w:r>
      <w:r>
        <w:rPr>
          <w:rFonts w:ascii="宋体" w:hAnsi="宋体"/>
          <w:bCs/>
          <w:sz w:val="24"/>
          <w:szCs w:val="24"/>
          <w:highlight w:val="none"/>
        </w:rPr>
        <w:t>GB/T31402-2015</w:t>
      </w:r>
      <w:r>
        <w:rPr>
          <w:rFonts w:hint="eastAsia" w:ascii="宋体" w:hAnsi="宋体"/>
          <w:bCs/>
          <w:color w:val="auto"/>
          <w:sz w:val="24"/>
          <w:szCs w:val="24"/>
          <w:highlight w:val="none"/>
        </w:rPr>
        <w:t>抗菌性能（藤黄微球菌 、粪链球菌）</w:t>
      </w:r>
      <w:r>
        <w:rPr>
          <w:rFonts w:hint="eastAsia" w:ascii="宋体" w:hAnsi="宋体"/>
          <w:bCs/>
          <w:sz w:val="24"/>
          <w:szCs w:val="24"/>
          <w:highlight w:val="none"/>
        </w:rPr>
        <w:t>。</w:t>
      </w:r>
    </w:p>
    <w:p>
      <w:pPr>
        <w:spacing w:line="360" w:lineRule="auto"/>
        <w:ind w:firstLine="283" w:firstLineChars="118"/>
        <w:jc w:val="left"/>
        <w:rPr>
          <w:rFonts w:ascii="宋体" w:hAnsi="宋体"/>
          <w:bCs/>
          <w:sz w:val="24"/>
          <w:szCs w:val="24"/>
          <w:highlight w:val="none"/>
        </w:rPr>
      </w:pPr>
      <w:r>
        <w:rPr>
          <w:rFonts w:ascii="Calibri" w:hAnsi="Calibri" w:cs="Calibri"/>
          <w:bCs/>
          <w:sz w:val="24"/>
          <w:szCs w:val="24"/>
          <w:highlight w:val="none"/>
        </w:rPr>
        <w:t>②</w:t>
      </w:r>
      <w:r>
        <w:rPr>
          <w:rFonts w:hint="eastAsia" w:ascii="宋体" w:hAnsi="宋体"/>
          <w:bCs/>
          <w:sz w:val="24"/>
          <w:szCs w:val="24"/>
          <w:highlight w:val="none"/>
        </w:rPr>
        <w:t>钢板:</w:t>
      </w:r>
      <w:r>
        <w:rPr>
          <w:rFonts w:ascii="宋体" w:hAnsi="宋体" w:cs="宋体"/>
          <w:sz w:val="24"/>
          <w:szCs w:val="24"/>
          <w:highlight w:val="none"/>
        </w:rPr>
        <w:t xml:space="preserve"> </w:t>
      </w:r>
      <w:r>
        <w:rPr>
          <w:rFonts w:hint="eastAsia" w:cs="宋体"/>
          <w:sz w:val="24"/>
          <w:szCs w:val="24"/>
          <w:highlight w:val="none"/>
        </w:rPr>
        <w:t>检测依据：</w:t>
      </w:r>
      <w:r>
        <w:rPr>
          <w:rFonts w:ascii="宋体" w:hAnsi="宋体"/>
          <w:bCs/>
          <w:sz w:val="24"/>
          <w:szCs w:val="24"/>
          <w:highlight w:val="none"/>
        </w:rPr>
        <w:t xml:space="preserve"> GB/T700</w:t>
      </w:r>
      <w:r>
        <w:rPr>
          <w:rFonts w:hint="eastAsia" w:ascii="宋体" w:hAnsi="宋体"/>
          <w:bCs/>
          <w:sz w:val="24"/>
          <w:szCs w:val="24"/>
          <w:highlight w:val="none"/>
        </w:rPr>
        <w:t>-</w:t>
      </w:r>
      <w:r>
        <w:rPr>
          <w:rFonts w:ascii="宋体" w:hAnsi="宋体"/>
          <w:bCs/>
          <w:sz w:val="24"/>
          <w:szCs w:val="24"/>
          <w:highlight w:val="none"/>
        </w:rPr>
        <w:t>2006</w:t>
      </w:r>
      <w:r>
        <w:rPr>
          <w:rFonts w:hint="eastAsia" w:ascii="宋体" w:hAnsi="宋体"/>
          <w:bCs/>
          <w:sz w:val="24"/>
          <w:szCs w:val="24"/>
          <w:highlight w:val="none"/>
        </w:rPr>
        <w:t>力学性能、化学成分；</w:t>
      </w:r>
      <w:r>
        <w:rPr>
          <w:rFonts w:ascii="宋体" w:hAnsi="宋体"/>
          <w:bCs/>
          <w:sz w:val="24"/>
          <w:szCs w:val="24"/>
          <w:highlight w:val="none"/>
        </w:rPr>
        <w:t>GB/T3325</w:t>
      </w:r>
      <w:r>
        <w:rPr>
          <w:rFonts w:hint="eastAsia" w:ascii="宋体" w:hAnsi="宋体"/>
          <w:bCs/>
          <w:sz w:val="24"/>
          <w:szCs w:val="24"/>
          <w:highlight w:val="none"/>
        </w:rPr>
        <w:t>-</w:t>
      </w:r>
      <w:r>
        <w:rPr>
          <w:rFonts w:ascii="宋体" w:hAnsi="宋体"/>
          <w:bCs/>
          <w:sz w:val="24"/>
          <w:szCs w:val="24"/>
          <w:highlight w:val="none"/>
        </w:rPr>
        <w:t>2017</w:t>
      </w:r>
      <w:r>
        <w:rPr>
          <w:rFonts w:hint="eastAsia" w:ascii="宋体" w:hAnsi="宋体"/>
          <w:bCs/>
          <w:sz w:val="24"/>
          <w:szCs w:val="24"/>
          <w:highlight w:val="none"/>
        </w:rPr>
        <w:t>金属喷漆（塑）涂层耐腐蚀≥500h。</w:t>
      </w:r>
    </w:p>
    <w:p>
      <w:pPr>
        <w:spacing w:line="360" w:lineRule="auto"/>
        <w:ind w:firstLine="283" w:firstLineChars="118"/>
        <w:jc w:val="left"/>
        <w:rPr>
          <w:rFonts w:ascii="宋体" w:hAnsi="宋体"/>
          <w:bCs/>
          <w:sz w:val="24"/>
          <w:szCs w:val="24"/>
          <w:highlight w:val="none"/>
        </w:rPr>
      </w:pPr>
      <w:r>
        <w:rPr>
          <w:rFonts w:ascii="宋体" w:hAnsi="宋体"/>
          <w:bCs/>
          <w:sz w:val="24"/>
          <w:szCs w:val="24"/>
          <w:highlight w:val="none"/>
        </w:rPr>
        <w:fldChar w:fldCharType="begin"/>
      </w:r>
      <w:r>
        <w:rPr>
          <w:rFonts w:ascii="宋体" w:hAnsi="宋体"/>
          <w:bCs/>
          <w:sz w:val="24"/>
          <w:szCs w:val="24"/>
          <w:highlight w:val="none"/>
        </w:rPr>
        <w:instrText xml:space="preserve"> </w:instrText>
      </w:r>
      <w:r>
        <w:rPr>
          <w:rFonts w:hint="eastAsia" w:ascii="宋体" w:hAnsi="宋体"/>
          <w:bCs/>
          <w:sz w:val="24"/>
          <w:szCs w:val="24"/>
          <w:highlight w:val="none"/>
        </w:rPr>
        <w:instrText xml:space="preserve">eq \o\ac(</w:instrText>
      </w:r>
      <w:r>
        <w:rPr>
          <w:rFonts w:hint="eastAsia" w:ascii="宋体" w:hAnsi="宋体"/>
          <w:bCs/>
          <w:position w:val="-4"/>
          <w:sz w:val="36"/>
          <w:szCs w:val="24"/>
          <w:highlight w:val="none"/>
        </w:rPr>
        <w:instrText xml:space="preserve">○</w:instrText>
      </w:r>
      <w:r>
        <w:rPr>
          <w:rFonts w:hint="eastAsia" w:ascii="宋体" w:hAnsi="宋体"/>
          <w:bCs/>
          <w:sz w:val="24"/>
          <w:szCs w:val="24"/>
          <w:highlight w:val="none"/>
        </w:rPr>
        <w:instrText xml:space="preserve">,3)</w:instrText>
      </w:r>
      <w:r>
        <w:rPr>
          <w:rFonts w:ascii="宋体" w:hAnsi="宋体"/>
          <w:bCs/>
          <w:sz w:val="24"/>
          <w:szCs w:val="24"/>
          <w:highlight w:val="none"/>
        </w:rPr>
        <w:fldChar w:fldCharType="end"/>
      </w:r>
      <w:r>
        <w:rPr>
          <w:rFonts w:hint="eastAsia" w:ascii="宋体" w:hAnsi="宋体"/>
          <w:bCs/>
          <w:sz w:val="24"/>
          <w:szCs w:val="24"/>
          <w:highlight w:val="none"/>
        </w:rPr>
        <w:t>三聚氰胺板:</w:t>
      </w:r>
      <w:r>
        <w:rPr>
          <w:rFonts w:hint="eastAsia" w:cs="宋体"/>
          <w:sz w:val="24"/>
          <w:szCs w:val="24"/>
          <w:highlight w:val="none"/>
        </w:rPr>
        <w:t xml:space="preserve"> 检测依据：G</w:t>
      </w:r>
      <w:r>
        <w:rPr>
          <w:rFonts w:cs="宋体"/>
          <w:sz w:val="24"/>
          <w:szCs w:val="24"/>
          <w:highlight w:val="none"/>
        </w:rPr>
        <w:t>B</w:t>
      </w:r>
      <w:r>
        <w:rPr>
          <w:rFonts w:ascii="宋体" w:hAnsi="宋体"/>
          <w:bCs/>
          <w:sz w:val="24"/>
          <w:szCs w:val="24"/>
          <w:highlight w:val="none"/>
        </w:rPr>
        <w:t>18580-2017</w:t>
      </w:r>
      <w:r>
        <w:rPr>
          <w:rFonts w:hint="eastAsia" w:ascii="宋体" w:hAnsi="宋体"/>
          <w:sz w:val="24"/>
          <w:szCs w:val="24"/>
          <w:highlight w:val="none"/>
        </w:rPr>
        <w:t>甲醛释放量（mg/m³）；</w:t>
      </w:r>
      <w:r>
        <w:rPr>
          <w:rFonts w:ascii="宋体" w:hAnsi="宋体"/>
          <w:sz w:val="24"/>
          <w:szCs w:val="24"/>
          <w:highlight w:val="none"/>
        </w:rPr>
        <w:t>GB/T1741-2007</w:t>
      </w:r>
      <w:r>
        <w:rPr>
          <w:rFonts w:hint="eastAsia" w:asciiTheme="minorEastAsia" w:hAnsiTheme="minorEastAsia"/>
          <w:bCs/>
          <w:color w:val="000000" w:themeColor="text1"/>
          <w:sz w:val="24"/>
          <w:szCs w:val="24"/>
          <w:highlight w:val="none"/>
        </w:rPr>
        <w:t>防霉菌等级；</w:t>
      </w:r>
      <w:r>
        <w:rPr>
          <w:rFonts w:ascii="宋体" w:hAnsi="宋体"/>
          <w:bCs/>
          <w:sz w:val="24"/>
          <w:szCs w:val="24"/>
          <w:highlight w:val="none"/>
        </w:rPr>
        <w:t xml:space="preserve"> </w:t>
      </w:r>
    </w:p>
    <w:p>
      <w:pPr>
        <w:spacing w:line="360" w:lineRule="auto"/>
        <w:ind w:firstLine="283" w:firstLineChars="118"/>
        <w:jc w:val="left"/>
        <w:rPr>
          <w:rFonts w:ascii="宋体" w:hAnsi="宋体"/>
          <w:bCs/>
          <w:sz w:val="24"/>
          <w:szCs w:val="24"/>
          <w:highlight w:val="none"/>
        </w:rPr>
      </w:pPr>
      <w:r>
        <w:rPr>
          <w:rFonts w:ascii="宋体" w:hAnsi="宋体"/>
          <w:bCs/>
          <w:sz w:val="24"/>
          <w:szCs w:val="24"/>
          <w:highlight w:val="none"/>
        </w:rPr>
        <w:fldChar w:fldCharType="begin"/>
      </w:r>
      <w:r>
        <w:rPr>
          <w:rFonts w:ascii="宋体" w:hAnsi="宋体"/>
          <w:bCs/>
          <w:sz w:val="24"/>
          <w:szCs w:val="24"/>
          <w:highlight w:val="none"/>
        </w:rPr>
        <w:instrText xml:space="preserve"> </w:instrText>
      </w:r>
      <w:r>
        <w:rPr>
          <w:rFonts w:hint="eastAsia" w:ascii="宋体" w:hAnsi="宋体"/>
          <w:bCs/>
          <w:sz w:val="24"/>
          <w:szCs w:val="24"/>
          <w:highlight w:val="none"/>
        </w:rPr>
        <w:instrText xml:space="preserve">eq \o\ac(</w:instrText>
      </w:r>
      <w:r>
        <w:rPr>
          <w:rFonts w:hint="eastAsia" w:ascii="宋体" w:hAnsi="宋体"/>
          <w:bCs/>
          <w:position w:val="-4"/>
          <w:sz w:val="36"/>
          <w:szCs w:val="24"/>
          <w:highlight w:val="none"/>
        </w:rPr>
        <w:instrText xml:space="preserve">○</w:instrText>
      </w:r>
      <w:r>
        <w:rPr>
          <w:rFonts w:hint="eastAsia" w:ascii="宋体" w:hAnsi="宋体"/>
          <w:bCs/>
          <w:sz w:val="24"/>
          <w:szCs w:val="24"/>
          <w:highlight w:val="none"/>
        </w:rPr>
        <w:instrText xml:space="preserve">,4)</w:instrText>
      </w:r>
      <w:r>
        <w:rPr>
          <w:rFonts w:ascii="宋体" w:hAnsi="宋体"/>
          <w:bCs/>
          <w:sz w:val="24"/>
          <w:szCs w:val="24"/>
          <w:highlight w:val="none"/>
        </w:rPr>
        <w:fldChar w:fldCharType="end"/>
      </w:r>
      <w:r>
        <w:rPr>
          <w:rFonts w:hint="eastAsia" w:ascii="宋体" w:hAnsi="宋体"/>
          <w:bCs/>
          <w:sz w:val="24"/>
          <w:szCs w:val="24"/>
          <w:highlight w:val="none"/>
          <w:lang w:val="en-US" w:eastAsia="zh-CN"/>
        </w:rPr>
        <w:t>PP塑料</w:t>
      </w:r>
      <w:r>
        <w:rPr>
          <w:rFonts w:hint="eastAsia" w:ascii="宋体" w:hAnsi="宋体"/>
          <w:bCs/>
          <w:sz w:val="24"/>
          <w:szCs w:val="24"/>
          <w:highlight w:val="none"/>
        </w:rPr>
        <w:t>:</w:t>
      </w:r>
      <w:r>
        <w:rPr>
          <w:rFonts w:hint="eastAsia" w:ascii="宋体" w:hAnsi="宋体"/>
          <w:sz w:val="24"/>
          <w:szCs w:val="24"/>
          <w:highlight w:val="none"/>
        </w:rPr>
        <w:t xml:space="preserve"> </w:t>
      </w:r>
      <w:r>
        <w:rPr>
          <w:rFonts w:hint="eastAsia" w:cs="宋体"/>
          <w:sz w:val="24"/>
          <w:szCs w:val="24"/>
          <w:highlight w:val="none"/>
        </w:rPr>
        <w:t>检测依据：</w:t>
      </w:r>
      <w:r>
        <w:rPr>
          <w:rFonts w:ascii="宋体" w:hAnsi="宋体"/>
          <w:bCs/>
          <w:sz w:val="24"/>
          <w:szCs w:val="24"/>
          <w:highlight w:val="none"/>
        </w:rPr>
        <w:t>GB/T16422.2- 2014</w:t>
      </w:r>
      <w:r>
        <w:rPr>
          <w:rFonts w:hint="eastAsia" w:ascii="宋体" w:hAnsi="宋体"/>
          <w:bCs/>
          <w:sz w:val="24"/>
          <w:szCs w:val="24"/>
          <w:highlight w:val="none"/>
        </w:rPr>
        <w:t>耐老化性（≥500h）、</w:t>
      </w:r>
      <w:r>
        <w:rPr>
          <w:rFonts w:ascii="宋体" w:hAnsi="宋体"/>
          <w:bCs/>
          <w:sz w:val="24"/>
          <w:szCs w:val="24"/>
          <w:highlight w:val="none"/>
        </w:rPr>
        <w:t>GB/T31402-2015</w:t>
      </w:r>
      <w:r>
        <w:rPr>
          <w:rFonts w:hint="eastAsia" w:ascii="宋体" w:hAnsi="宋体"/>
          <w:bCs/>
          <w:sz w:val="24"/>
          <w:szCs w:val="24"/>
          <w:highlight w:val="none"/>
        </w:rPr>
        <w:t>抗菌性能（藤黄微球菌 、粪链球菌）。</w:t>
      </w:r>
    </w:p>
    <w:p>
      <w:pPr>
        <w:spacing w:line="360" w:lineRule="auto"/>
        <w:ind w:firstLine="283" w:firstLineChars="118"/>
        <w:jc w:val="left"/>
        <w:rPr>
          <w:rFonts w:ascii="宋体" w:hAnsi="宋体"/>
          <w:bCs/>
          <w:sz w:val="24"/>
          <w:szCs w:val="24"/>
        </w:rPr>
      </w:pPr>
      <w:r>
        <w:rPr>
          <w:rFonts w:ascii="宋体" w:hAnsi="宋体"/>
          <w:bCs/>
          <w:sz w:val="24"/>
          <w:szCs w:val="24"/>
        </w:rPr>
        <w:fldChar w:fldCharType="begin"/>
      </w:r>
      <w:r>
        <w:rPr>
          <w:rFonts w:ascii="宋体" w:hAnsi="宋体"/>
          <w:bCs/>
          <w:sz w:val="24"/>
          <w:szCs w:val="24"/>
        </w:rPr>
        <w:instrText xml:space="preserve"> </w:instrText>
      </w:r>
      <w:r>
        <w:rPr>
          <w:rFonts w:hint="eastAsia" w:ascii="宋体" w:hAnsi="宋体"/>
          <w:bCs/>
          <w:sz w:val="24"/>
          <w:szCs w:val="24"/>
        </w:rPr>
        <w:instrText xml:space="preserve">eq \o\ac(</w:instrText>
      </w:r>
      <w:r>
        <w:rPr>
          <w:rFonts w:hint="eastAsia" w:ascii="宋体" w:hAnsi="宋体"/>
          <w:bCs/>
          <w:position w:val="-4"/>
          <w:sz w:val="36"/>
          <w:szCs w:val="24"/>
        </w:rPr>
        <w:instrText xml:space="preserve">○</w:instrText>
      </w:r>
      <w:r>
        <w:rPr>
          <w:rFonts w:hint="eastAsia" w:ascii="宋体" w:hAnsi="宋体"/>
          <w:bCs/>
          <w:sz w:val="24"/>
          <w:szCs w:val="24"/>
        </w:rPr>
        <w:instrText xml:space="preserve">,5)</w:instrText>
      </w:r>
      <w:r>
        <w:rPr>
          <w:rFonts w:ascii="宋体" w:hAnsi="宋体"/>
          <w:bCs/>
          <w:sz w:val="24"/>
          <w:szCs w:val="24"/>
        </w:rPr>
        <w:fldChar w:fldCharType="end"/>
      </w:r>
      <w:r>
        <w:rPr>
          <w:rFonts w:hint="eastAsia" w:ascii="宋体" w:hAnsi="宋体"/>
          <w:bCs/>
          <w:sz w:val="24"/>
          <w:szCs w:val="24"/>
        </w:rPr>
        <w:t>实木多层板:</w:t>
      </w:r>
      <w:r>
        <w:rPr>
          <w:rFonts w:hint="eastAsia" w:ascii="宋体" w:hAnsi="宋体"/>
          <w:sz w:val="24"/>
          <w:szCs w:val="24"/>
        </w:rPr>
        <w:t xml:space="preserve"> </w:t>
      </w:r>
      <w:r>
        <w:rPr>
          <w:rFonts w:hint="eastAsia" w:cs="宋体"/>
          <w:sz w:val="24"/>
          <w:szCs w:val="24"/>
        </w:rPr>
        <w:t>检测依据：</w:t>
      </w:r>
      <w:r>
        <w:rPr>
          <w:rFonts w:ascii="宋体" w:hAnsi="宋体"/>
          <w:bCs/>
          <w:sz w:val="24"/>
          <w:szCs w:val="24"/>
        </w:rPr>
        <w:t>GB/T17657</w:t>
      </w:r>
      <w:r>
        <w:rPr>
          <w:rFonts w:hint="eastAsia" w:ascii="宋体" w:hAnsi="宋体"/>
          <w:bCs/>
          <w:sz w:val="24"/>
          <w:szCs w:val="24"/>
        </w:rPr>
        <w:t>-</w:t>
      </w:r>
      <w:r>
        <w:rPr>
          <w:rFonts w:ascii="宋体" w:hAnsi="宋体"/>
          <w:bCs/>
          <w:sz w:val="24"/>
          <w:szCs w:val="24"/>
        </w:rPr>
        <w:t>2013</w:t>
      </w:r>
      <w:r>
        <w:rPr>
          <w:rFonts w:hint="eastAsia" w:ascii="宋体" w:hAnsi="宋体"/>
          <w:bCs/>
          <w:sz w:val="24"/>
          <w:szCs w:val="24"/>
        </w:rPr>
        <w:t>甲醛释放量</w:t>
      </w:r>
      <w:r>
        <w:rPr>
          <w:rFonts w:hint="eastAsia" w:ascii="宋体" w:hAnsi="宋体"/>
          <w:sz w:val="24"/>
          <w:szCs w:val="24"/>
        </w:rPr>
        <w:t>（mg/m³）</w:t>
      </w:r>
      <w:r>
        <w:rPr>
          <w:rFonts w:hint="eastAsia" w:ascii="宋体" w:hAnsi="宋体"/>
          <w:bCs/>
          <w:sz w:val="24"/>
          <w:szCs w:val="24"/>
        </w:rPr>
        <w:t>；</w:t>
      </w:r>
      <w:r>
        <w:rPr>
          <w:rFonts w:ascii="宋体" w:hAnsi="宋体"/>
          <w:sz w:val="24"/>
          <w:szCs w:val="24"/>
        </w:rPr>
        <w:t>GB/T1741-2007</w:t>
      </w:r>
      <w:r>
        <w:rPr>
          <w:rFonts w:hint="eastAsia" w:asciiTheme="minorEastAsia" w:hAnsiTheme="minorEastAsia"/>
          <w:bCs/>
          <w:color w:val="000000" w:themeColor="text1"/>
          <w:sz w:val="24"/>
          <w:szCs w:val="24"/>
        </w:rPr>
        <w:t>防霉菌等级；</w:t>
      </w:r>
      <w:r>
        <w:rPr>
          <w:rFonts w:ascii="宋体" w:hAnsi="宋体"/>
          <w:bCs/>
          <w:sz w:val="24"/>
          <w:szCs w:val="24"/>
        </w:rPr>
        <w:t xml:space="preserve"> </w:t>
      </w:r>
    </w:p>
    <w:p>
      <w:pPr>
        <w:pStyle w:val="2"/>
        <w:spacing w:line="360" w:lineRule="auto"/>
        <w:ind w:firstLine="283" w:firstLineChars="118"/>
        <w:rPr>
          <w:rFonts w:asciiTheme="minorEastAsia" w:hAnsiTheme="minorEastAsia"/>
          <w:bCs/>
          <w:color w:val="000000" w:themeColor="text1"/>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eq \o\ac(</w:instrText>
      </w:r>
      <w:r>
        <w:rPr>
          <w:rFonts w:hint="eastAsia" w:ascii="宋体" w:hAnsiTheme="minorEastAsia"/>
          <w:position w:val="-4"/>
          <w:sz w:val="36"/>
          <w:szCs w:val="24"/>
        </w:rPr>
        <w:instrText xml:space="preserve">○</w:instrText>
      </w:r>
      <w:r>
        <w:rPr>
          <w:rFonts w:hint="eastAsia" w:asciiTheme="minorEastAsia" w:hAnsiTheme="minorEastAsia"/>
          <w:sz w:val="24"/>
          <w:szCs w:val="24"/>
        </w:rPr>
        <w:instrText xml:space="preserve">,6)</w:instrText>
      </w:r>
      <w:r>
        <w:rPr>
          <w:rFonts w:asciiTheme="minorEastAsia" w:hAnsiTheme="minorEastAsia"/>
          <w:sz w:val="24"/>
          <w:szCs w:val="24"/>
        </w:rPr>
        <w:fldChar w:fldCharType="end"/>
      </w:r>
      <w:r>
        <w:rPr>
          <w:rFonts w:hint="eastAsia" w:asciiTheme="minorEastAsia" w:hAnsiTheme="minorEastAsia"/>
          <w:bCs/>
          <w:color w:val="000000" w:themeColor="text1"/>
          <w:sz w:val="24"/>
          <w:szCs w:val="24"/>
        </w:rPr>
        <w:t>白蜡木实木：</w:t>
      </w:r>
      <w:r>
        <w:rPr>
          <w:rFonts w:hint="eastAsia" w:cs="宋体"/>
          <w:sz w:val="24"/>
          <w:szCs w:val="24"/>
        </w:rPr>
        <w:t>检测依据：</w:t>
      </w:r>
      <w:r>
        <w:rPr>
          <w:rFonts w:cs="宋体" w:asciiTheme="minorEastAsia" w:hAnsiTheme="minorEastAsia"/>
          <w:sz w:val="24"/>
          <w:szCs w:val="24"/>
        </w:rPr>
        <w:t>GB/T 17657-2013</w:t>
      </w:r>
      <w:r>
        <w:rPr>
          <w:rFonts w:hint="eastAsia" w:asciiTheme="minorEastAsia" w:hAnsiTheme="minorEastAsia"/>
          <w:color w:val="000000" w:themeColor="text1"/>
          <w:sz w:val="24"/>
          <w:szCs w:val="24"/>
        </w:rPr>
        <w:t>甲醛释</w:t>
      </w:r>
      <w:r>
        <w:rPr>
          <w:rFonts w:hint="eastAsia" w:asciiTheme="minorEastAsia" w:hAnsiTheme="minorEastAsia"/>
          <w:bCs/>
          <w:color w:val="000000" w:themeColor="text1"/>
          <w:sz w:val="24"/>
          <w:szCs w:val="24"/>
        </w:rPr>
        <w:t>放量；</w:t>
      </w:r>
      <w:r>
        <w:rPr>
          <w:rFonts w:ascii="宋体" w:hAnsi="宋体"/>
          <w:sz w:val="24"/>
          <w:szCs w:val="24"/>
        </w:rPr>
        <w:t>GB/T1741-2007</w:t>
      </w:r>
      <w:r>
        <w:rPr>
          <w:rFonts w:hint="eastAsia" w:asciiTheme="minorEastAsia" w:hAnsiTheme="minorEastAsia"/>
          <w:bCs/>
          <w:color w:val="000000" w:themeColor="text1"/>
          <w:sz w:val="24"/>
          <w:szCs w:val="24"/>
        </w:rPr>
        <w:t>防霉菌等级。</w:t>
      </w:r>
    </w:p>
    <w:p>
      <w:pPr>
        <w:pStyle w:val="2"/>
        <w:spacing w:line="360" w:lineRule="auto"/>
        <w:ind w:left="419" w:leftChars="136" w:hanging="134" w:hangingChars="56"/>
        <w:rPr>
          <w:rFonts w:ascii="宋体" w:hAnsi="宋体"/>
          <w:bCs/>
          <w:sz w:val="24"/>
          <w:szCs w:val="24"/>
        </w:rPr>
      </w:pPr>
      <w:r>
        <w:rPr>
          <w:rFonts w:asciiTheme="minorEastAsia" w:hAnsiTheme="minorEastAsia"/>
          <w:bCs/>
          <w:color w:val="000000" w:themeColor="text1"/>
          <w:sz w:val="24"/>
          <w:szCs w:val="24"/>
        </w:rPr>
        <w:fldChar w:fldCharType="begin"/>
      </w:r>
      <w:r>
        <w:rPr>
          <w:rFonts w:asciiTheme="minorEastAsia" w:hAnsiTheme="minorEastAsia"/>
          <w:bCs/>
          <w:color w:val="000000" w:themeColor="text1"/>
          <w:sz w:val="24"/>
          <w:szCs w:val="24"/>
        </w:rPr>
        <w:instrText xml:space="preserve"> </w:instrText>
      </w:r>
      <w:r>
        <w:rPr>
          <w:rFonts w:hint="eastAsia" w:asciiTheme="minorEastAsia" w:hAnsiTheme="minorEastAsia"/>
          <w:bCs/>
          <w:color w:val="000000" w:themeColor="text1"/>
          <w:sz w:val="24"/>
          <w:szCs w:val="24"/>
        </w:rPr>
        <w:instrText xml:space="preserve">eq \o\ac(</w:instrText>
      </w:r>
      <w:r>
        <w:rPr>
          <w:rFonts w:hint="eastAsia" w:ascii="宋体" w:hAnsiTheme="minorEastAsia"/>
          <w:bCs/>
          <w:color w:val="000000" w:themeColor="text1"/>
          <w:position w:val="-4"/>
          <w:sz w:val="36"/>
          <w:szCs w:val="24"/>
        </w:rPr>
        <w:instrText xml:space="preserve">○</w:instrText>
      </w:r>
      <w:r>
        <w:rPr>
          <w:rFonts w:hint="eastAsia" w:asciiTheme="minorEastAsia" w:hAnsiTheme="minorEastAsia"/>
          <w:bCs/>
          <w:color w:val="000000" w:themeColor="text1"/>
          <w:sz w:val="24"/>
          <w:szCs w:val="24"/>
        </w:rPr>
        <w:instrText xml:space="preserve">,7)</w:instrText>
      </w:r>
      <w:r>
        <w:rPr>
          <w:rFonts w:asciiTheme="minorEastAsia" w:hAnsiTheme="minorEastAsia"/>
          <w:bCs/>
          <w:color w:val="000000" w:themeColor="text1"/>
          <w:sz w:val="24"/>
          <w:szCs w:val="24"/>
        </w:rPr>
        <w:fldChar w:fldCharType="end"/>
      </w:r>
      <w:r>
        <w:rPr>
          <w:rFonts w:hint="eastAsia" w:asciiTheme="minorEastAsia" w:hAnsiTheme="minorEastAsia"/>
          <w:bCs/>
          <w:color w:val="000000" w:themeColor="text1"/>
          <w:sz w:val="24"/>
          <w:szCs w:val="24"/>
          <w:lang w:val="en-US" w:eastAsia="zh-CN"/>
        </w:rPr>
        <w:t>PE</w:t>
      </w:r>
      <w:r>
        <w:rPr>
          <w:rFonts w:hint="eastAsia" w:asciiTheme="minorEastAsia" w:hAnsiTheme="minorEastAsia"/>
          <w:bCs/>
          <w:color w:val="000000" w:themeColor="text1"/>
          <w:sz w:val="24"/>
          <w:szCs w:val="24"/>
        </w:rPr>
        <w:t>:</w:t>
      </w:r>
      <w:r>
        <w:rPr>
          <w:rFonts w:hint="eastAsia" w:cs="宋体"/>
          <w:sz w:val="24"/>
          <w:szCs w:val="24"/>
        </w:rPr>
        <w:t xml:space="preserve"> 检测依据：</w:t>
      </w:r>
      <w:r>
        <w:rPr>
          <w:rFonts w:ascii="宋体" w:hAnsi="宋体"/>
          <w:bCs/>
          <w:sz w:val="24"/>
          <w:szCs w:val="24"/>
        </w:rPr>
        <w:t xml:space="preserve"> GB/T31402-2015</w:t>
      </w:r>
      <w:r>
        <w:rPr>
          <w:rFonts w:hint="eastAsia" w:ascii="宋体" w:hAnsi="宋体"/>
          <w:bCs/>
          <w:sz w:val="24"/>
          <w:szCs w:val="24"/>
        </w:rPr>
        <w:t>抗菌性能（藤黄微球菌 、粪链球菌）、</w:t>
      </w:r>
      <w:r>
        <w:rPr>
          <w:rFonts w:ascii="宋体" w:hAnsi="宋体"/>
          <w:bCs/>
          <w:sz w:val="24"/>
          <w:szCs w:val="24"/>
        </w:rPr>
        <w:t>GB/T 16422.2-2014</w:t>
      </w:r>
      <w:r>
        <w:rPr>
          <w:rFonts w:hint="eastAsia" w:ascii="宋体" w:hAnsi="宋体"/>
          <w:bCs/>
          <w:sz w:val="24"/>
          <w:szCs w:val="24"/>
        </w:rPr>
        <w:t>耐老化性（≥500h）。</w:t>
      </w:r>
    </w:p>
    <w:p>
      <w:pPr>
        <w:pStyle w:val="2"/>
        <w:spacing w:line="360" w:lineRule="auto"/>
        <w:ind w:left="419" w:leftChars="136" w:hanging="134" w:hangingChars="56"/>
        <w:rPr>
          <w:rFonts w:asciiTheme="minorEastAsia" w:hAnsiTheme="minorEastAsia"/>
          <w:bCs/>
          <w:color w:val="000000" w:themeColor="text1"/>
          <w:sz w:val="24"/>
          <w:szCs w:val="24"/>
        </w:rPr>
      </w:pPr>
      <w:r>
        <w:rPr>
          <w:rFonts w:ascii="宋体" w:hAnsi="宋体"/>
          <w:bCs/>
          <w:sz w:val="24"/>
          <w:szCs w:val="24"/>
        </w:rPr>
        <w:fldChar w:fldCharType="begin"/>
      </w:r>
      <w:r>
        <w:rPr>
          <w:rFonts w:ascii="宋体" w:hAnsi="宋体"/>
          <w:bCs/>
          <w:sz w:val="24"/>
          <w:szCs w:val="24"/>
        </w:rPr>
        <w:instrText xml:space="preserve"> </w:instrText>
      </w:r>
      <w:r>
        <w:rPr>
          <w:rFonts w:hint="eastAsia" w:ascii="宋体" w:hAnsi="宋体"/>
          <w:bCs/>
          <w:sz w:val="24"/>
          <w:szCs w:val="24"/>
        </w:rPr>
        <w:instrText xml:space="preserve">eq \o\ac(</w:instrText>
      </w:r>
      <w:r>
        <w:rPr>
          <w:rFonts w:hint="eastAsia" w:ascii="宋体" w:hAnsi="宋体"/>
          <w:bCs/>
          <w:position w:val="-4"/>
          <w:sz w:val="36"/>
          <w:szCs w:val="24"/>
        </w:rPr>
        <w:instrText xml:space="preserve">○</w:instrText>
      </w:r>
      <w:r>
        <w:rPr>
          <w:rFonts w:hint="eastAsia" w:ascii="宋体" w:hAnsi="宋体"/>
          <w:bCs/>
          <w:sz w:val="24"/>
          <w:szCs w:val="24"/>
        </w:rPr>
        <w:instrText xml:space="preserve">,8)</w:instrText>
      </w:r>
      <w:r>
        <w:rPr>
          <w:rFonts w:ascii="宋体" w:hAnsi="宋体"/>
          <w:bCs/>
          <w:sz w:val="24"/>
          <w:szCs w:val="24"/>
        </w:rPr>
        <w:fldChar w:fldCharType="end"/>
      </w:r>
      <w:r>
        <w:rPr>
          <w:rFonts w:hint="eastAsia" w:ascii="宋体" w:hAnsi="宋体"/>
          <w:bCs/>
          <w:sz w:val="24"/>
          <w:szCs w:val="24"/>
        </w:rPr>
        <w:t>橡胶木指接板</w:t>
      </w:r>
      <w:r>
        <w:rPr>
          <w:rFonts w:hint="eastAsia" w:asciiTheme="minorEastAsia" w:hAnsiTheme="minorEastAsia"/>
          <w:bCs/>
          <w:color w:val="000000" w:themeColor="text1"/>
          <w:sz w:val="24"/>
          <w:szCs w:val="24"/>
        </w:rPr>
        <w:t>：</w:t>
      </w:r>
      <w:r>
        <w:rPr>
          <w:rFonts w:hint="eastAsia" w:cs="宋体"/>
          <w:sz w:val="24"/>
          <w:szCs w:val="24"/>
        </w:rPr>
        <w:t>检测依据：</w:t>
      </w:r>
      <w:r>
        <w:rPr>
          <w:rFonts w:ascii="宋体" w:hAnsi="宋体"/>
          <w:bCs/>
          <w:sz w:val="24"/>
          <w:szCs w:val="24"/>
        </w:rPr>
        <w:t>GB/T35607-2017</w:t>
      </w:r>
      <w:r>
        <w:rPr>
          <w:rFonts w:hint="eastAsia" w:asciiTheme="minorEastAsia" w:hAnsiTheme="minorEastAsia"/>
          <w:bCs/>
          <w:color w:val="000000" w:themeColor="text1"/>
          <w:sz w:val="24"/>
          <w:szCs w:val="24"/>
        </w:rPr>
        <w:t>甲醛释放量、总挥发性有机化合物（</w:t>
      </w:r>
      <w:r>
        <w:rPr>
          <w:rFonts w:asciiTheme="minorEastAsia" w:hAnsiTheme="minorEastAsia"/>
          <w:bCs/>
          <w:color w:val="000000" w:themeColor="text1"/>
          <w:sz w:val="24"/>
          <w:szCs w:val="24"/>
        </w:rPr>
        <w:t>TVOC）</w:t>
      </w:r>
      <w:r>
        <w:rPr>
          <w:rFonts w:hint="eastAsia" w:asciiTheme="minorEastAsia" w:hAnsiTheme="minorEastAsia"/>
          <w:bCs/>
          <w:color w:val="000000" w:themeColor="text1"/>
          <w:sz w:val="24"/>
          <w:szCs w:val="24"/>
        </w:rPr>
        <w:t>；</w:t>
      </w:r>
      <w:r>
        <w:rPr>
          <w:rFonts w:ascii="宋体" w:hAnsi="宋体"/>
          <w:sz w:val="24"/>
          <w:szCs w:val="24"/>
        </w:rPr>
        <w:t>GB/T1741-2007</w:t>
      </w:r>
      <w:r>
        <w:rPr>
          <w:rFonts w:hint="eastAsia" w:asciiTheme="minorEastAsia" w:hAnsiTheme="minorEastAsia"/>
          <w:bCs/>
          <w:color w:val="000000" w:themeColor="text1"/>
          <w:sz w:val="24"/>
          <w:szCs w:val="24"/>
        </w:rPr>
        <w:t>防霉菌等级；</w:t>
      </w:r>
      <w:r>
        <w:rPr>
          <w:rFonts w:asciiTheme="minorEastAsia" w:hAnsiTheme="minorEastAsia"/>
          <w:bCs/>
          <w:color w:val="000000" w:themeColor="text1"/>
          <w:sz w:val="24"/>
          <w:szCs w:val="24"/>
        </w:rPr>
        <w:t xml:space="preserve"> </w:t>
      </w:r>
    </w:p>
    <w:p>
      <w:pPr>
        <w:spacing w:line="360" w:lineRule="auto"/>
        <w:ind w:firstLine="340" w:firstLineChars="142"/>
        <w:jc w:val="left"/>
        <w:rPr>
          <w:rFonts w:hint="eastAsia" w:ascii="宋体" w:hAnsi="宋体" w:eastAsia="宋体"/>
          <w:b/>
          <w:color w:val="000000"/>
          <w:sz w:val="24"/>
          <w:szCs w:val="24"/>
          <w:lang w:eastAsia="zh-CN"/>
        </w:rPr>
      </w:pPr>
      <w:r>
        <w:rPr>
          <w:rFonts w:hint="eastAsia" w:ascii="宋体" w:hAnsi="宋体"/>
          <w:b/>
          <w:color w:val="000000"/>
          <w:sz w:val="24"/>
          <w:szCs w:val="24"/>
        </w:rPr>
        <w:t>注：检测报告结果须显示合格。提供</w:t>
      </w:r>
      <w:r>
        <w:rPr>
          <w:rFonts w:hint="eastAsia" w:ascii="宋体" w:hAnsi="宋体"/>
          <w:b/>
          <w:color w:val="000000"/>
          <w:sz w:val="24"/>
          <w:szCs w:val="24"/>
          <w:highlight w:val="none"/>
          <w:lang w:val="en-US" w:eastAsia="zh-CN"/>
        </w:rPr>
        <w:t>检测报告原件的扫描件，扫描件</w:t>
      </w:r>
      <w:r>
        <w:rPr>
          <w:rFonts w:hint="eastAsia" w:ascii="宋体" w:hAnsi="宋体"/>
          <w:b/>
          <w:color w:val="000000"/>
          <w:sz w:val="24"/>
          <w:szCs w:val="24"/>
        </w:rPr>
        <w:t>必须清晰且完整，含封面及封底，仅复印局部内容的检测报告视为无效要求的不得分。</w:t>
      </w:r>
      <w:r>
        <w:rPr>
          <w:rFonts w:hint="eastAsia" w:ascii="宋体" w:hAnsi="宋体" w:eastAsia="宋体"/>
          <w:b/>
          <w:sz w:val="24"/>
          <w:szCs w:val="24"/>
        </w:rPr>
        <w:t>检测报告提供全国认证认可信息公共服务平台“检验检测报告编号查询”专栏查询截图，否则不得分</w:t>
      </w:r>
      <w:r>
        <w:rPr>
          <w:rFonts w:hint="eastAsia" w:ascii="宋体" w:hAnsi="宋体"/>
          <w:b/>
          <w:sz w:val="24"/>
          <w:szCs w:val="24"/>
          <w:lang w:eastAsia="zh-CN"/>
        </w:rPr>
        <w:t>。</w:t>
      </w:r>
    </w:p>
    <w:p>
      <w:pPr>
        <w:spacing w:line="360" w:lineRule="auto"/>
        <w:jc w:val="left"/>
        <w:rPr>
          <w:rFonts w:ascii="宋体" w:hAnsi="宋体"/>
          <w:b/>
          <w:sz w:val="24"/>
          <w:szCs w:val="24"/>
        </w:rPr>
      </w:pPr>
      <w:r>
        <w:rPr>
          <w:rFonts w:hint="eastAsia" w:ascii="宋体" w:hAnsi="宋体"/>
          <w:b/>
          <w:sz w:val="24"/>
          <w:szCs w:val="24"/>
        </w:rPr>
        <w:t>（</w:t>
      </w:r>
      <w:r>
        <w:rPr>
          <w:rFonts w:ascii="宋体" w:hAnsi="宋体"/>
          <w:b/>
          <w:sz w:val="24"/>
          <w:szCs w:val="24"/>
        </w:rPr>
        <w:t>3</w:t>
      </w:r>
      <w:r>
        <w:rPr>
          <w:rFonts w:hint="eastAsia" w:ascii="宋体" w:hAnsi="宋体"/>
          <w:b/>
          <w:sz w:val="24"/>
          <w:szCs w:val="24"/>
        </w:rPr>
        <w:t>）投标人综合情况（</w:t>
      </w:r>
      <w:r>
        <w:rPr>
          <w:rFonts w:ascii="宋体" w:hAnsi="宋体"/>
          <w:b/>
          <w:sz w:val="24"/>
          <w:szCs w:val="24"/>
        </w:rPr>
        <w:t>1</w:t>
      </w:r>
      <w:r>
        <w:rPr>
          <w:rFonts w:hint="eastAsia" w:ascii="宋体" w:hAnsi="宋体"/>
          <w:b/>
          <w:sz w:val="24"/>
          <w:szCs w:val="24"/>
          <w:lang w:val="en-US" w:eastAsia="zh-CN"/>
        </w:rPr>
        <w:t>4</w:t>
      </w:r>
      <w:r>
        <w:rPr>
          <w:rFonts w:hint="eastAsia" w:ascii="宋体" w:hAnsi="宋体"/>
          <w:b/>
          <w:sz w:val="24"/>
          <w:szCs w:val="24"/>
        </w:rPr>
        <w:t>分）：</w:t>
      </w:r>
    </w:p>
    <w:p>
      <w:pPr>
        <w:spacing w:line="360" w:lineRule="auto"/>
        <w:ind w:firstLine="480" w:firstLineChars="200"/>
        <w:jc w:val="left"/>
        <w:rPr>
          <w:rFonts w:ascii="宋体" w:hAnsi="宋体"/>
          <w:bCs/>
          <w:sz w:val="24"/>
          <w:szCs w:val="24"/>
        </w:rPr>
      </w:pPr>
      <w:r>
        <w:rPr>
          <w:rFonts w:hint="eastAsia" w:ascii="宋体" w:hAnsi="宋体"/>
          <w:bCs/>
          <w:sz w:val="24"/>
          <w:szCs w:val="24"/>
        </w:rPr>
        <w:t>1）业绩（</w:t>
      </w:r>
      <w:r>
        <w:rPr>
          <w:rFonts w:ascii="宋体" w:hAnsi="宋体"/>
          <w:bCs/>
          <w:sz w:val="24"/>
          <w:szCs w:val="24"/>
        </w:rPr>
        <w:t>5</w:t>
      </w:r>
      <w:r>
        <w:rPr>
          <w:rFonts w:hint="eastAsia" w:ascii="宋体" w:hAnsi="宋体"/>
          <w:bCs/>
          <w:sz w:val="24"/>
          <w:szCs w:val="24"/>
        </w:rPr>
        <w:t>分）：</w:t>
      </w:r>
      <w:r>
        <w:rPr>
          <w:rFonts w:hint="eastAsia" w:ascii="宋体" w:hAnsi="宋体" w:cs="宋体"/>
          <w:bCs/>
          <w:sz w:val="24"/>
          <w:szCs w:val="24"/>
        </w:rPr>
        <w:t>提供2019年1月1日以来（以合同签订时间为准）</w:t>
      </w:r>
      <w:r>
        <w:rPr>
          <w:rFonts w:hint="eastAsia" w:asciiTheme="minorEastAsia" w:hAnsiTheme="minorEastAsia"/>
          <w:bCs/>
          <w:sz w:val="24"/>
          <w:szCs w:val="24"/>
        </w:rPr>
        <w:t>类</w:t>
      </w:r>
      <w:r>
        <w:rPr>
          <w:rFonts w:hint="eastAsia" w:asciiTheme="minorEastAsia" w:hAnsiTheme="minorEastAsia"/>
          <w:sz w:val="24"/>
          <w:szCs w:val="24"/>
        </w:rPr>
        <w:t>似政采项</w:t>
      </w:r>
      <w:r>
        <w:rPr>
          <w:rFonts w:hint="eastAsia"/>
          <w:sz w:val="24"/>
          <w:szCs w:val="24"/>
        </w:rPr>
        <w:t>目</w:t>
      </w:r>
      <w:r>
        <w:rPr>
          <w:rFonts w:hint="eastAsia" w:ascii="宋体" w:hAnsi="宋体"/>
          <w:bCs/>
          <w:sz w:val="24"/>
          <w:szCs w:val="24"/>
        </w:rPr>
        <w:t>业绩的，</w:t>
      </w:r>
      <w:r>
        <w:rPr>
          <w:rFonts w:hint="eastAsia" w:ascii="宋体" w:hAnsi="宋体"/>
          <w:b/>
          <w:bCs w:val="0"/>
          <w:sz w:val="24"/>
          <w:szCs w:val="24"/>
          <w:lang w:val="en-US" w:eastAsia="zh-CN"/>
        </w:rPr>
        <w:t>上传相关业</w:t>
      </w:r>
      <w:r>
        <w:rPr>
          <w:rFonts w:hint="eastAsia" w:ascii="宋体" w:hAnsi="宋体"/>
          <w:b/>
          <w:bCs w:val="0"/>
          <w:sz w:val="24"/>
          <w:szCs w:val="24"/>
          <w:highlight w:val="none"/>
          <w:lang w:val="en-US" w:eastAsia="zh-CN"/>
        </w:rPr>
        <w:t>绩</w:t>
      </w:r>
      <w:r>
        <w:rPr>
          <w:rFonts w:hint="eastAsia" w:ascii="宋体" w:hAnsi="宋体"/>
          <w:b/>
          <w:bCs w:val="0"/>
          <w:sz w:val="24"/>
          <w:szCs w:val="24"/>
          <w:highlight w:val="none"/>
        </w:rPr>
        <w:t>合同</w:t>
      </w:r>
      <w:r>
        <w:rPr>
          <w:rFonts w:hint="eastAsia" w:ascii="宋体" w:hAnsi="宋体"/>
          <w:b/>
          <w:bCs w:val="0"/>
          <w:sz w:val="24"/>
          <w:szCs w:val="24"/>
          <w:highlight w:val="none"/>
          <w:lang w:val="en-US" w:eastAsia="zh-CN"/>
        </w:rPr>
        <w:t>原件的扫描件</w:t>
      </w:r>
      <w:r>
        <w:rPr>
          <w:rFonts w:hint="eastAsia" w:ascii="宋体" w:hAnsi="宋体"/>
          <w:bCs/>
          <w:sz w:val="24"/>
          <w:szCs w:val="24"/>
        </w:rPr>
        <w:t>，每有一个项目得1分，最高</w:t>
      </w:r>
      <w:r>
        <w:rPr>
          <w:rFonts w:ascii="宋体" w:hAnsi="宋体"/>
          <w:bCs/>
          <w:sz w:val="24"/>
          <w:szCs w:val="24"/>
        </w:rPr>
        <w:t>5</w:t>
      </w:r>
      <w:r>
        <w:rPr>
          <w:rFonts w:hint="eastAsia" w:ascii="宋体" w:hAnsi="宋体"/>
          <w:bCs/>
          <w:sz w:val="24"/>
          <w:szCs w:val="24"/>
        </w:rPr>
        <w:t>分</w:t>
      </w:r>
      <w:r>
        <w:rPr>
          <w:rFonts w:hint="eastAsia" w:ascii="宋体" w:hAnsi="宋体" w:cs="宋体"/>
          <w:bCs/>
          <w:sz w:val="24"/>
          <w:szCs w:val="24"/>
        </w:rPr>
        <w:t>。</w:t>
      </w:r>
    </w:p>
    <w:p>
      <w:pPr>
        <w:tabs>
          <w:tab w:val="left" w:pos="945"/>
          <w:tab w:val="left" w:pos="1155"/>
        </w:tabs>
        <w:spacing w:line="360" w:lineRule="auto"/>
        <w:ind w:firstLine="480" w:firstLineChars="200"/>
        <w:rPr>
          <w:rFonts w:hint="eastAsia" w:ascii="宋体" w:hAnsi="宋体"/>
          <w:bCs/>
          <w:sz w:val="24"/>
          <w:szCs w:val="24"/>
        </w:rPr>
      </w:pPr>
      <w:r>
        <w:rPr>
          <w:rFonts w:hint="eastAsia" w:ascii="宋体" w:hAnsi="宋体"/>
          <w:bCs/>
          <w:sz w:val="24"/>
          <w:szCs w:val="24"/>
        </w:rPr>
        <w:t>2）</w:t>
      </w:r>
      <w:r>
        <w:rPr>
          <w:rFonts w:hint="eastAsia" w:ascii="宋体" w:hAnsi="宋体" w:cs="宋体"/>
          <w:bCs/>
          <w:sz w:val="24"/>
          <w:szCs w:val="24"/>
        </w:rPr>
        <w:t>体系认证(</w:t>
      </w:r>
      <w:r>
        <w:rPr>
          <w:rFonts w:ascii="宋体" w:hAnsi="宋体" w:cs="宋体"/>
          <w:color w:val="000000"/>
          <w:sz w:val="24"/>
          <w:szCs w:val="24"/>
        </w:rPr>
        <w:t>6</w:t>
      </w:r>
      <w:r>
        <w:rPr>
          <w:rFonts w:hint="eastAsia" w:ascii="宋体" w:hAnsi="宋体" w:cs="宋体"/>
          <w:color w:val="000000"/>
          <w:sz w:val="24"/>
          <w:szCs w:val="24"/>
        </w:rPr>
        <w:t>分）：</w:t>
      </w:r>
      <w:r>
        <w:rPr>
          <w:rFonts w:hint="eastAsia" w:ascii="宋体" w:hAnsi="宋体" w:cs="宋体"/>
          <w:bCs/>
          <w:color w:val="000000"/>
          <w:sz w:val="24"/>
          <w:szCs w:val="24"/>
        </w:rPr>
        <w:t>投标人通过ISO9001质量管理体系认证、通过ISO</w:t>
      </w:r>
      <w:r>
        <w:rPr>
          <w:sz w:val="24"/>
          <w:szCs w:val="24"/>
        </w:rPr>
        <w:t xml:space="preserve"> </w:t>
      </w:r>
      <w:r>
        <w:rPr>
          <w:rFonts w:ascii="宋体" w:hAnsi="宋体" w:cs="宋体"/>
          <w:bCs/>
          <w:color w:val="000000"/>
          <w:sz w:val="24"/>
          <w:szCs w:val="24"/>
        </w:rPr>
        <w:t>45001</w:t>
      </w:r>
      <w:r>
        <w:rPr>
          <w:rFonts w:hint="eastAsia" w:ascii="宋体" w:hAnsi="宋体" w:cs="宋体"/>
          <w:bCs/>
          <w:color w:val="000000"/>
          <w:sz w:val="24"/>
          <w:szCs w:val="24"/>
        </w:rPr>
        <w:t>职业健康安全管理体系认证、通过ISO14001环境管理体系认证的，（认证范围须包含：钢木结构桌、椅、床的设计开发、生产和销售），</w:t>
      </w:r>
      <w:r>
        <w:rPr>
          <w:rFonts w:hint="eastAsia" w:ascii="宋体" w:hAnsi="宋体" w:cs="宋体"/>
          <w:b/>
          <w:bCs w:val="0"/>
          <w:color w:val="000000"/>
          <w:sz w:val="24"/>
          <w:szCs w:val="24"/>
          <w:lang w:val="en-US" w:eastAsia="zh-CN"/>
        </w:rPr>
        <w:t>上传相关证书原件的扫描件</w:t>
      </w:r>
      <w:r>
        <w:rPr>
          <w:rFonts w:hint="eastAsia" w:ascii="宋体" w:hAnsi="宋体" w:cs="宋体"/>
          <w:bCs/>
          <w:color w:val="000000"/>
          <w:sz w:val="24"/>
          <w:szCs w:val="24"/>
          <w:lang w:val="en-US" w:eastAsia="zh-CN"/>
        </w:rPr>
        <w:t>，</w:t>
      </w:r>
      <w:r>
        <w:rPr>
          <w:rFonts w:hint="eastAsia" w:ascii="宋体" w:hAnsi="宋体" w:cs="宋体"/>
          <w:bCs/>
          <w:color w:val="000000"/>
          <w:sz w:val="24"/>
          <w:szCs w:val="24"/>
        </w:rPr>
        <w:t>满足一项体系认证得</w:t>
      </w:r>
      <w:r>
        <w:rPr>
          <w:rFonts w:ascii="宋体" w:hAnsi="宋体" w:cs="宋体"/>
          <w:bCs/>
          <w:color w:val="000000"/>
          <w:sz w:val="24"/>
          <w:szCs w:val="24"/>
        </w:rPr>
        <w:t>2</w:t>
      </w:r>
      <w:r>
        <w:rPr>
          <w:rFonts w:hint="eastAsia" w:ascii="宋体" w:hAnsi="宋体" w:cs="宋体"/>
          <w:bCs/>
          <w:color w:val="000000"/>
          <w:sz w:val="24"/>
          <w:szCs w:val="24"/>
        </w:rPr>
        <w:t>分，最高得</w:t>
      </w:r>
      <w:r>
        <w:rPr>
          <w:rFonts w:ascii="宋体" w:hAnsi="宋体" w:cs="宋体"/>
          <w:bCs/>
          <w:color w:val="000000"/>
          <w:sz w:val="24"/>
          <w:szCs w:val="24"/>
        </w:rPr>
        <w:t>6</w:t>
      </w:r>
      <w:r>
        <w:rPr>
          <w:rFonts w:hint="eastAsia" w:ascii="宋体" w:hAnsi="宋体" w:cs="宋体"/>
          <w:bCs/>
          <w:color w:val="000000"/>
          <w:sz w:val="24"/>
          <w:szCs w:val="24"/>
        </w:rPr>
        <w:t>分</w:t>
      </w:r>
      <w:r>
        <w:rPr>
          <w:rFonts w:hint="eastAsia" w:ascii="宋体" w:hAnsi="宋体"/>
          <w:bCs/>
          <w:sz w:val="24"/>
          <w:szCs w:val="24"/>
        </w:rPr>
        <w:t>。</w:t>
      </w:r>
    </w:p>
    <w:p>
      <w:pPr>
        <w:pStyle w:val="2"/>
      </w:pPr>
      <w:r>
        <w:rPr>
          <w:rFonts w:hint="eastAsia" w:ascii="宋体" w:hAnsi="宋体"/>
          <w:bCs/>
          <w:sz w:val="24"/>
          <w:szCs w:val="24"/>
          <w:lang w:val="en-US" w:eastAsia="zh-CN"/>
        </w:rPr>
        <w:t>3</w:t>
      </w:r>
      <w:r>
        <w:rPr>
          <w:rFonts w:hint="eastAsia" w:ascii="宋体" w:hAnsi="宋体"/>
          <w:bCs/>
          <w:sz w:val="24"/>
          <w:szCs w:val="24"/>
        </w:rPr>
        <w:t>）</w:t>
      </w:r>
      <w:r>
        <w:rPr>
          <w:rFonts w:hint="eastAsia" w:ascii="宋体" w:hAnsi="宋体"/>
          <w:bCs/>
          <w:sz w:val="24"/>
          <w:szCs w:val="24"/>
          <w:lang w:val="en-US" w:eastAsia="zh-CN"/>
        </w:rPr>
        <w:t xml:space="preserve"> </w:t>
      </w:r>
      <w:r>
        <w:rPr>
          <w:rFonts w:hint="eastAsia" w:ascii="宋体" w:hAnsi="宋体"/>
          <w:bCs/>
          <w:sz w:val="24"/>
          <w:szCs w:val="24"/>
        </w:rPr>
        <w:t>履行能力（3分）</w:t>
      </w:r>
      <w:r>
        <w:rPr>
          <w:rFonts w:hint="eastAsia" w:ascii="宋体" w:hAnsi="宋体"/>
          <w:bCs/>
          <w:sz w:val="24"/>
          <w:szCs w:val="24"/>
          <w:lang w:eastAsia="zh-CN"/>
        </w:rPr>
        <w:t>：</w:t>
      </w:r>
      <w:r>
        <w:rPr>
          <w:rFonts w:hint="eastAsia" w:ascii="宋体" w:hAnsi="宋体"/>
          <w:bCs/>
          <w:sz w:val="24"/>
          <w:szCs w:val="24"/>
          <w:highlight w:val="none"/>
          <w:lang w:val="en-US" w:eastAsia="zh-CN"/>
        </w:rPr>
        <w:t>投标人</w:t>
      </w:r>
      <w:r>
        <w:rPr>
          <w:rFonts w:hint="eastAsia" w:ascii="宋体" w:hAnsi="宋体"/>
          <w:bCs/>
          <w:sz w:val="24"/>
          <w:szCs w:val="24"/>
        </w:rPr>
        <w:t>获得市级及以上政府部门颁发相关的政府质量奖项</w:t>
      </w:r>
      <w:r>
        <w:rPr>
          <w:rFonts w:hint="eastAsia" w:ascii="宋体" w:hAnsi="宋体"/>
          <w:bCs/>
          <w:sz w:val="24"/>
          <w:szCs w:val="24"/>
          <w:lang w:val="en-US" w:eastAsia="zh-CN"/>
        </w:rPr>
        <w:t>得3分，</w:t>
      </w:r>
      <w:r>
        <w:rPr>
          <w:rFonts w:hint="eastAsia" w:ascii="宋体" w:hAnsi="宋体"/>
          <w:b/>
          <w:bCs w:val="0"/>
          <w:sz w:val="24"/>
          <w:szCs w:val="24"/>
          <w:lang w:val="en-US" w:eastAsia="zh-CN"/>
        </w:rPr>
        <w:t>上传奖项证明材料扫描件</w:t>
      </w:r>
      <w:r>
        <w:rPr>
          <w:rFonts w:hint="eastAsia" w:ascii="宋体" w:hAnsi="宋体"/>
          <w:bCs/>
          <w:sz w:val="24"/>
          <w:szCs w:val="24"/>
          <w:lang w:val="en-US" w:eastAsia="zh-CN"/>
        </w:rPr>
        <w:t>，不提供不得分。</w:t>
      </w:r>
    </w:p>
    <w:p>
      <w:pPr>
        <w:pStyle w:val="118"/>
        <w:numPr>
          <w:ilvl w:val="0"/>
          <w:numId w:val="6"/>
        </w:numPr>
        <w:tabs>
          <w:tab w:val="left" w:pos="945"/>
          <w:tab w:val="left" w:pos="1155"/>
        </w:tabs>
        <w:spacing w:line="360" w:lineRule="auto"/>
        <w:ind w:firstLineChars="0"/>
        <w:rPr>
          <w:rFonts w:ascii="宋体" w:hAnsi="宋体"/>
          <w:sz w:val="24"/>
          <w:szCs w:val="24"/>
        </w:rPr>
      </w:pPr>
      <w:r>
        <w:rPr>
          <w:rFonts w:hint="eastAsia" w:ascii="宋体" w:hAnsi="宋体" w:cs="宋体"/>
          <w:b/>
          <w:sz w:val="24"/>
          <w:szCs w:val="24"/>
        </w:rPr>
        <w:t>投标产品品质认证情况</w:t>
      </w:r>
      <w:r>
        <w:rPr>
          <w:rFonts w:hint="eastAsia" w:ascii="宋体" w:hAnsi="宋体"/>
          <w:b/>
          <w:sz w:val="24"/>
          <w:szCs w:val="24"/>
        </w:rPr>
        <w:t>（</w:t>
      </w:r>
      <w:r>
        <w:rPr>
          <w:rFonts w:hint="eastAsia" w:ascii="宋体" w:hAnsi="宋体"/>
          <w:b/>
          <w:sz w:val="24"/>
          <w:szCs w:val="24"/>
          <w:lang w:val="en-US" w:eastAsia="zh-CN"/>
        </w:rPr>
        <w:t>5</w:t>
      </w:r>
      <w:r>
        <w:rPr>
          <w:rFonts w:hint="eastAsia" w:ascii="宋体" w:hAnsi="宋体"/>
          <w:b/>
          <w:sz w:val="24"/>
          <w:szCs w:val="24"/>
        </w:rPr>
        <w:t>分）</w:t>
      </w:r>
      <w:r>
        <w:rPr>
          <w:rFonts w:hint="eastAsia" w:ascii="宋体" w:hAnsi="宋体"/>
          <w:sz w:val="24"/>
          <w:szCs w:val="24"/>
        </w:rPr>
        <w:t>：</w:t>
      </w:r>
    </w:p>
    <w:p>
      <w:pPr>
        <w:tabs>
          <w:tab w:val="left" w:pos="945"/>
          <w:tab w:val="left" w:pos="1155"/>
        </w:tabs>
        <w:spacing w:line="360" w:lineRule="auto"/>
        <w:ind w:firstLine="480" w:firstLineChars="200"/>
        <w:rPr>
          <w:rFonts w:ascii="宋体" w:hAnsi="宋体"/>
          <w:bCs/>
          <w:sz w:val="24"/>
          <w:szCs w:val="24"/>
        </w:rPr>
      </w:pPr>
      <w:r>
        <w:rPr>
          <w:rFonts w:ascii="宋体" w:hAnsi="宋体" w:cs="宋体"/>
          <w:bCs/>
          <w:sz w:val="24"/>
          <w:szCs w:val="24"/>
        </w:rPr>
        <w:t>1</w:t>
      </w:r>
      <w:r>
        <w:rPr>
          <w:rFonts w:hint="eastAsia" w:ascii="宋体" w:hAnsi="宋体" w:cs="宋体"/>
          <w:bCs/>
          <w:sz w:val="24"/>
          <w:szCs w:val="24"/>
        </w:rPr>
        <w:t>）</w:t>
      </w:r>
      <w:r>
        <w:rPr>
          <w:rFonts w:hint="eastAsia" w:ascii="宋体" w:hAnsi="宋体"/>
          <w:bCs/>
          <w:color w:val="000000"/>
          <w:sz w:val="24"/>
          <w:szCs w:val="24"/>
        </w:rPr>
        <w:t>投标人具有中国绿色产品认证证书</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分），</w:t>
      </w:r>
      <w:r>
        <w:rPr>
          <w:rFonts w:hint="eastAsia" w:ascii="宋体" w:hAnsi="宋体" w:cs="宋体"/>
          <w:bCs/>
          <w:color w:val="000000"/>
          <w:sz w:val="24"/>
          <w:szCs w:val="24"/>
        </w:rPr>
        <w:t>认证产品名称包含：(</w:t>
      </w:r>
      <w:r>
        <w:rPr>
          <w:rFonts w:hint="eastAsia" w:ascii="宋体" w:hAnsi="宋体"/>
          <w:bCs/>
          <w:color w:val="000000"/>
          <w:sz w:val="24"/>
          <w:szCs w:val="24"/>
        </w:rPr>
        <w:t>桌台类，柜架类、椅凳类)。每提供一个得</w:t>
      </w:r>
      <w:r>
        <w:rPr>
          <w:rFonts w:ascii="宋体" w:hAnsi="宋体"/>
          <w:bCs/>
          <w:color w:val="000000"/>
          <w:sz w:val="24"/>
          <w:szCs w:val="24"/>
        </w:rPr>
        <w:t>1</w:t>
      </w:r>
      <w:r>
        <w:rPr>
          <w:rFonts w:hint="eastAsia" w:ascii="宋体" w:hAnsi="宋体"/>
          <w:bCs/>
          <w:color w:val="000000"/>
          <w:sz w:val="24"/>
          <w:szCs w:val="24"/>
        </w:rPr>
        <w:t>分，本项最高得</w:t>
      </w:r>
      <w:r>
        <w:rPr>
          <w:rFonts w:ascii="宋体" w:hAnsi="宋体"/>
          <w:bCs/>
          <w:color w:val="000000"/>
          <w:sz w:val="24"/>
          <w:szCs w:val="24"/>
        </w:rPr>
        <w:t>3</w:t>
      </w:r>
      <w:r>
        <w:rPr>
          <w:rFonts w:hint="eastAsia" w:ascii="宋体" w:hAnsi="宋体"/>
          <w:bCs/>
          <w:color w:val="000000"/>
          <w:sz w:val="24"/>
          <w:szCs w:val="24"/>
        </w:rPr>
        <w:t>分</w:t>
      </w:r>
      <w:r>
        <w:rPr>
          <w:rFonts w:hint="eastAsia" w:ascii="宋体" w:hAnsi="宋体"/>
          <w:bCs/>
          <w:sz w:val="24"/>
          <w:szCs w:val="24"/>
        </w:rPr>
        <w:t>。</w:t>
      </w:r>
      <w:r>
        <w:rPr>
          <w:rFonts w:ascii="宋体" w:hAnsi="宋体"/>
          <w:bCs/>
          <w:sz w:val="24"/>
          <w:szCs w:val="24"/>
        </w:rPr>
        <w:t>不符合不得分。</w:t>
      </w:r>
    </w:p>
    <w:p>
      <w:pPr>
        <w:tabs>
          <w:tab w:val="left" w:pos="945"/>
          <w:tab w:val="left" w:pos="1155"/>
        </w:tabs>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w:t>
      </w:r>
      <w:r>
        <w:rPr>
          <w:rFonts w:hint="eastAsia" w:ascii="宋体" w:hAnsi="宋体"/>
          <w:bCs/>
          <w:color w:val="000000"/>
          <w:sz w:val="24"/>
          <w:szCs w:val="24"/>
          <w:lang w:eastAsia="zh-CN"/>
        </w:rPr>
        <w:t>投</w:t>
      </w:r>
      <w:bookmarkStart w:id="7" w:name="_GoBack"/>
      <w:bookmarkEnd w:id="7"/>
      <w:r>
        <w:rPr>
          <w:rFonts w:hint="eastAsia" w:ascii="宋体" w:hAnsi="宋体"/>
          <w:bCs/>
          <w:color w:val="000000"/>
          <w:sz w:val="24"/>
          <w:szCs w:val="24"/>
        </w:rPr>
        <w:t>标人具有中国环境标志产品认证证书</w:t>
      </w:r>
      <w:r>
        <w:rPr>
          <w:rFonts w:hint="eastAsia" w:ascii="宋体" w:hAnsi="宋体"/>
          <w:bCs/>
          <w:color w:val="000000"/>
          <w:sz w:val="24"/>
          <w:szCs w:val="24"/>
          <w:lang w:eastAsia="zh-CN"/>
        </w:rPr>
        <w:t>（</w:t>
      </w:r>
      <w:r>
        <w:rPr>
          <w:rFonts w:hint="eastAsia" w:ascii="宋体" w:hAnsi="宋体"/>
          <w:bCs/>
          <w:color w:val="000000"/>
          <w:sz w:val="24"/>
          <w:szCs w:val="24"/>
          <w:lang w:val="en-US" w:eastAsia="zh-CN"/>
        </w:rPr>
        <w:t>2分</w:t>
      </w:r>
      <w:r>
        <w:rPr>
          <w:rFonts w:hint="eastAsia" w:ascii="宋体" w:hAnsi="宋体"/>
          <w:bCs/>
          <w:color w:val="000000"/>
          <w:sz w:val="24"/>
          <w:szCs w:val="24"/>
          <w:lang w:eastAsia="zh-CN"/>
        </w:rPr>
        <w:t>）</w:t>
      </w:r>
      <w:r>
        <w:rPr>
          <w:rFonts w:hint="eastAsia" w:ascii="宋体" w:hAnsi="宋体"/>
          <w:bCs/>
          <w:color w:val="000000"/>
          <w:sz w:val="24"/>
          <w:szCs w:val="24"/>
        </w:rPr>
        <w:t>（认证单元包含：钢木家具、金属家具、人造板家具、其他家具）每提供一个得0.5分，最高2分；不符合不得分。</w:t>
      </w:r>
    </w:p>
    <w:p>
      <w:pPr>
        <w:pStyle w:val="2"/>
        <w:spacing w:line="360" w:lineRule="auto"/>
        <w:ind w:firstLine="482"/>
        <w:rPr>
          <w:b/>
          <w:sz w:val="24"/>
          <w:szCs w:val="24"/>
        </w:rPr>
      </w:pPr>
      <w:r>
        <w:rPr>
          <w:rFonts w:hint="eastAsia" w:ascii="宋体" w:hAnsi="宋体"/>
          <w:b/>
          <w:color w:val="000000"/>
          <w:sz w:val="24"/>
          <w:szCs w:val="24"/>
        </w:rPr>
        <w:t>注：</w:t>
      </w:r>
      <w:r>
        <w:rPr>
          <w:rFonts w:hint="eastAsia" w:ascii="宋体" w:hAnsi="宋体" w:cs="宋体"/>
          <w:b/>
          <w:sz w:val="24"/>
          <w:szCs w:val="24"/>
        </w:rPr>
        <w:t>以上1）、</w:t>
      </w:r>
      <w:r>
        <w:rPr>
          <w:rFonts w:hint="eastAsia" w:ascii="宋体" w:hAnsi="宋体"/>
          <w:b/>
          <w:sz w:val="24"/>
          <w:szCs w:val="24"/>
        </w:rPr>
        <w:t>2</w:t>
      </w:r>
      <w:r>
        <w:rPr>
          <w:rFonts w:hint="eastAsia" w:ascii="宋体" w:hAnsi="宋体" w:cs="宋体"/>
          <w:b/>
          <w:sz w:val="24"/>
          <w:szCs w:val="24"/>
        </w:rPr>
        <w:t>）认证证书须提供</w:t>
      </w:r>
      <w:r>
        <w:rPr>
          <w:rFonts w:hint="eastAsia" w:ascii="宋体" w:hAnsi="宋体"/>
          <w:b/>
          <w:sz w:val="24"/>
          <w:szCs w:val="24"/>
        </w:rPr>
        <w:t>国家认证监督委员会官网查询截图，</w:t>
      </w:r>
      <w:r>
        <w:rPr>
          <w:rFonts w:hint="eastAsia" w:ascii="宋体" w:hAnsi="宋体"/>
          <w:b/>
          <w:sz w:val="24"/>
          <w:szCs w:val="24"/>
          <w:lang w:val="en-US" w:eastAsia="zh-CN"/>
        </w:rPr>
        <w:t>并上传相关证书原件的扫描件，</w:t>
      </w:r>
      <w:r>
        <w:rPr>
          <w:rFonts w:hint="eastAsia" w:ascii="宋体" w:hAnsi="宋体" w:cs="宋体"/>
          <w:b/>
          <w:sz w:val="24"/>
          <w:szCs w:val="24"/>
        </w:rPr>
        <w:t>否则不得分。</w:t>
      </w:r>
    </w:p>
    <w:p>
      <w:pPr>
        <w:spacing w:line="360" w:lineRule="auto"/>
        <w:jc w:val="left"/>
        <w:rPr>
          <w:rFonts w:ascii="宋体" w:hAnsi="宋体"/>
          <w:b/>
          <w:sz w:val="24"/>
          <w:szCs w:val="24"/>
        </w:rPr>
      </w:pPr>
      <w:r>
        <w:rPr>
          <w:rFonts w:hint="eastAsia" w:ascii="宋体" w:hAnsi="宋体"/>
          <w:b/>
          <w:sz w:val="24"/>
          <w:szCs w:val="24"/>
        </w:rPr>
        <w:t>（</w:t>
      </w:r>
      <w:r>
        <w:rPr>
          <w:rFonts w:ascii="宋体" w:hAnsi="宋体"/>
          <w:b/>
          <w:sz w:val="24"/>
          <w:szCs w:val="24"/>
        </w:rPr>
        <w:t>5</w:t>
      </w:r>
      <w:r>
        <w:rPr>
          <w:rFonts w:hint="eastAsia" w:ascii="宋体" w:hAnsi="宋体"/>
          <w:b/>
          <w:sz w:val="24"/>
          <w:szCs w:val="24"/>
        </w:rPr>
        <w:t>）售后服务（</w:t>
      </w:r>
      <w:r>
        <w:rPr>
          <w:rFonts w:ascii="宋体" w:hAnsi="宋体"/>
          <w:b/>
          <w:sz w:val="24"/>
          <w:szCs w:val="24"/>
        </w:rPr>
        <w:t>3</w:t>
      </w:r>
      <w:r>
        <w:rPr>
          <w:rFonts w:hint="eastAsia" w:ascii="宋体" w:hAnsi="宋体"/>
          <w:b/>
          <w:sz w:val="24"/>
          <w:szCs w:val="24"/>
        </w:rPr>
        <w:t>分）</w:t>
      </w:r>
    </w:p>
    <w:p>
      <w:pPr>
        <w:tabs>
          <w:tab w:val="left" w:pos="945"/>
          <w:tab w:val="left" w:pos="1155"/>
        </w:tabs>
        <w:spacing w:line="360" w:lineRule="auto"/>
        <w:ind w:firstLine="480" w:firstLineChars="200"/>
        <w:jc w:val="left"/>
        <w:rPr>
          <w:rFonts w:ascii="宋体" w:hAnsi="宋体"/>
          <w:bCs/>
          <w:sz w:val="24"/>
          <w:szCs w:val="24"/>
        </w:rPr>
      </w:pPr>
      <w:r>
        <w:rPr>
          <w:rFonts w:hint="eastAsia" w:ascii="宋体" w:hAnsi="宋体"/>
          <w:bCs/>
          <w:sz w:val="24"/>
          <w:szCs w:val="24"/>
        </w:rPr>
        <w:t>本地化服务（</w:t>
      </w:r>
      <w:r>
        <w:rPr>
          <w:rFonts w:ascii="宋体" w:hAnsi="宋体"/>
          <w:bCs/>
          <w:sz w:val="24"/>
          <w:szCs w:val="24"/>
        </w:rPr>
        <w:t>3</w:t>
      </w:r>
      <w:r>
        <w:rPr>
          <w:rFonts w:hint="eastAsia" w:ascii="宋体" w:hAnsi="宋体"/>
          <w:bCs/>
          <w:sz w:val="24"/>
          <w:szCs w:val="24"/>
        </w:rPr>
        <w:t>分）：投标人提供本地化服务承诺函，承诺中标后完全响应招标文件中服务时间或者派驻本地服务人员的得</w:t>
      </w:r>
      <w:r>
        <w:rPr>
          <w:rFonts w:ascii="宋体" w:hAnsi="宋体"/>
          <w:bCs/>
          <w:sz w:val="24"/>
          <w:szCs w:val="24"/>
        </w:rPr>
        <w:t>3</w:t>
      </w:r>
      <w:r>
        <w:rPr>
          <w:rFonts w:hint="eastAsia" w:ascii="宋体" w:hAnsi="宋体"/>
          <w:bCs/>
          <w:sz w:val="24"/>
          <w:szCs w:val="24"/>
        </w:rPr>
        <w:t>分</w:t>
      </w:r>
      <w:r>
        <w:rPr>
          <w:rFonts w:hint="eastAsia" w:ascii="宋体" w:hAnsi="宋体"/>
          <w:b/>
          <w:bCs w:val="0"/>
          <w:sz w:val="24"/>
          <w:szCs w:val="24"/>
        </w:rPr>
        <w:t>。需提供投标人连续三个月</w:t>
      </w:r>
      <w:r>
        <w:rPr>
          <w:rFonts w:ascii="宋体" w:hAnsi="宋体"/>
          <w:b/>
          <w:bCs w:val="0"/>
          <w:sz w:val="24"/>
          <w:szCs w:val="24"/>
        </w:rPr>
        <w:t>(</w:t>
      </w:r>
      <w:r>
        <w:rPr>
          <w:rFonts w:hint="eastAsia" w:ascii="宋体" w:hAnsi="宋体"/>
          <w:b/>
          <w:bCs w:val="0"/>
          <w:sz w:val="24"/>
          <w:szCs w:val="24"/>
        </w:rPr>
        <w:t>至少包含近三个月中任意一个月份</w:t>
      </w:r>
      <w:r>
        <w:rPr>
          <w:rFonts w:ascii="宋体" w:hAnsi="宋体"/>
          <w:b/>
          <w:bCs w:val="0"/>
          <w:sz w:val="24"/>
          <w:szCs w:val="24"/>
        </w:rPr>
        <w:t>(</w:t>
      </w:r>
      <w:r>
        <w:rPr>
          <w:rFonts w:hint="eastAsia" w:ascii="宋体" w:hAnsi="宋体"/>
          <w:b/>
          <w:bCs w:val="0"/>
          <w:sz w:val="24"/>
          <w:szCs w:val="24"/>
        </w:rPr>
        <w:t>不含投标当月</w:t>
      </w:r>
      <w:r>
        <w:rPr>
          <w:rFonts w:ascii="宋体" w:hAnsi="宋体"/>
          <w:b/>
          <w:bCs w:val="0"/>
          <w:sz w:val="24"/>
          <w:szCs w:val="24"/>
        </w:rPr>
        <w:t>)</w:t>
      </w:r>
      <w:r>
        <w:rPr>
          <w:rFonts w:hint="eastAsia" w:ascii="宋体" w:hAnsi="宋体"/>
          <w:b/>
          <w:bCs w:val="0"/>
          <w:sz w:val="24"/>
          <w:szCs w:val="24"/>
        </w:rPr>
        <w:t>为该服务人员缴纳社保的证明材料，否则不得分。</w:t>
      </w:r>
    </w:p>
    <w:p>
      <w:pPr>
        <w:pStyle w:val="2"/>
        <w:ind w:firstLine="0" w:firstLineChars="0"/>
        <w:rPr>
          <w:rFonts w:ascii="宋体" w:hAnsi="宋体"/>
          <w:b/>
          <w:sz w:val="24"/>
          <w:szCs w:val="24"/>
        </w:rPr>
      </w:pPr>
      <w:r>
        <w:rPr>
          <w:rFonts w:hint="eastAsia" w:ascii="宋体" w:hAnsi="宋体"/>
          <w:b/>
          <w:sz w:val="24"/>
          <w:szCs w:val="24"/>
        </w:rPr>
        <w:t>（</w:t>
      </w:r>
      <w:r>
        <w:rPr>
          <w:rFonts w:hint="eastAsia" w:ascii="宋体" w:hAnsi="宋体"/>
          <w:b/>
          <w:sz w:val="24"/>
          <w:szCs w:val="24"/>
          <w:lang w:val="en-US" w:eastAsia="zh-CN"/>
        </w:rPr>
        <w:t>6</w:t>
      </w:r>
      <w:r>
        <w:rPr>
          <w:rFonts w:hint="eastAsia" w:ascii="宋体" w:hAnsi="宋体"/>
          <w:b/>
          <w:sz w:val="24"/>
          <w:szCs w:val="24"/>
        </w:rPr>
        <w:t>）技术实施方案（</w:t>
      </w:r>
      <w:r>
        <w:rPr>
          <w:rFonts w:hint="eastAsia" w:ascii="宋体" w:hAnsi="宋体"/>
          <w:b/>
          <w:sz w:val="24"/>
          <w:szCs w:val="24"/>
          <w:lang w:val="en-US" w:eastAsia="zh-CN"/>
        </w:rPr>
        <w:t>24</w:t>
      </w:r>
      <w:r>
        <w:rPr>
          <w:rFonts w:hint="eastAsia" w:ascii="宋体" w:hAnsi="宋体"/>
          <w:b/>
          <w:sz w:val="24"/>
          <w:szCs w:val="24"/>
        </w:rPr>
        <w:t>分）</w:t>
      </w:r>
    </w:p>
    <w:p>
      <w:pPr>
        <w:tabs>
          <w:tab w:val="left" w:pos="945"/>
          <w:tab w:val="left" w:pos="1155"/>
        </w:tabs>
        <w:spacing w:line="360" w:lineRule="auto"/>
        <w:ind w:firstLine="422" w:firstLineChars="176"/>
        <w:jc w:val="left"/>
        <w:rPr>
          <w:rFonts w:ascii="宋体" w:hAnsi="宋体"/>
          <w:bCs/>
          <w:sz w:val="24"/>
          <w:szCs w:val="24"/>
        </w:rPr>
      </w:pPr>
      <w:bookmarkStart w:id="2" w:name="_Hlk42587645"/>
      <w:r>
        <w:rPr>
          <w:rFonts w:ascii="宋体" w:hAnsi="宋体"/>
          <w:bCs/>
          <w:sz w:val="24"/>
          <w:szCs w:val="24"/>
        </w:rPr>
        <w:t>1</w:t>
      </w:r>
      <w:r>
        <w:rPr>
          <w:rFonts w:hint="eastAsia" w:ascii="宋体" w:hAnsi="宋体"/>
          <w:bCs/>
          <w:sz w:val="24"/>
          <w:szCs w:val="24"/>
        </w:rPr>
        <w:t>）安装方案（</w:t>
      </w:r>
      <w:r>
        <w:rPr>
          <w:rFonts w:ascii="宋体" w:hAnsi="宋体"/>
          <w:bCs/>
          <w:sz w:val="24"/>
          <w:szCs w:val="24"/>
        </w:rPr>
        <w:t>6</w:t>
      </w:r>
      <w:r>
        <w:rPr>
          <w:rFonts w:hint="eastAsia" w:ascii="宋体" w:hAnsi="宋体"/>
          <w:bCs/>
          <w:sz w:val="24"/>
          <w:szCs w:val="24"/>
        </w:rPr>
        <w:t>分）：根据投标人的施工方案及质量保证措施、安全文明安装及环境保护措施、劳动力、机械设备和材料投入计划等进行评分</w:t>
      </w:r>
      <w:r>
        <w:rPr>
          <w:rFonts w:hint="eastAsia" w:ascii="宋体" w:hAnsi="宋体"/>
          <w:bCs/>
          <w:sz w:val="24"/>
          <w:szCs w:val="24"/>
          <w:lang w:eastAsia="zh-CN"/>
        </w:rPr>
        <w:t>。</w:t>
      </w:r>
      <w:r>
        <w:rPr>
          <w:rFonts w:hint="eastAsia" w:ascii="宋体" w:hAnsi="宋体"/>
          <w:bCs/>
          <w:sz w:val="24"/>
          <w:szCs w:val="24"/>
          <w:lang w:val="en-US" w:eastAsia="zh-CN"/>
        </w:rPr>
        <w:t>满分6分</w:t>
      </w:r>
      <w:r>
        <w:rPr>
          <w:rFonts w:hint="eastAsia" w:ascii="宋体" w:hAnsi="宋体"/>
          <w:bCs/>
          <w:sz w:val="24"/>
          <w:szCs w:val="24"/>
        </w:rPr>
        <w:t>，无方案不得分。</w:t>
      </w:r>
    </w:p>
    <w:p>
      <w:pPr>
        <w:tabs>
          <w:tab w:val="left" w:pos="945"/>
          <w:tab w:val="left" w:pos="1155"/>
        </w:tabs>
        <w:spacing w:line="360" w:lineRule="auto"/>
        <w:ind w:firstLine="422" w:firstLineChars="176"/>
        <w:jc w:val="left"/>
        <w:rPr>
          <w:rFonts w:ascii="宋体" w:hAnsi="宋体"/>
          <w:bCs/>
          <w:sz w:val="24"/>
          <w:szCs w:val="24"/>
        </w:rPr>
      </w:pPr>
      <w:r>
        <w:rPr>
          <w:rFonts w:hint="eastAsia" w:ascii="宋体" w:hAnsi="宋体"/>
          <w:bCs/>
          <w:sz w:val="24"/>
          <w:szCs w:val="24"/>
        </w:rPr>
        <w:t>2）售后服务管理及措施（</w:t>
      </w:r>
      <w:r>
        <w:rPr>
          <w:rFonts w:ascii="宋体" w:hAnsi="宋体"/>
          <w:bCs/>
          <w:sz w:val="24"/>
          <w:szCs w:val="24"/>
        </w:rPr>
        <w:t>6</w:t>
      </w:r>
      <w:r>
        <w:rPr>
          <w:rFonts w:hint="eastAsia" w:ascii="宋体" w:hAnsi="宋体"/>
          <w:bCs/>
          <w:sz w:val="24"/>
          <w:szCs w:val="24"/>
        </w:rPr>
        <w:t>分）：根据投标人承诺的产品质量保证、服务保障体系、售后服务人员的技术水平及现场服务措施、故障解决能力、应急服务响应时间等进行评分</w:t>
      </w:r>
      <w:r>
        <w:rPr>
          <w:rFonts w:hint="eastAsia" w:ascii="宋体" w:hAnsi="宋体"/>
          <w:bCs/>
          <w:sz w:val="24"/>
          <w:szCs w:val="24"/>
          <w:lang w:eastAsia="zh-CN"/>
        </w:rPr>
        <w:t>。</w:t>
      </w:r>
      <w:r>
        <w:rPr>
          <w:rFonts w:hint="eastAsia" w:ascii="宋体" w:hAnsi="宋体"/>
          <w:bCs/>
          <w:sz w:val="24"/>
          <w:szCs w:val="24"/>
          <w:lang w:val="en-US" w:eastAsia="zh-CN"/>
        </w:rPr>
        <w:t>满分6分</w:t>
      </w:r>
      <w:r>
        <w:rPr>
          <w:rFonts w:hint="eastAsia" w:ascii="宋体" w:hAnsi="宋体"/>
          <w:bCs/>
          <w:sz w:val="24"/>
          <w:szCs w:val="24"/>
        </w:rPr>
        <w:t>，无方案不得分。</w:t>
      </w:r>
    </w:p>
    <w:p>
      <w:pPr>
        <w:tabs>
          <w:tab w:val="left" w:pos="945"/>
          <w:tab w:val="left" w:pos="1155"/>
        </w:tabs>
        <w:spacing w:line="360" w:lineRule="auto"/>
        <w:ind w:firstLine="422" w:firstLineChars="176"/>
        <w:jc w:val="left"/>
        <w:rPr>
          <w:rFonts w:hint="eastAsia" w:ascii="宋体" w:hAnsi="宋体"/>
          <w:bCs/>
          <w:sz w:val="24"/>
          <w:szCs w:val="24"/>
          <w:lang w:eastAsia="zh-CN"/>
        </w:rPr>
      </w:pPr>
      <w:r>
        <w:rPr>
          <w:rFonts w:hint="eastAsia" w:ascii="宋体" w:hAnsi="宋体"/>
          <w:bCs/>
          <w:sz w:val="24"/>
          <w:szCs w:val="24"/>
        </w:rPr>
        <w:t>3）项目实施进度计划安排（</w:t>
      </w:r>
      <w:r>
        <w:rPr>
          <w:rFonts w:ascii="宋体" w:hAnsi="宋体"/>
          <w:bCs/>
          <w:sz w:val="24"/>
          <w:szCs w:val="24"/>
        </w:rPr>
        <w:t>6</w:t>
      </w:r>
      <w:r>
        <w:rPr>
          <w:rFonts w:hint="eastAsia" w:ascii="宋体" w:hAnsi="宋体"/>
          <w:bCs/>
          <w:sz w:val="24"/>
          <w:szCs w:val="24"/>
        </w:rPr>
        <w:t>分）：根据投标人提供的项目进度安排进行评分</w:t>
      </w:r>
      <w:r>
        <w:rPr>
          <w:rFonts w:hint="eastAsia" w:ascii="宋体" w:hAnsi="宋体"/>
          <w:bCs/>
          <w:sz w:val="24"/>
          <w:szCs w:val="24"/>
          <w:lang w:eastAsia="zh-CN"/>
        </w:rPr>
        <w:t>。</w:t>
      </w:r>
      <w:r>
        <w:rPr>
          <w:rFonts w:hint="eastAsia" w:ascii="宋体" w:hAnsi="宋体"/>
          <w:bCs/>
          <w:sz w:val="24"/>
          <w:szCs w:val="24"/>
          <w:lang w:val="en-US" w:eastAsia="zh-CN"/>
        </w:rPr>
        <w:t>满分6分</w:t>
      </w:r>
      <w:r>
        <w:rPr>
          <w:rFonts w:hint="eastAsia" w:ascii="宋体" w:hAnsi="宋体"/>
          <w:bCs/>
          <w:sz w:val="24"/>
          <w:szCs w:val="24"/>
        </w:rPr>
        <w:t>，无方案不得分。</w:t>
      </w:r>
    </w:p>
    <w:p>
      <w:pPr>
        <w:tabs>
          <w:tab w:val="left" w:pos="945"/>
          <w:tab w:val="left" w:pos="1155"/>
        </w:tabs>
        <w:spacing w:line="360" w:lineRule="auto"/>
        <w:ind w:firstLine="422" w:firstLineChars="176"/>
        <w:jc w:val="left"/>
        <w:rPr>
          <w:rFonts w:hint="eastAsia" w:ascii="宋体" w:hAnsi="宋体"/>
          <w:bCs/>
          <w:sz w:val="24"/>
          <w:szCs w:val="24"/>
        </w:rPr>
      </w:pPr>
      <w:r>
        <w:rPr>
          <w:rFonts w:hint="eastAsia" w:asciiTheme="minorEastAsia" w:hAnsiTheme="minorEastAsia"/>
          <w:sz w:val="24"/>
          <w:szCs w:val="24"/>
        </w:rPr>
        <w:t>4</w:t>
      </w:r>
      <w:r>
        <w:rPr>
          <w:rFonts w:hint="eastAsia" w:ascii="宋体" w:hAnsi="宋体"/>
          <w:bCs/>
          <w:sz w:val="24"/>
          <w:szCs w:val="24"/>
        </w:rPr>
        <w:t>）</w:t>
      </w:r>
      <w:r>
        <w:rPr>
          <w:rFonts w:hint="eastAsia" w:asciiTheme="minorEastAsia" w:hAnsiTheme="minorEastAsia"/>
          <w:sz w:val="24"/>
          <w:szCs w:val="24"/>
        </w:rPr>
        <w:t>项目验收方案（</w:t>
      </w:r>
      <w:r>
        <w:rPr>
          <w:rFonts w:asciiTheme="minorEastAsia" w:hAnsiTheme="minorEastAsia"/>
          <w:sz w:val="24"/>
          <w:szCs w:val="24"/>
        </w:rPr>
        <w:t>6</w:t>
      </w:r>
      <w:r>
        <w:rPr>
          <w:rFonts w:hint="eastAsia" w:asciiTheme="minorEastAsia" w:hAnsiTheme="minorEastAsia"/>
          <w:sz w:val="24"/>
          <w:szCs w:val="24"/>
        </w:rPr>
        <w:t>分）：投标人根据项目总体概述，产品质量相关标准的引用，投标产品加工工序及质量控制点检验标准</w:t>
      </w:r>
      <w:r>
        <w:rPr>
          <w:rFonts w:hint="eastAsia" w:asciiTheme="minorEastAsia" w:hAnsiTheme="minorEastAsia"/>
          <w:bCs/>
          <w:sz w:val="24"/>
          <w:szCs w:val="24"/>
        </w:rPr>
        <w:t>行评分</w:t>
      </w:r>
      <w:r>
        <w:rPr>
          <w:rFonts w:hint="eastAsia" w:asciiTheme="minorEastAsia" w:hAnsiTheme="minorEastAsia"/>
          <w:bCs/>
          <w:sz w:val="24"/>
          <w:szCs w:val="24"/>
          <w:lang w:eastAsia="zh-CN"/>
        </w:rPr>
        <w:t>。</w:t>
      </w:r>
      <w:r>
        <w:rPr>
          <w:rFonts w:hint="eastAsia" w:ascii="宋体" w:hAnsi="宋体"/>
          <w:bCs/>
          <w:sz w:val="24"/>
          <w:szCs w:val="24"/>
          <w:lang w:val="en-US" w:eastAsia="zh-CN"/>
        </w:rPr>
        <w:t>满分6分</w:t>
      </w:r>
      <w:r>
        <w:rPr>
          <w:rFonts w:hint="eastAsia" w:ascii="宋体" w:hAnsi="宋体"/>
          <w:bCs/>
          <w:sz w:val="24"/>
          <w:szCs w:val="24"/>
        </w:rPr>
        <w:t>，无方案不得分。</w:t>
      </w:r>
    </w:p>
    <w:p>
      <w:pPr>
        <w:tabs>
          <w:tab w:val="left" w:pos="945"/>
          <w:tab w:val="left" w:pos="1155"/>
        </w:tabs>
        <w:spacing w:line="360" w:lineRule="auto"/>
        <w:jc w:val="left"/>
        <w:rPr>
          <w:rFonts w:hint="eastAsia" w:asciiTheme="minorEastAsia" w:hAnsiTheme="minorEastAsia"/>
          <w:b/>
          <w:bCs/>
          <w:sz w:val="24"/>
          <w:szCs w:val="24"/>
        </w:rPr>
      </w:pPr>
      <w:r>
        <w:rPr>
          <w:rFonts w:hint="eastAsia" w:asciiTheme="minorEastAsia" w:hAnsiTheme="minorEastAsia"/>
          <w:b/>
          <w:bCs/>
          <w:sz w:val="24"/>
          <w:szCs w:val="24"/>
          <w:lang w:eastAsia="zh-CN"/>
        </w:rPr>
        <w:t>（</w:t>
      </w:r>
      <w:r>
        <w:rPr>
          <w:rFonts w:hint="eastAsia" w:asciiTheme="minorEastAsia" w:hAnsiTheme="minorEastAsia"/>
          <w:b/>
          <w:bCs/>
          <w:sz w:val="24"/>
          <w:szCs w:val="24"/>
          <w:lang w:val="en-US" w:eastAsia="zh-CN"/>
        </w:rPr>
        <w:t>7</w:t>
      </w:r>
      <w:r>
        <w:rPr>
          <w:rFonts w:hint="eastAsia" w:asciiTheme="minorEastAsia" w:hAnsiTheme="minorEastAsia"/>
          <w:b/>
          <w:bCs/>
          <w:sz w:val="24"/>
          <w:szCs w:val="24"/>
          <w:lang w:eastAsia="zh-CN"/>
        </w:rPr>
        <w:t>）</w:t>
      </w:r>
      <w:r>
        <w:rPr>
          <w:rFonts w:hint="eastAsia" w:asciiTheme="minorEastAsia" w:hAnsiTheme="minorEastAsia"/>
          <w:b/>
          <w:bCs/>
          <w:sz w:val="24"/>
          <w:szCs w:val="24"/>
        </w:rPr>
        <w:t>深化设计结构图（15分）：</w:t>
      </w:r>
    </w:p>
    <w:p>
      <w:pPr>
        <w:tabs>
          <w:tab w:val="left" w:pos="945"/>
          <w:tab w:val="left" w:pos="1155"/>
        </w:tabs>
        <w:spacing w:line="360" w:lineRule="auto"/>
        <w:ind w:firstLine="480" w:firstLineChars="200"/>
        <w:jc w:val="left"/>
      </w:pPr>
      <w:r>
        <w:rPr>
          <w:rFonts w:hint="eastAsia" w:asciiTheme="minorEastAsia" w:hAnsiTheme="minorEastAsia"/>
          <w:sz w:val="24"/>
          <w:szCs w:val="24"/>
        </w:rPr>
        <w:t>投标人根据采购清单上核心产品（课桌椅、礼堂椅、回弹餐桌）、</w:t>
      </w:r>
      <w:r>
        <w:rPr>
          <w:rFonts w:hint="eastAsia" w:asciiTheme="minorEastAsia" w:hAnsiTheme="minorEastAsia"/>
          <w:sz w:val="24"/>
          <w:szCs w:val="24"/>
          <w:lang w:val="en-US" w:eastAsia="zh-CN"/>
        </w:rPr>
        <w:t>结合</w:t>
      </w:r>
      <w:r>
        <w:rPr>
          <w:rFonts w:hint="eastAsia" w:asciiTheme="minorEastAsia" w:hAnsiTheme="minorEastAsia"/>
          <w:sz w:val="24"/>
          <w:szCs w:val="24"/>
        </w:rPr>
        <w:t>招标技术参数，</w:t>
      </w:r>
      <w:r>
        <w:rPr>
          <w:rFonts w:hint="eastAsia" w:asciiTheme="minorEastAsia" w:hAnsiTheme="minorEastAsia"/>
          <w:b/>
          <w:bCs/>
          <w:sz w:val="24"/>
          <w:szCs w:val="24"/>
        </w:rPr>
        <w:t>每个</w:t>
      </w:r>
      <w:r>
        <w:rPr>
          <w:rFonts w:hint="eastAsia" w:asciiTheme="minorEastAsia" w:hAnsiTheme="minorEastAsia"/>
          <w:b/>
          <w:bCs/>
          <w:sz w:val="24"/>
          <w:szCs w:val="24"/>
          <w:lang w:val="en-US" w:eastAsia="zh-CN"/>
        </w:rPr>
        <w:t>核心</w:t>
      </w:r>
      <w:r>
        <w:rPr>
          <w:rFonts w:hint="eastAsia" w:asciiTheme="minorEastAsia" w:hAnsiTheme="minorEastAsia"/>
          <w:b/>
          <w:bCs/>
          <w:sz w:val="24"/>
          <w:szCs w:val="24"/>
        </w:rPr>
        <w:t>产品提供一份三视图、一份立体结构图（图上附用料说明、工艺技术）、一份单体效果图（效果图2个角度），</w:t>
      </w:r>
      <w:r>
        <w:rPr>
          <w:rFonts w:hint="eastAsia" w:asciiTheme="minorEastAsia" w:hAnsiTheme="minorEastAsia"/>
          <w:b/>
          <w:bCs/>
          <w:sz w:val="24"/>
          <w:szCs w:val="24"/>
          <w:lang w:val="en-US" w:eastAsia="zh-CN"/>
        </w:rPr>
        <w:t>共九张图</w:t>
      </w:r>
      <w:r>
        <w:rPr>
          <w:rFonts w:hint="eastAsia" w:asciiTheme="minorEastAsia" w:hAnsiTheme="minorEastAsia"/>
          <w:sz w:val="24"/>
          <w:szCs w:val="24"/>
          <w:lang w:val="en-US" w:eastAsia="zh-CN"/>
        </w:rPr>
        <w:t>。</w:t>
      </w:r>
      <w:r>
        <w:rPr>
          <w:rFonts w:hint="eastAsia" w:asciiTheme="minorEastAsia" w:hAnsiTheme="minorEastAsia"/>
          <w:sz w:val="24"/>
          <w:szCs w:val="24"/>
        </w:rPr>
        <w:t>全部提供设计图且方案科学、合理，可用于实际实施</w:t>
      </w:r>
      <w:r>
        <w:rPr>
          <w:rFonts w:hint="eastAsia" w:asciiTheme="minorEastAsia" w:hAnsiTheme="minorEastAsia"/>
          <w:sz w:val="24"/>
          <w:szCs w:val="24"/>
          <w:lang w:eastAsia="zh-CN"/>
        </w:rPr>
        <w:t>。</w:t>
      </w:r>
      <w:r>
        <w:rPr>
          <w:rFonts w:hint="eastAsia" w:asciiTheme="minorEastAsia" w:hAnsiTheme="minorEastAsia"/>
          <w:sz w:val="24"/>
          <w:szCs w:val="24"/>
        </w:rPr>
        <w:t>所提供的设计图</w:t>
      </w:r>
      <w:r>
        <w:rPr>
          <w:rFonts w:hint="eastAsia" w:asciiTheme="minorEastAsia" w:hAnsiTheme="minorEastAsia"/>
          <w:sz w:val="24"/>
          <w:szCs w:val="24"/>
          <w:lang w:val="en-US" w:eastAsia="zh-CN"/>
        </w:rPr>
        <w:t>作</w:t>
      </w:r>
      <w:r>
        <w:rPr>
          <w:rFonts w:hint="eastAsia" w:asciiTheme="minorEastAsia" w:hAnsiTheme="minorEastAsia"/>
          <w:sz w:val="24"/>
          <w:szCs w:val="24"/>
        </w:rPr>
        <w:t>为最终供货标准，采购人以此作为验收标准。每个核心产品</w:t>
      </w:r>
      <w:r>
        <w:rPr>
          <w:rFonts w:hint="eastAsia" w:asciiTheme="minorEastAsia" w:hAnsiTheme="minorEastAsia"/>
          <w:sz w:val="24"/>
          <w:szCs w:val="24"/>
          <w:lang w:val="en-US" w:eastAsia="zh-CN"/>
        </w:rPr>
        <w:t>图纸满分5分</w:t>
      </w:r>
      <w:r>
        <w:rPr>
          <w:rFonts w:hint="eastAsia" w:asciiTheme="minorEastAsia" w:hAnsiTheme="minorEastAsia"/>
          <w:sz w:val="24"/>
          <w:szCs w:val="24"/>
        </w:rPr>
        <w:t>，</w:t>
      </w:r>
      <w:r>
        <w:rPr>
          <w:rFonts w:hint="eastAsia" w:asciiTheme="minorEastAsia" w:hAnsiTheme="minorEastAsia"/>
          <w:sz w:val="24"/>
          <w:szCs w:val="24"/>
          <w:lang w:val="en-US" w:eastAsia="zh-CN"/>
        </w:rPr>
        <w:t>不提供图纸的</w:t>
      </w:r>
      <w:r>
        <w:rPr>
          <w:rFonts w:hint="eastAsia" w:asciiTheme="minorEastAsia" w:hAnsiTheme="minorEastAsia"/>
          <w:sz w:val="24"/>
          <w:szCs w:val="24"/>
        </w:rPr>
        <w:t>不得分。</w:t>
      </w:r>
    </w:p>
    <w:p>
      <w:pPr>
        <w:pStyle w:val="80"/>
        <w:spacing w:line="360" w:lineRule="auto"/>
        <w:ind w:firstLine="480"/>
        <w:rPr>
          <w:rFonts w:asciiTheme="minorEastAsia" w:hAnsiTheme="minorEastAsia"/>
          <w:bCs/>
          <w:sz w:val="24"/>
          <w:szCs w:val="24"/>
        </w:rPr>
      </w:pPr>
      <w:r>
        <w:rPr>
          <w:rFonts w:hint="eastAsia" w:ascii="宋体" w:hAnsi="宋体"/>
          <w:b/>
          <w:bCs w:val="0"/>
          <w:sz w:val="24"/>
          <w:szCs w:val="24"/>
        </w:rPr>
        <w:t xml:space="preserve"> 注：</w:t>
      </w:r>
      <w:r>
        <w:rPr>
          <w:rFonts w:hint="eastAsia" w:ascii="宋体" w:hAnsi="宋体"/>
          <w:b/>
          <w:bCs w:val="0"/>
          <w:sz w:val="24"/>
          <w:szCs w:val="24"/>
          <w:lang w:eastAsia="zh-CN"/>
        </w:rPr>
        <w:t>（</w:t>
      </w:r>
      <w:r>
        <w:rPr>
          <w:rFonts w:hint="eastAsia" w:ascii="宋体" w:hAnsi="宋体"/>
          <w:b/>
          <w:bCs w:val="0"/>
          <w:sz w:val="24"/>
          <w:szCs w:val="24"/>
          <w:lang w:val="en-US" w:eastAsia="zh-CN"/>
        </w:rPr>
        <w:t>6</w:t>
      </w:r>
      <w:r>
        <w:rPr>
          <w:rFonts w:hint="eastAsia" w:ascii="宋体" w:hAnsi="宋体"/>
          <w:b/>
          <w:bCs w:val="0"/>
          <w:sz w:val="24"/>
          <w:szCs w:val="24"/>
          <w:lang w:eastAsia="zh-CN"/>
        </w:rPr>
        <w:t>）（</w:t>
      </w:r>
      <w:r>
        <w:rPr>
          <w:rFonts w:hint="eastAsia" w:ascii="宋体" w:hAnsi="宋体"/>
          <w:b/>
          <w:bCs w:val="0"/>
          <w:sz w:val="24"/>
          <w:szCs w:val="24"/>
          <w:lang w:val="en-US" w:eastAsia="zh-CN"/>
        </w:rPr>
        <w:t>7</w:t>
      </w:r>
      <w:r>
        <w:rPr>
          <w:rFonts w:hint="eastAsia" w:ascii="宋体" w:hAnsi="宋体"/>
          <w:b/>
          <w:bCs w:val="0"/>
          <w:sz w:val="24"/>
          <w:szCs w:val="24"/>
          <w:lang w:eastAsia="zh-CN"/>
        </w:rPr>
        <w:t>）</w:t>
      </w:r>
      <w:r>
        <w:rPr>
          <w:rFonts w:hint="eastAsia" w:ascii="宋体" w:hAnsi="宋体"/>
          <w:b/>
          <w:bCs w:val="0"/>
          <w:sz w:val="24"/>
          <w:szCs w:val="24"/>
          <w:lang w:val="en-US" w:eastAsia="zh-CN"/>
        </w:rPr>
        <w:t>评审点</w:t>
      </w:r>
      <w:r>
        <w:rPr>
          <w:rFonts w:hint="eastAsia" w:ascii="宋体" w:hAnsi="宋体"/>
          <w:b/>
          <w:bCs w:val="0"/>
          <w:sz w:val="24"/>
          <w:szCs w:val="24"/>
        </w:rPr>
        <w:t>评标委员会按照下列评分幅度进行评</w:t>
      </w:r>
      <w:r>
        <w:rPr>
          <w:rFonts w:hint="eastAsia" w:ascii="宋体" w:hAnsi="宋体"/>
          <w:b/>
          <w:bCs w:val="0"/>
          <w:sz w:val="24"/>
          <w:szCs w:val="24"/>
          <w:lang w:val="en-US" w:eastAsia="zh-CN"/>
        </w:rPr>
        <w:t>审</w:t>
      </w:r>
      <w:r>
        <w:rPr>
          <w:rFonts w:hint="eastAsia" w:ascii="宋体" w:hAnsi="宋体"/>
          <w:b/>
          <w:bCs w:val="0"/>
          <w:sz w:val="24"/>
          <w:szCs w:val="24"/>
        </w:rPr>
        <w:t>：90%≤优≤100%，80%≤良＜90%，60%≤中＜80%。</w:t>
      </w:r>
    </w:p>
    <w:bookmarkEnd w:id="2"/>
    <w:p>
      <w:pPr>
        <w:tabs>
          <w:tab w:val="left" w:pos="840"/>
          <w:tab w:val="left" w:pos="1050"/>
        </w:tabs>
        <w:spacing w:line="360" w:lineRule="auto"/>
        <w:rPr>
          <w:rFonts w:ascii="宋体" w:hAnsi="宋体"/>
          <w:bCs/>
          <w:sz w:val="24"/>
          <w:szCs w:val="24"/>
        </w:rPr>
      </w:pPr>
      <w:r>
        <w:rPr>
          <w:rFonts w:hint="eastAsia" w:ascii="宋体" w:hAnsi="宋体"/>
          <w:b/>
          <w:sz w:val="24"/>
          <w:szCs w:val="24"/>
        </w:rPr>
        <w:t>（</w:t>
      </w:r>
      <w:r>
        <w:rPr>
          <w:rFonts w:hint="eastAsia" w:ascii="宋体" w:hAnsi="宋体"/>
          <w:b/>
          <w:sz w:val="24"/>
          <w:szCs w:val="24"/>
          <w:lang w:val="en-US" w:eastAsia="zh-CN"/>
        </w:rPr>
        <w:t>8</w:t>
      </w:r>
      <w:r>
        <w:rPr>
          <w:rFonts w:hint="eastAsia" w:ascii="宋体" w:hAnsi="宋体"/>
          <w:b/>
          <w:sz w:val="24"/>
          <w:szCs w:val="24"/>
        </w:rPr>
        <w:t>）商务标</w:t>
      </w:r>
      <w:r>
        <w:rPr>
          <w:rFonts w:hint="eastAsia" w:ascii="宋体" w:hAnsi="宋体"/>
          <w:b/>
          <w:bCs/>
          <w:color w:val="000000"/>
          <w:sz w:val="24"/>
          <w:szCs w:val="24"/>
        </w:rPr>
        <w:t>投标文件的评价（</w:t>
      </w:r>
      <w:r>
        <w:rPr>
          <w:rFonts w:ascii="宋体" w:hAnsi="宋体"/>
          <w:b/>
          <w:bCs/>
          <w:color w:val="000000"/>
          <w:sz w:val="24"/>
          <w:szCs w:val="24"/>
        </w:rPr>
        <w:t>1</w:t>
      </w:r>
      <w:r>
        <w:rPr>
          <w:rFonts w:hint="eastAsia" w:ascii="宋体" w:hAnsi="宋体"/>
          <w:b/>
          <w:bCs/>
          <w:color w:val="000000"/>
          <w:sz w:val="24"/>
          <w:szCs w:val="24"/>
        </w:rPr>
        <w:t>分）</w:t>
      </w:r>
      <w:r>
        <w:rPr>
          <w:rFonts w:hint="eastAsia" w:ascii="宋体" w:hAnsi="宋体"/>
          <w:bCs/>
          <w:color w:val="000000"/>
          <w:sz w:val="24"/>
          <w:szCs w:val="24"/>
        </w:rPr>
        <w:t>：</w:t>
      </w:r>
      <w:r>
        <w:rPr>
          <w:rFonts w:hint="eastAsia" w:ascii="宋体" w:hAnsi="宋体"/>
          <w:bCs/>
          <w:sz w:val="24"/>
          <w:szCs w:val="24"/>
        </w:rPr>
        <w:t>制作规范性和表述清晰程度。</w:t>
      </w:r>
    </w:p>
    <w:p>
      <w:pPr>
        <w:tabs>
          <w:tab w:val="left" w:pos="840"/>
          <w:tab w:val="left" w:pos="1050"/>
        </w:tabs>
        <w:spacing w:line="360" w:lineRule="auto"/>
        <w:ind w:left="1" w:firstLine="480" w:firstLineChars="200"/>
        <w:rPr>
          <w:sz w:val="24"/>
          <w:szCs w:val="24"/>
        </w:rPr>
      </w:pPr>
      <w:r>
        <w:rPr>
          <w:rFonts w:hint="eastAsia" w:ascii="宋体" w:hAnsi="宋体"/>
          <w:b/>
          <w:bCs/>
          <w:sz w:val="24"/>
          <w:szCs w:val="24"/>
        </w:rPr>
        <w:t>加分因素：</w:t>
      </w:r>
      <w:r>
        <w:rPr>
          <w:rFonts w:hint="eastAsia" w:ascii="宋体" w:hAnsi="宋体" w:cs="宋体"/>
          <w:color w:val="000000"/>
          <w:kern w:val="0"/>
          <w:sz w:val="24"/>
          <w:szCs w:val="24"/>
        </w:rPr>
        <w:t>依据财政部、发展改革委发布的《节能产品政府采购品目清单》和财政部、生态环境部发布的《环境标志产品政府采购品目清单》，投标产品为政府采购</w:t>
      </w:r>
      <w:r>
        <w:rPr>
          <w:rFonts w:hint="eastAsia" w:ascii="宋体" w:hAnsi="宋体"/>
          <w:bCs/>
          <w:color w:val="000000"/>
          <w:kern w:val="0"/>
          <w:sz w:val="24"/>
          <w:szCs w:val="24"/>
        </w:rPr>
        <w:t>节能（政府强制采购节能产品除外）、环保产品分别加1分</w:t>
      </w:r>
      <w:r>
        <w:rPr>
          <w:rFonts w:hint="eastAsia" w:ascii="宋体" w:hAnsi="宋体"/>
          <w:bCs/>
          <w:color w:val="000000"/>
          <w:kern w:val="0"/>
          <w:sz w:val="24"/>
          <w:szCs w:val="24"/>
          <w:lang w:eastAsia="zh-CN"/>
        </w:rPr>
        <w:t>，</w:t>
      </w:r>
      <w:r>
        <w:rPr>
          <w:rFonts w:hint="eastAsia" w:ascii="宋体" w:hAnsi="宋体"/>
          <w:bCs/>
          <w:color w:val="000000"/>
          <w:kern w:val="0"/>
          <w:sz w:val="24"/>
          <w:szCs w:val="24"/>
          <w:lang w:val="en-US" w:eastAsia="zh-CN"/>
        </w:rPr>
        <w:t>最多2分</w:t>
      </w:r>
      <w:r>
        <w:rPr>
          <w:rFonts w:hint="eastAsia" w:ascii="宋体" w:hAnsi="宋体"/>
          <w:bCs/>
          <w:color w:val="000000"/>
          <w:kern w:val="0"/>
          <w:sz w:val="24"/>
          <w:szCs w:val="24"/>
        </w:rPr>
        <w:t>（投标时须提供所投产品</w:t>
      </w:r>
      <w:r>
        <w:rPr>
          <w:rFonts w:hint="eastAsia" w:ascii="宋体" w:hAnsi="宋体" w:cs="宋体"/>
          <w:color w:val="000000"/>
          <w:kern w:val="0"/>
          <w:sz w:val="24"/>
          <w:szCs w:val="24"/>
        </w:rPr>
        <w:t>由国家确定的认证机构出具的、处于有效期之内的节能产品认证证书复印件、环境标志产品认证证书</w:t>
      </w:r>
      <w:r>
        <w:rPr>
          <w:rFonts w:hint="eastAsia" w:ascii="宋体" w:hAnsi="宋体"/>
          <w:bCs/>
          <w:color w:val="000000"/>
          <w:kern w:val="0"/>
          <w:sz w:val="24"/>
          <w:szCs w:val="24"/>
        </w:rPr>
        <w:t>复印件，否则不得分）。</w:t>
      </w:r>
    </w:p>
    <w:p>
      <w:pPr>
        <w:pStyle w:val="80"/>
        <w:spacing w:line="360" w:lineRule="auto"/>
        <w:ind w:firstLine="480"/>
        <w:rPr>
          <w:rFonts w:hint="eastAsia" w:ascii="宋体" w:hAnsi="宋体"/>
          <w:b/>
          <w:bCs w:val="0"/>
          <w:sz w:val="24"/>
          <w:szCs w:val="24"/>
        </w:rPr>
      </w:pPr>
    </w:p>
    <w:p>
      <w:pPr>
        <w:pStyle w:val="80"/>
        <w:spacing w:line="360" w:lineRule="auto"/>
        <w:ind w:firstLine="480"/>
        <w:rPr>
          <w:rFonts w:ascii="宋体" w:hAnsi="宋体"/>
          <w:bCs/>
          <w:sz w:val="24"/>
          <w:szCs w:val="24"/>
        </w:rPr>
      </w:pPr>
    </w:p>
    <w:p>
      <w:pPr>
        <w:pStyle w:val="80"/>
        <w:spacing w:line="360" w:lineRule="auto"/>
        <w:ind w:firstLine="480"/>
        <w:rPr>
          <w:rFonts w:ascii="宋体" w:hAnsi="宋体"/>
          <w:bCs/>
          <w:sz w:val="24"/>
          <w:szCs w:val="24"/>
        </w:rPr>
      </w:pPr>
    </w:p>
    <w:p>
      <w:pPr>
        <w:pStyle w:val="80"/>
        <w:spacing w:line="360" w:lineRule="auto"/>
        <w:ind w:firstLine="480"/>
        <w:rPr>
          <w:rFonts w:ascii="宋体" w:hAnsi="宋体"/>
          <w:bCs/>
          <w:sz w:val="24"/>
          <w:szCs w:val="24"/>
        </w:rPr>
      </w:pPr>
    </w:p>
    <w:p>
      <w:pPr>
        <w:pStyle w:val="80"/>
        <w:spacing w:line="360" w:lineRule="auto"/>
        <w:ind w:firstLine="480"/>
        <w:rPr>
          <w:rFonts w:ascii="宋体" w:hAnsi="宋体"/>
          <w:bCs/>
          <w:sz w:val="24"/>
          <w:szCs w:val="24"/>
        </w:rPr>
      </w:pPr>
    </w:p>
    <w:p>
      <w:pPr>
        <w:jc w:val="left"/>
        <w:rPr>
          <w:rFonts w:ascii="黑体" w:eastAsia="黑体"/>
          <w:bCs/>
          <w:color w:val="000000"/>
          <w:sz w:val="24"/>
          <w:szCs w:val="24"/>
        </w:rPr>
      </w:pPr>
      <w:r>
        <w:rPr>
          <w:rFonts w:hint="eastAsia" w:ascii="黑体" w:eastAsia="黑体"/>
          <w:bCs/>
          <w:color w:val="000000"/>
          <w:sz w:val="24"/>
          <w:szCs w:val="24"/>
        </w:rPr>
        <w:t>附件二：投标文件格式</w:t>
      </w:r>
    </w:p>
    <w:p>
      <w:pPr>
        <w:rPr>
          <w:rFonts w:ascii="黑体" w:eastAsia="黑体"/>
          <w:bCs/>
          <w:color w:val="000000"/>
          <w:sz w:val="32"/>
        </w:rPr>
      </w:pPr>
    </w:p>
    <w:p>
      <w:pPr>
        <w:rPr>
          <w:rFonts w:ascii="黑体" w:eastAsia="黑体"/>
          <w:bCs/>
          <w:color w:val="000000"/>
          <w:sz w:val="32"/>
        </w:rPr>
      </w:pPr>
    </w:p>
    <w:p>
      <w:pPr>
        <w:jc w:val="center"/>
        <w:rPr>
          <w:rFonts w:ascii="黑体" w:eastAsia="黑体"/>
          <w:bCs/>
          <w:color w:val="000000"/>
          <w:sz w:val="52"/>
          <w:szCs w:val="52"/>
        </w:rPr>
      </w:pPr>
      <w:r>
        <w:rPr>
          <w:rFonts w:hint="eastAsia" w:ascii="黑体" w:eastAsia="黑体"/>
          <w:bCs/>
          <w:color w:val="000000"/>
          <w:sz w:val="52"/>
          <w:szCs w:val="52"/>
        </w:rPr>
        <w:t>投</w:t>
      </w:r>
    </w:p>
    <w:p>
      <w:pPr>
        <w:jc w:val="center"/>
        <w:rPr>
          <w:rFonts w:ascii="黑体" w:eastAsia="黑体"/>
          <w:bCs/>
          <w:color w:val="000000"/>
          <w:sz w:val="72"/>
        </w:rPr>
      </w:pPr>
    </w:p>
    <w:p>
      <w:pPr>
        <w:jc w:val="center"/>
        <w:rPr>
          <w:rFonts w:ascii="黑体" w:eastAsia="黑体"/>
          <w:bCs/>
          <w:color w:val="000000"/>
          <w:sz w:val="52"/>
          <w:szCs w:val="52"/>
        </w:rPr>
      </w:pPr>
      <w:r>
        <w:rPr>
          <w:rFonts w:hint="eastAsia" w:ascii="黑体" w:eastAsia="黑体"/>
          <w:bCs/>
          <w:color w:val="000000"/>
          <w:sz w:val="52"/>
          <w:szCs w:val="52"/>
        </w:rPr>
        <w:t>标</w:t>
      </w:r>
    </w:p>
    <w:p>
      <w:pPr>
        <w:jc w:val="center"/>
        <w:rPr>
          <w:rFonts w:ascii="黑体" w:eastAsia="黑体"/>
          <w:bCs/>
          <w:color w:val="000000"/>
          <w:sz w:val="72"/>
        </w:rPr>
      </w:pPr>
    </w:p>
    <w:p>
      <w:pPr>
        <w:jc w:val="center"/>
        <w:rPr>
          <w:rFonts w:ascii="黑体" w:eastAsia="黑体"/>
          <w:bCs/>
          <w:color w:val="000000"/>
          <w:sz w:val="52"/>
          <w:szCs w:val="52"/>
        </w:rPr>
      </w:pPr>
      <w:r>
        <w:rPr>
          <w:rFonts w:hint="eastAsia" w:ascii="黑体" w:eastAsia="黑体"/>
          <w:bCs/>
          <w:color w:val="000000"/>
          <w:sz w:val="52"/>
          <w:szCs w:val="52"/>
        </w:rPr>
        <w:t>文</w:t>
      </w:r>
    </w:p>
    <w:p>
      <w:pPr>
        <w:jc w:val="center"/>
        <w:rPr>
          <w:rFonts w:ascii="黑体" w:eastAsia="黑体"/>
          <w:bCs/>
          <w:color w:val="000000"/>
          <w:sz w:val="52"/>
          <w:szCs w:val="52"/>
        </w:rPr>
      </w:pPr>
    </w:p>
    <w:p>
      <w:pPr>
        <w:jc w:val="center"/>
        <w:rPr>
          <w:rFonts w:ascii="黑体" w:eastAsia="黑体"/>
          <w:bCs/>
          <w:color w:val="000000"/>
          <w:sz w:val="52"/>
          <w:szCs w:val="52"/>
        </w:rPr>
      </w:pPr>
      <w:r>
        <w:rPr>
          <w:rFonts w:hint="eastAsia" w:ascii="黑体" w:eastAsia="黑体"/>
          <w:bCs/>
          <w:color w:val="000000"/>
          <w:sz w:val="52"/>
          <w:szCs w:val="52"/>
        </w:rPr>
        <w:t>件</w:t>
      </w:r>
    </w:p>
    <w:p>
      <w:pPr>
        <w:rPr>
          <w:rFonts w:ascii="楷体_GB2312" w:eastAsia="楷体_GB2312"/>
          <w:bCs/>
          <w:color w:val="000000"/>
          <w:sz w:val="72"/>
        </w:rPr>
      </w:pPr>
    </w:p>
    <w:p>
      <w:pPr>
        <w:rPr>
          <w:rFonts w:ascii="楷体_GB2312" w:eastAsia="楷体_GB2312"/>
          <w:bCs/>
          <w:color w:val="000000"/>
          <w:sz w:val="28"/>
        </w:rPr>
      </w:pPr>
    </w:p>
    <w:p>
      <w:pPr>
        <w:ind w:firstLine="2715"/>
        <w:rPr>
          <w:rFonts w:hint="eastAsia" w:ascii="黑体" w:eastAsia="黑体"/>
          <w:bCs/>
          <w:color w:val="000000"/>
          <w:sz w:val="28"/>
          <w:szCs w:val="28"/>
          <w:lang w:eastAsia="zh-CN"/>
        </w:rPr>
      </w:pPr>
      <w:r>
        <w:rPr>
          <w:rFonts w:hint="eastAsia" w:ascii="黑体" w:eastAsia="黑体"/>
          <w:bCs/>
          <w:color w:val="000000"/>
          <w:sz w:val="28"/>
          <w:szCs w:val="28"/>
        </w:rPr>
        <w:t>采购项目编号：</w:t>
      </w:r>
      <w:r>
        <w:rPr>
          <w:rFonts w:hint="eastAsia" w:ascii="黑体" w:eastAsia="黑体"/>
          <w:bCs/>
          <w:color w:val="000000"/>
          <w:sz w:val="28"/>
          <w:szCs w:val="28"/>
          <w:lang w:eastAsia="zh-CN"/>
        </w:rPr>
        <w:t>WXXWQJC2022-013</w:t>
      </w:r>
    </w:p>
    <w:p>
      <w:pPr>
        <w:ind w:left="4522" w:leftChars="1287" w:hanging="1820" w:hangingChars="650"/>
        <w:rPr>
          <w:rFonts w:ascii="黑体" w:eastAsia="黑体"/>
          <w:bCs/>
          <w:color w:val="000000"/>
          <w:sz w:val="28"/>
          <w:szCs w:val="28"/>
        </w:rPr>
      </w:pPr>
      <w:r>
        <w:rPr>
          <w:rFonts w:hint="eastAsia" w:ascii="黑体" w:eastAsia="黑体"/>
          <w:bCs/>
          <w:color w:val="000000"/>
          <w:sz w:val="28"/>
          <w:szCs w:val="28"/>
        </w:rPr>
        <w:t>采购项目名称：</w:t>
      </w:r>
      <w:r>
        <w:rPr>
          <w:rFonts w:hint="eastAsia" w:ascii="黑体" w:eastAsia="黑体"/>
          <w:bCs/>
          <w:color w:val="000000"/>
          <w:sz w:val="28"/>
          <w:szCs w:val="28"/>
          <w:lang w:eastAsia="zh-CN"/>
        </w:rPr>
        <w:t>无锡市新吴实验中学新校家具采购</w:t>
      </w:r>
      <w:r>
        <w:rPr>
          <w:rFonts w:hint="eastAsia" w:ascii="黑体" w:eastAsia="黑体"/>
          <w:bCs/>
          <w:color w:val="000000"/>
          <w:sz w:val="28"/>
          <w:szCs w:val="28"/>
        </w:rPr>
        <w:t xml:space="preserve"> </w:t>
      </w:r>
      <w:r>
        <w:rPr>
          <w:rFonts w:hint="eastAsia" w:ascii="华文新魏" w:hAnsi="华文中宋" w:eastAsia="华文新魏"/>
        </w:rPr>
        <w:t xml:space="preserve">  </w:t>
      </w:r>
    </w:p>
    <w:p>
      <w:pPr>
        <w:ind w:firstLine="2703"/>
        <w:rPr>
          <w:rFonts w:ascii="黑体" w:eastAsia="黑体"/>
          <w:bCs/>
          <w:color w:val="000000"/>
          <w:sz w:val="28"/>
          <w:szCs w:val="28"/>
        </w:rPr>
      </w:pPr>
      <w:r>
        <w:rPr>
          <w:rFonts w:hint="eastAsia" w:ascii="黑体" w:eastAsia="黑体"/>
          <w:bCs/>
          <w:color w:val="000000"/>
          <w:sz w:val="28"/>
          <w:szCs w:val="28"/>
        </w:rPr>
        <w:t>投标人：</w:t>
      </w:r>
    </w:p>
    <w:p>
      <w:pPr>
        <w:rPr>
          <w:rFonts w:ascii="黑体" w:eastAsia="黑体"/>
          <w:bCs/>
          <w:color w:val="000000"/>
          <w:sz w:val="32"/>
        </w:rPr>
      </w:pPr>
    </w:p>
    <w:p>
      <w:pPr>
        <w:jc w:val="center"/>
        <w:rPr>
          <w:rFonts w:ascii="黑体" w:eastAsia="黑体"/>
          <w:bCs/>
          <w:color w:val="000000"/>
          <w:sz w:val="36"/>
          <w:szCs w:val="36"/>
        </w:rPr>
      </w:pPr>
      <w:r>
        <w:rPr>
          <w:rFonts w:hint="eastAsia" w:ascii="黑体" w:eastAsia="黑体"/>
          <w:bCs/>
          <w:color w:val="000000"/>
          <w:sz w:val="36"/>
          <w:szCs w:val="36"/>
        </w:rPr>
        <w:t>二○二二年  月  日</w:t>
      </w:r>
    </w:p>
    <w:p>
      <w:pPr>
        <w:outlineLvl w:val="0"/>
        <w:rPr>
          <w:rFonts w:ascii="黑体" w:hAnsi="宋体" w:eastAsia="黑体"/>
          <w:bCs/>
          <w:color w:val="000000"/>
          <w:sz w:val="24"/>
          <w:szCs w:val="24"/>
        </w:rPr>
      </w:pPr>
      <w:bookmarkStart w:id="3" w:name="一．报价函（格式）"/>
      <w:bookmarkEnd w:id="3"/>
    </w:p>
    <w:p>
      <w:pPr>
        <w:outlineLvl w:val="0"/>
        <w:rPr>
          <w:rFonts w:ascii="黑体" w:hAnsi="宋体" w:eastAsia="黑体"/>
          <w:bCs/>
          <w:color w:val="000000"/>
          <w:sz w:val="24"/>
          <w:szCs w:val="24"/>
        </w:rPr>
      </w:pPr>
    </w:p>
    <w:p>
      <w:pPr>
        <w:pStyle w:val="2"/>
        <w:ind w:firstLine="400"/>
      </w:pPr>
    </w:p>
    <w:p>
      <w:pPr>
        <w:pStyle w:val="2"/>
        <w:ind w:firstLine="400"/>
      </w:pPr>
    </w:p>
    <w:p>
      <w:pPr>
        <w:pStyle w:val="2"/>
        <w:ind w:firstLine="400"/>
      </w:pPr>
    </w:p>
    <w:p>
      <w:pPr>
        <w:pStyle w:val="2"/>
        <w:ind w:firstLine="400"/>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（一）投标函（格式）：</w:t>
      </w:r>
    </w:p>
    <w:p>
      <w:pPr>
        <w:outlineLvl w:val="0"/>
        <w:rPr>
          <w:rFonts w:ascii="宋体"/>
          <w:b/>
          <w:bCs/>
          <w:color w:val="000000"/>
          <w:sz w:val="24"/>
          <w:szCs w:val="24"/>
        </w:rPr>
      </w:pPr>
    </w:p>
    <w:p>
      <w:pPr>
        <w:spacing w:line="360" w:lineRule="auto"/>
        <w:jc w:val="center"/>
        <w:rPr>
          <w:rFonts w:ascii="宋体"/>
          <w:bCs/>
          <w:color w:val="000000"/>
          <w:sz w:val="24"/>
          <w:szCs w:val="24"/>
        </w:rPr>
      </w:pPr>
      <w:r>
        <w:rPr>
          <w:rFonts w:hint="eastAsia" w:ascii="黑体" w:eastAsia="黑体"/>
          <w:bCs/>
          <w:color w:val="000000"/>
          <w:sz w:val="28"/>
          <w:szCs w:val="28"/>
        </w:rPr>
        <w:t>投标函</w:t>
      </w:r>
    </w:p>
    <w:p>
      <w:pPr>
        <w:spacing w:line="360" w:lineRule="auto"/>
        <w:rPr>
          <w:rFonts w:ascii="宋体"/>
          <w:bCs/>
          <w:color w:val="000000"/>
          <w:sz w:val="24"/>
          <w:szCs w:val="24"/>
        </w:rPr>
      </w:pPr>
      <w:r>
        <w:rPr>
          <w:rFonts w:hint="eastAsia" w:ascii="宋体" w:hAnsi="宋体"/>
          <w:bCs/>
          <w:color w:val="000000"/>
          <w:sz w:val="24"/>
          <w:szCs w:val="24"/>
        </w:rPr>
        <w:t>致无锡市公共资源交易中心新吴分中心：</w:t>
      </w:r>
    </w:p>
    <w:p>
      <w:pPr>
        <w:spacing w:line="360" w:lineRule="auto"/>
        <w:ind w:firstLine="480" w:firstLineChars="200"/>
        <w:rPr>
          <w:rFonts w:ascii="宋体"/>
          <w:bCs/>
          <w:color w:val="000000"/>
          <w:sz w:val="24"/>
          <w:szCs w:val="24"/>
        </w:rPr>
      </w:pPr>
    </w:p>
    <w:p>
      <w:pPr>
        <w:spacing w:line="360" w:lineRule="auto"/>
        <w:ind w:firstLine="480" w:firstLineChars="200"/>
        <w:rPr>
          <w:rFonts w:ascii="宋体"/>
          <w:bCs/>
          <w:color w:val="000000"/>
          <w:sz w:val="24"/>
          <w:szCs w:val="24"/>
        </w:rPr>
      </w:pPr>
      <w:r>
        <w:rPr>
          <w:rFonts w:hint="eastAsia" w:ascii="宋体" w:hAnsi="宋体"/>
          <w:bCs/>
          <w:color w:val="000000"/>
          <w:sz w:val="24"/>
          <w:szCs w:val="24"/>
        </w:rPr>
        <w:t>我方收到贵方编号</w:t>
      </w:r>
      <w:r>
        <w:rPr>
          <w:rFonts w:hint="eastAsia" w:ascii="宋体" w:hAnsi="宋体"/>
          <w:bCs/>
          <w:color w:val="000000"/>
          <w:sz w:val="24"/>
          <w:szCs w:val="24"/>
          <w:lang w:eastAsia="zh-CN"/>
        </w:rPr>
        <w:t>WXXWQJC2022-013</w:t>
      </w:r>
      <w:r>
        <w:rPr>
          <w:rFonts w:hint="eastAsia" w:ascii="宋体" w:hAnsi="宋体"/>
          <w:bCs/>
          <w:color w:val="000000"/>
          <w:sz w:val="24"/>
          <w:szCs w:val="24"/>
        </w:rPr>
        <w:t>招标文件，经仔细阅读和研究，我方决定参加此项目的投标。</w:t>
      </w:r>
    </w:p>
    <w:p>
      <w:pPr>
        <w:numPr>
          <w:ilvl w:val="0"/>
          <w:numId w:val="7"/>
        </w:numPr>
        <w:tabs>
          <w:tab w:val="left" w:pos="315"/>
          <w:tab w:val="left" w:pos="840"/>
          <w:tab w:val="left" w:pos="945"/>
          <w:tab w:val="left" w:pos="1050"/>
          <w:tab w:val="left" w:pos="1260"/>
          <w:tab w:val="clear" w:pos="846"/>
        </w:tabs>
        <w:spacing w:line="360" w:lineRule="auto"/>
        <w:ind w:left="0" w:firstLine="525"/>
        <w:rPr>
          <w:rFonts w:ascii="宋体"/>
          <w:bCs/>
          <w:color w:val="000000"/>
          <w:sz w:val="24"/>
          <w:szCs w:val="24"/>
        </w:rPr>
      </w:pPr>
      <w:r>
        <w:rPr>
          <w:rFonts w:hint="eastAsia" w:ascii="宋体" w:hAnsi="宋体"/>
          <w:bCs/>
          <w:color w:val="000000"/>
          <w:sz w:val="24"/>
          <w:szCs w:val="24"/>
        </w:rPr>
        <w:t>我方愿意按照招标文件的一切要求，提供本项目的投标，投标总价见《开标一览表》。</w:t>
      </w:r>
    </w:p>
    <w:p>
      <w:pPr>
        <w:numPr>
          <w:ilvl w:val="0"/>
          <w:numId w:val="7"/>
        </w:numPr>
        <w:tabs>
          <w:tab w:val="left" w:pos="0"/>
          <w:tab w:val="left" w:pos="315"/>
          <w:tab w:val="left" w:pos="525"/>
          <w:tab w:val="left" w:pos="840"/>
          <w:tab w:val="left" w:pos="945"/>
          <w:tab w:val="left" w:pos="1050"/>
          <w:tab w:val="clear" w:pos="846"/>
        </w:tabs>
        <w:spacing w:line="360" w:lineRule="auto"/>
        <w:ind w:left="0" w:firstLine="523" w:firstLineChars="218"/>
        <w:rPr>
          <w:rStyle w:val="29"/>
          <w:rFonts w:hAnsi="Times New Roman" w:cs="Times New Roman"/>
          <w:bCs/>
          <w:color w:val="000000"/>
        </w:rPr>
      </w:pPr>
      <w:r>
        <w:rPr>
          <w:rFonts w:hint="eastAsia" w:ascii="宋体" w:hAnsi="宋体"/>
          <w:bCs/>
          <w:color w:val="000000"/>
          <w:sz w:val="24"/>
          <w:szCs w:val="24"/>
        </w:rPr>
        <w:t>我方愿意提供无锡市公共资源交易中心新吴分中心在招标文件中要求的文件、资料。</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我方同意按招标文件中的规定，本投标文件投标的有效期限为开标之日起</w:t>
      </w:r>
      <w:r>
        <w:rPr>
          <w:rFonts w:ascii="宋体" w:hAnsi="宋体"/>
          <w:bCs/>
          <w:color w:val="000000"/>
          <w:sz w:val="24"/>
          <w:szCs w:val="24"/>
        </w:rPr>
        <w:t>90</w:t>
      </w:r>
      <w:r>
        <w:rPr>
          <w:rFonts w:hint="eastAsia" w:ascii="宋体" w:hAnsi="宋体"/>
          <w:bCs/>
          <w:color w:val="000000"/>
          <w:sz w:val="24"/>
          <w:szCs w:val="24"/>
        </w:rPr>
        <w:t>天。</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如果我方的投标文件被接受，我方将履行招标文件中规定的每一项要求，按期、按质、按量，完成交货任务。</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我方认为贵中心有权决定中标者。</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我方愿意遵守《中华人民共和国政府采购法》，并按《中华人民共和国民法典》、财政部《政府采购货物和服务招标投标管理办法》</w:t>
      </w:r>
      <w:r>
        <w:rPr>
          <w:rFonts w:hint="eastAsia" w:ascii="宋体" w:hAnsi="宋体"/>
          <w:sz w:val="24"/>
          <w:szCs w:val="24"/>
        </w:rPr>
        <w:t>和</w:t>
      </w:r>
      <w:r>
        <w:rPr>
          <w:rFonts w:hint="eastAsia" w:ascii="宋体" w:hAnsi="宋体"/>
          <w:bCs/>
          <w:sz w:val="24"/>
          <w:szCs w:val="24"/>
        </w:rPr>
        <w:t>合同条款履行自己的全部责任。</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我方认可并遵守招标文件的所有规定，放弃对招标文件提出质疑的权利。</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我方愿意按招标文件的规定上传《投标（报价）承诺函》。如我方在投标截止期后撤回投标及中标后拒绝遵守投标承诺或拒绝在规定的时间内与采购人签订合同，则接受政府采购监督管理部门的处理。</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sz w:val="24"/>
          <w:szCs w:val="24"/>
        </w:rPr>
      </w:pPr>
      <w:r>
        <w:rPr>
          <w:rFonts w:hint="eastAsia" w:ascii="宋体" w:hAnsi="宋体"/>
          <w:bCs/>
          <w:sz w:val="24"/>
          <w:szCs w:val="24"/>
        </w:rPr>
        <w:t>如果我方被确定为中标供应商，我方愿意</w:t>
      </w:r>
      <w:r>
        <w:rPr>
          <w:rFonts w:hint="eastAsia" w:ascii="宋体" w:hAnsi="宋体"/>
          <w:sz w:val="24"/>
          <w:szCs w:val="24"/>
        </w:rPr>
        <w:t>向</w:t>
      </w:r>
      <w:r>
        <w:rPr>
          <w:rFonts w:hint="eastAsia" w:ascii="宋体" w:hAnsi="宋体"/>
          <w:bCs/>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pPr>
        <w:numPr>
          <w:ilvl w:val="0"/>
          <w:numId w:val="7"/>
        </w:numPr>
        <w:tabs>
          <w:tab w:val="left" w:pos="0"/>
          <w:tab w:val="left" w:pos="315"/>
          <w:tab w:val="left" w:pos="525"/>
          <w:tab w:val="left" w:pos="945"/>
          <w:tab w:val="left" w:pos="1050"/>
        </w:tabs>
        <w:spacing w:line="360" w:lineRule="auto"/>
        <w:ind w:left="0" w:firstLine="523" w:firstLineChars="218"/>
        <w:rPr>
          <w:rFonts w:ascii="宋体"/>
          <w:bCs/>
          <w:color w:val="000000"/>
          <w:sz w:val="24"/>
          <w:szCs w:val="24"/>
        </w:rPr>
      </w:pPr>
      <w:r>
        <w:rPr>
          <w:rFonts w:hint="eastAsia" w:ascii="宋体" w:hAnsi="宋体"/>
          <w:bCs/>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360" w:lineRule="auto"/>
        <w:ind w:firstLine="720" w:firstLineChars="300"/>
        <w:rPr>
          <w:rFonts w:ascii="宋体"/>
          <w:bCs/>
          <w:color w:val="000000"/>
          <w:sz w:val="24"/>
          <w:szCs w:val="24"/>
        </w:rPr>
      </w:pPr>
    </w:p>
    <w:p>
      <w:pPr>
        <w:spacing w:line="400" w:lineRule="exact"/>
        <w:ind w:firstLine="480" w:firstLineChars="200"/>
        <w:rPr>
          <w:rFonts w:ascii="宋体"/>
          <w:bCs/>
          <w:color w:val="000000"/>
          <w:sz w:val="24"/>
          <w:szCs w:val="24"/>
        </w:rPr>
      </w:pPr>
      <w:r>
        <w:rPr>
          <w:rFonts w:hint="eastAsia" w:ascii="宋体" w:hAnsi="宋体"/>
          <w:bCs/>
          <w:color w:val="000000"/>
          <w:sz w:val="24"/>
          <w:szCs w:val="24"/>
        </w:rPr>
        <w:t>投标人（盖章）：</w:t>
      </w:r>
    </w:p>
    <w:p>
      <w:pPr>
        <w:spacing w:line="400" w:lineRule="exact"/>
        <w:ind w:firstLine="480" w:firstLineChars="200"/>
        <w:rPr>
          <w:rFonts w:ascii="宋体"/>
          <w:bCs/>
          <w:color w:val="000000"/>
          <w:sz w:val="24"/>
          <w:szCs w:val="24"/>
        </w:rPr>
      </w:pPr>
      <w:r>
        <w:rPr>
          <w:rFonts w:hint="eastAsia" w:ascii="宋体" w:hAnsi="宋体"/>
          <w:bCs/>
          <w:color w:val="000000"/>
          <w:sz w:val="24"/>
          <w:szCs w:val="24"/>
        </w:rPr>
        <w:t>法定代表人或法定代表人授权代表签字或盖章：</w:t>
      </w:r>
    </w:p>
    <w:p>
      <w:pPr>
        <w:spacing w:line="400" w:lineRule="exact"/>
        <w:ind w:firstLine="480" w:firstLineChars="200"/>
        <w:rPr>
          <w:rFonts w:ascii="宋体"/>
          <w:bCs/>
          <w:color w:val="000000"/>
          <w:sz w:val="24"/>
          <w:szCs w:val="24"/>
        </w:rPr>
      </w:pPr>
      <w:r>
        <w:rPr>
          <w:rFonts w:hint="eastAsia" w:ascii="宋体" w:hAnsi="宋体"/>
          <w:bCs/>
          <w:color w:val="000000"/>
          <w:sz w:val="24"/>
          <w:szCs w:val="24"/>
        </w:rPr>
        <w:t>电话：</w:t>
      </w:r>
      <w:r>
        <w:rPr>
          <w:rFonts w:ascii="宋体" w:hAnsi="宋体"/>
          <w:bCs/>
          <w:color w:val="000000"/>
          <w:sz w:val="24"/>
          <w:szCs w:val="24"/>
        </w:rPr>
        <w:t xml:space="preserve">                              </w:t>
      </w:r>
      <w:r>
        <w:rPr>
          <w:rFonts w:hint="eastAsia" w:ascii="宋体" w:hAnsi="宋体"/>
          <w:bCs/>
          <w:color w:val="000000"/>
          <w:sz w:val="24"/>
          <w:szCs w:val="24"/>
        </w:rPr>
        <w:t>传真：</w:t>
      </w:r>
    </w:p>
    <w:p>
      <w:pPr>
        <w:spacing w:line="400" w:lineRule="exact"/>
        <w:ind w:firstLine="480" w:firstLineChars="200"/>
        <w:rPr>
          <w:rFonts w:ascii="宋体" w:hAnsi="宋体"/>
          <w:bCs/>
          <w:color w:val="000000"/>
          <w:sz w:val="24"/>
          <w:szCs w:val="24"/>
        </w:rPr>
      </w:pPr>
      <w:r>
        <w:rPr>
          <w:rFonts w:hint="eastAsia" w:ascii="宋体" w:hAnsi="宋体"/>
          <w:bCs/>
          <w:color w:val="000000"/>
          <w:sz w:val="24"/>
          <w:szCs w:val="24"/>
        </w:rPr>
        <w:t>通讯地址：</w:t>
      </w:r>
      <w:r>
        <w:rPr>
          <w:rFonts w:ascii="宋体" w:hAnsi="宋体"/>
          <w:bCs/>
          <w:color w:val="000000"/>
          <w:sz w:val="24"/>
          <w:szCs w:val="24"/>
        </w:rPr>
        <w:t xml:space="preserve">                          </w:t>
      </w:r>
      <w:r>
        <w:rPr>
          <w:rFonts w:hint="eastAsia" w:ascii="宋体" w:hAnsi="宋体"/>
          <w:bCs/>
          <w:color w:val="000000"/>
          <w:sz w:val="24"/>
          <w:szCs w:val="24"/>
        </w:rPr>
        <w:t>邮编：</w:t>
      </w:r>
    </w:p>
    <w:p>
      <w:pPr>
        <w:pStyle w:val="2"/>
        <w:ind w:firstLine="0" w:firstLineChars="0"/>
        <w:rPr>
          <w:rFonts w:ascii="宋体" w:hAnsi="宋体"/>
          <w:bCs/>
          <w:color w:val="000000"/>
          <w:sz w:val="24"/>
          <w:szCs w:val="24"/>
        </w:rPr>
      </w:pPr>
    </w:p>
    <w:p>
      <w:pPr>
        <w:pStyle w:val="2"/>
        <w:ind w:firstLine="0" w:firstLineChars="0"/>
        <w:rPr>
          <w:rFonts w:ascii="宋体" w:hAnsi="宋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（二）（投标人）关于资格的声明函（格式）：</w:t>
      </w:r>
    </w:p>
    <w:p>
      <w:pPr>
        <w:spacing w:line="360" w:lineRule="auto"/>
        <w:rPr>
          <w:rFonts w:ascii="黑体" w:eastAsia="黑体"/>
          <w:bCs/>
          <w:color w:val="000000"/>
          <w:sz w:val="36"/>
        </w:rPr>
      </w:pPr>
    </w:p>
    <w:p>
      <w:pPr>
        <w:jc w:val="center"/>
        <w:outlineLvl w:val="0"/>
        <w:rPr>
          <w:rFonts w:ascii="黑体" w:eastAsia="黑体"/>
          <w:bCs/>
          <w:color w:val="000000"/>
          <w:sz w:val="28"/>
          <w:szCs w:val="28"/>
        </w:rPr>
      </w:pPr>
      <w:bookmarkStart w:id="4" w:name="报价方关于资格的声明函（格式）"/>
      <w:bookmarkEnd w:id="4"/>
      <w:r>
        <w:rPr>
          <w:rFonts w:hint="eastAsia" w:ascii="黑体" w:eastAsia="黑体"/>
          <w:bCs/>
          <w:color w:val="000000"/>
          <w:sz w:val="28"/>
          <w:szCs w:val="28"/>
        </w:rPr>
        <w:t>关于资格的声明函</w:t>
      </w:r>
    </w:p>
    <w:p>
      <w:pPr>
        <w:jc w:val="center"/>
        <w:rPr>
          <w:rFonts w:ascii="黑体" w:eastAsia="黑体"/>
          <w:bCs/>
          <w:color w:val="000000"/>
          <w:sz w:val="32"/>
        </w:rPr>
      </w:pPr>
    </w:p>
    <w:p>
      <w:pPr>
        <w:spacing w:line="480" w:lineRule="auto"/>
        <w:jc w:val="center"/>
        <w:rPr>
          <w:rFonts w:ascii="宋体"/>
          <w:bCs/>
          <w:color w:val="000000"/>
          <w:sz w:val="24"/>
          <w:szCs w:val="24"/>
        </w:rPr>
      </w:pPr>
      <w:r>
        <w:rPr>
          <w:rFonts w:hint="eastAsia" w:ascii="宋体" w:hAnsi="宋体"/>
          <w:bCs/>
          <w:color w:val="000000"/>
          <w:sz w:val="24"/>
          <w:szCs w:val="24"/>
        </w:rPr>
        <w:t>采购项目编号：</w:t>
      </w:r>
    </w:p>
    <w:p>
      <w:pPr>
        <w:tabs>
          <w:tab w:val="left" w:pos="6300"/>
        </w:tabs>
        <w:spacing w:line="480" w:lineRule="auto"/>
        <w:jc w:val="center"/>
        <w:rPr>
          <w:rFonts w:ascii="宋体"/>
          <w:bCs/>
          <w:color w:val="000000"/>
          <w:sz w:val="24"/>
          <w:szCs w:val="24"/>
        </w:rPr>
      </w:pPr>
      <w:r>
        <w:rPr>
          <w:rFonts w:hint="eastAsia" w:ascii="宋体" w:hAnsi="宋体"/>
          <w:bCs/>
          <w:color w:val="000000"/>
          <w:sz w:val="24"/>
          <w:szCs w:val="24"/>
        </w:rPr>
        <w:t>日期：</w:t>
      </w:r>
    </w:p>
    <w:p>
      <w:pPr>
        <w:spacing w:line="480" w:lineRule="auto"/>
        <w:jc w:val="center"/>
        <w:rPr>
          <w:rFonts w:ascii="宋体"/>
          <w:bCs/>
          <w:color w:val="000000"/>
          <w:sz w:val="24"/>
          <w:szCs w:val="24"/>
        </w:rPr>
      </w:pPr>
    </w:p>
    <w:p>
      <w:pPr>
        <w:spacing w:line="480" w:lineRule="auto"/>
        <w:rPr>
          <w:rFonts w:ascii="宋体"/>
          <w:bCs/>
          <w:color w:val="000000"/>
          <w:sz w:val="24"/>
          <w:szCs w:val="24"/>
        </w:rPr>
      </w:pPr>
      <w:r>
        <w:rPr>
          <w:rFonts w:hint="eastAsia" w:ascii="宋体" w:hAnsi="宋体"/>
          <w:bCs/>
          <w:color w:val="000000"/>
          <w:sz w:val="24"/>
          <w:szCs w:val="24"/>
        </w:rPr>
        <w:t>无锡市公共资源交易中心新吴分中心：</w:t>
      </w:r>
    </w:p>
    <w:p>
      <w:pPr>
        <w:spacing w:line="480" w:lineRule="auto"/>
        <w:rPr>
          <w:rFonts w:ascii="宋体"/>
          <w:bCs/>
          <w:color w:val="000000"/>
          <w:sz w:val="24"/>
          <w:szCs w:val="24"/>
        </w:rPr>
      </w:pPr>
    </w:p>
    <w:p>
      <w:pPr>
        <w:spacing w:line="480" w:lineRule="auto"/>
        <w:ind w:firstLine="480" w:firstLineChars="200"/>
        <w:rPr>
          <w:rFonts w:ascii="宋体"/>
          <w:bCs/>
          <w:color w:val="000000"/>
          <w:sz w:val="24"/>
          <w:szCs w:val="24"/>
        </w:rPr>
      </w:pPr>
      <w:r>
        <w:rPr>
          <w:rFonts w:hint="eastAsia" w:ascii="宋体" w:hAnsi="宋体"/>
          <w:bCs/>
          <w:color w:val="000000"/>
          <w:sz w:val="24"/>
          <w:szCs w:val="24"/>
        </w:rPr>
        <w:t>我公司（单位）参加本次项目（</w:t>
      </w:r>
      <w:r>
        <w:rPr>
          <w:rFonts w:hint="eastAsia" w:ascii="黑体" w:eastAsia="黑体"/>
          <w:bCs/>
          <w:color w:val="000000"/>
          <w:sz w:val="24"/>
          <w:szCs w:val="24"/>
          <w:lang w:eastAsia="zh-CN"/>
        </w:rPr>
        <w:t>WXXWQJC2022-013</w:t>
      </w:r>
      <w:r>
        <w:rPr>
          <w:rFonts w:hint="eastAsia" w:ascii="黑体" w:eastAsia="黑体"/>
          <w:bCs/>
          <w:color w:val="000000"/>
          <w:sz w:val="24"/>
          <w:szCs w:val="24"/>
        </w:rPr>
        <w:t>）</w:t>
      </w:r>
      <w:r>
        <w:rPr>
          <w:rFonts w:hint="eastAsia" w:ascii="宋体" w:hAnsi="宋体"/>
          <w:bCs/>
          <w:color w:val="000000"/>
          <w:sz w:val="24"/>
          <w:szCs w:val="24"/>
        </w:rPr>
        <w:t>政府采购活动前三年内，在经营活动中没有重大违法记录，我公司（单位）愿针对本次项目（</w:t>
      </w:r>
      <w:r>
        <w:rPr>
          <w:rFonts w:hint="eastAsia" w:ascii="黑体" w:eastAsia="黑体"/>
          <w:bCs/>
          <w:color w:val="000000"/>
          <w:sz w:val="24"/>
          <w:szCs w:val="24"/>
          <w:lang w:eastAsia="zh-CN"/>
        </w:rPr>
        <w:t>WXXWQJC2022-013</w:t>
      </w:r>
      <w:r>
        <w:rPr>
          <w:rFonts w:hint="eastAsia" w:ascii="黑体" w:eastAsia="黑体"/>
          <w:bCs/>
          <w:color w:val="000000"/>
          <w:sz w:val="24"/>
          <w:szCs w:val="24"/>
        </w:rPr>
        <w:t>）</w:t>
      </w:r>
      <w:r>
        <w:rPr>
          <w:rFonts w:hint="eastAsia" w:ascii="宋体" w:hAnsi="宋体"/>
          <w:bCs/>
          <w:color w:val="000000"/>
          <w:sz w:val="24"/>
          <w:szCs w:val="24"/>
        </w:rPr>
        <w:t>进行投标，投标文件中所有关于投标资格的文件、证明、陈述均是真实的、准确的。若有违背，我公司（单位）愿意承担由此而产生的一切后果。</w:t>
      </w:r>
    </w:p>
    <w:p>
      <w:pPr>
        <w:spacing w:line="480" w:lineRule="auto"/>
        <w:rPr>
          <w:rFonts w:ascii="宋体"/>
          <w:bCs/>
          <w:color w:val="000000"/>
          <w:sz w:val="24"/>
          <w:szCs w:val="24"/>
        </w:rPr>
      </w:pPr>
    </w:p>
    <w:p>
      <w:pPr>
        <w:spacing w:line="480" w:lineRule="auto"/>
        <w:rPr>
          <w:rFonts w:ascii="宋体"/>
          <w:bCs/>
          <w:color w:val="000000"/>
          <w:sz w:val="24"/>
          <w:szCs w:val="24"/>
        </w:rPr>
      </w:pPr>
      <w:r>
        <w:rPr>
          <w:rFonts w:hint="eastAsia" w:ascii="宋体" w:hAnsi="宋体"/>
          <w:bCs/>
          <w:color w:val="000000"/>
          <w:sz w:val="24"/>
          <w:szCs w:val="24"/>
        </w:rPr>
        <w:t>投标人（盖章）：</w:t>
      </w:r>
    </w:p>
    <w:p>
      <w:pPr>
        <w:spacing w:line="480" w:lineRule="auto"/>
        <w:rPr>
          <w:rFonts w:ascii="宋体"/>
          <w:bCs/>
          <w:color w:val="000000"/>
          <w:sz w:val="24"/>
          <w:szCs w:val="24"/>
        </w:rPr>
      </w:pPr>
      <w:r>
        <w:rPr>
          <w:rFonts w:hint="eastAsia" w:ascii="宋体" w:hAnsi="宋体"/>
          <w:bCs/>
          <w:color w:val="000000"/>
          <w:sz w:val="24"/>
          <w:szCs w:val="24"/>
        </w:rPr>
        <w:t>法定代表人或法定代表人授权代表（签字或盖章）：</w:t>
      </w:r>
    </w:p>
    <w:p>
      <w:pPr>
        <w:spacing w:line="480" w:lineRule="auto"/>
        <w:rPr>
          <w:rFonts w:ascii="宋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20" w:firstLineChars="200"/>
        <w:outlineLvl w:val="0"/>
        <w:rPr>
          <w:rFonts w:ascii="宋体" w:hAnsi="宋体"/>
          <w:bCs/>
          <w:sz w:val="24"/>
          <w:szCs w:val="24"/>
        </w:rPr>
      </w:pPr>
      <w:r>
        <w:rPr>
          <w:rFonts w:hint="eastAsia"/>
        </w:rPr>
        <w:t>备注：上述所称“重大违法记录”</w:t>
      </w:r>
      <w:r>
        <w:t>,</w:t>
      </w:r>
      <w:r>
        <w:rPr>
          <w:rFonts w:hint="eastAsia"/>
        </w:rPr>
        <w:t>是指供应商因违法经营受到刑事处罚或者责令停产停业、吊销许可证或者执照、较大数额罚款等行政处罚。</w:t>
      </w:r>
    </w:p>
    <w:p>
      <w:pPr>
        <w:ind w:firstLine="480" w:firstLineChars="200"/>
        <w:outlineLvl w:val="0"/>
        <w:rPr>
          <w:rFonts w:hint="eastAsia" w:ascii="黑体" w:hAnsi="宋体" w:eastAsia="黑体"/>
          <w:bCs/>
          <w:color w:val="000000"/>
          <w:sz w:val="24"/>
          <w:szCs w:val="24"/>
        </w:rPr>
      </w:pPr>
    </w:p>
    <w:p>
      <w:pPr>
        <w:pStyle w:val="2"/>
        <w:rPr>
          <w:rFonts w:hint="eastAsia"/>
        </w:rPr>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（三）（投标人）法定代表人授权委托书（格式）：</w:t>
      </w:r>
    </w:p>
    <w:p>
      <w:pPr>
        <w:outlineLvl w:val="0"/>
        <w:rPr>
          <w:rFonts w:ascii="黑体" w:eastAsia="黑体"/>
          <w:bCs/>
          <w:color w:val="000000"/>
          <w:sz w:val="28"/>
          <w:szCs w:val="28"/>
        </w:rPr>
      </w:pPr>
    </w:p>
    <w:p>
      <w:pPr>
        <w:jc w:val="center"/>
        <w:outlineLvl w:val="0"/>
        <w:rPr>
          <w:rFonts w:ascii="黑体" w:eastAsia="黑体"/>
          <w:bCs/>
          <w:color w:val="000000"/>
          <w:sz w:val="28"/>
          <w:szCs w:val="28"/>
        </w:rPr>
      </w:pPr>
      <w:r>
        <w:rPr>
          <w:rFonts w:hint="eastAsia" w:ascii="黑体" w:eastAsia="黑体"/>
          <w:bCs/>
          <w:color w:val="000000"/>
          <w:sz w:val="28"/>
          <w:szCs w:val="28"/>
        </w:rPr>
        <w:t>法定代表人授权委托书</w:t>
      </w:r>
    </w:p>
    <w:p>
      <w:pPr>
        <w:spacing w:line="360" w:lineRule="auto"/>
        <w:jc w:val="center"/>
        <w:rPr>
          <w:rFonts w:ascii="楷体_GB2312" w:eastAsia="楷体_GB2312"/>
          <w:bCs/>
          <w:color w:val="000000"/>
          <w:sz w:val="36"/>
        </w:rPr>
      </w:pPr>
    </w:p>
    <w:p>
      <w:pPr>
        <w:spacing w:line="480" w:lineRule="auto"/>
        <w:rPr>
          <w:rFonts w:ascii="宋体" w:hAnsi="宋体"/>
          <w:bCs/>
          <w:color w:val="000000"/>
          <w:sz w:val="24"/>
          <w:szCs w:val="24"/>
        </w:rPr>
      </w:pPr>
      <w:r>
        <w:rPr>
          <w:rFonts w:hint="eastAsia" w:ascii="宋体" w:hAnsi="宋体"/>
          <w:bCs/>
          <w:color w:val="000000"/>
          <w:sz w:val="24"/>
          <w:szCs w:val="24"/>
        </w:rPr>
        <w:t>采购项目编号：</w:t>
      </w:r>
    </w:p>
    <w:p>
      <w:pPr>
        <w:spacing w:line="480" w:lineRule="auto"/>
        <w:rPr>
          <w:rFonts w:ascii="宋体" w:hAnsi="宋体"/>
          <w:bCs/>
          <w:color w:val="000000"/>
          <w:sz w:val="24"/>
          <w:szCs w:val="24"/>
        </w:rPr>
      </w:pPr>
      <w:r>
        <w:rPr>
          <w:rFonts w:hint="eastAsia" w:ascii="宋体" w:hAnsi="宋体"/>
          <w:bCs/>
          <w:color w:val="000000"/>
          <w:sz w:val="24"/>
          <w:szCs w:val="24"/>
        </w:rPr>
        <w:t xml:space="preserve">     日期：</w:t>
      </w:r>
    </w:p>
    <w:p>
      <w:pPr>
        <w:spacing w:line="600" w:lineRule="exact"/>
        <w:rPr>
          <w:rFonts w:ascii="宋体" w:hAnsi="宋体"/>
          <w:bCs/>
          <w:color w:val="000000"/>
          <w:sz w:val="24"/>
          <w:szCs w:val="24"/>
        </w:rPr>
      </w:pPr>
      <w:r>
        <w:rPr>
          <w:rFonts w:hint="eastAsia" w:ascii="宋体" w:hAnsi="宋体"/>
          <w:bCs/>
          <w:sz w:val="24"/>
          <w:szCs w:val="24"/>
        </w:rPr>
        <w:t>无锡市公共资源交易中心新吴分中心</w:t>
      </w:r>
      <w:r>
        <w:rPr>
          <w:rFonts w:hint="eastAsia" w:ascii="宋体" w:hAnsi="宋体"/>
          <w:bCs/>
          <w:color w:val="000000"/>
          <w:sz w:val="24"/>
          <w:szCs w:val="24"/>
        </w:rPr>
        <w:t>：</w:t>
      </w:r>
    </w:p>
    <w:p>
      <w:pPr>
        <w:spacing w:line="580" w:lineRule="exact"/>
        <w:rPr>
          <w:rFonts w:ascii="宋体" w:hAnsi="宋体"/>
          <w:bCs/>
          <w:color w:val="000000"/>
          <w:sz w:val="24"/>
          <w:szCs w:val="24"/>
        </w:rPr>
      </w:pPr>
      <w:r>
        <w:rPr>
          <w:rFonts w:hint="eastAsia" w:ascii="宋体" w:hAnsi="宋体"/>
          <w:bCs/>
          <w:color w:val="000000"/>
          <w:sz w:val="24"/>
          <w:szCs w:val="24"/>
        </w:rPr>
        <w:t xml:space="preserve"> 系中华人民共和国合法公司（单位），特授权       代表我公司（单位）全权办理针对本项目（</w:t>
      </w:r>
      <w:r>
        <w:rPr>
          <w:rFonts w:hint="eastAsia" w:ascii="黑体" w:eastAsia="黑体"/>
          <w:bCs/>
          <w:color w:val="000000"/>
          <w:sz w:val="24"/>
          <w:szCs w:val="24"/>
          <w:lang w:eastAsia="zh-CN"/>
        </w:rPr>
        <w:t>WXXWQJC2022-013</w:t>
      </w:r>
      <w:r>
        <w:rPr>
          <w:rFonts w:hint="eastAsia" w:ascii="黑体" w:eastAsia="黑体"/>
          <w:bCs/>
          <w:color w:val="000000"/>
          <w:sz w:val="24"/>
          <w:szCs w:val="24"/>
        </w:rPr>
        <w:t>）</w:t>
      </w:r>
      <w:r>
        <w:rPr>
          <w:rFonts w:hint="eastAsia" w:ascii="宋体" w:hAnsi="宋体"/>
          <w:bCs/>
          <w:color w:val="000000"/>
          <w:sz w:val="24"/>
          <w:szCs w:val="24"/>
        </w:rPr>
        <w:t>的投标、参与开标、评标、签约等具体工作，并签署全部有关的文件、协议及合同。</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我公司（单位）对被授权代表的签名负全部责任。</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在撤销授权的书面通知送达你处以前，本授权书一直有效，被授权代表签署的所有文件（在授权书有效期内签署的）不因授权的撤销而失效。</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被授权代表情况：</w:t>
      </w:r>
    </w:p>
    <w:p>
      <w:pPr>
        <w:spacing w:line="580" w:lineRule="exact"/>
        <w:ind w:firstLine="525"/>
        <w:rPr>
          <w:rFonts w:ascii="宋体" w:hAnsi="宋体"/>
          <w:bCs/>
          <w:color w:val="000000"/>
          <w:sz w:val="24"/>
          <w:szCs w:val="24"/>
        </w:rPr>
      </w:pPr>
      <w:r>
        <w:rPr>
          <w:rFonts w:hint="eastAsia" w:ascii="宋体" w:hAnsi="宋体"/>
          <w:bCs/>
          <w:color w:val="000000"/>
          <w:sz w:val="24"/>
          <w:szCs w:val="24"/>
        </w:rPr>
        <w:t>姓名：         性别：       电话：</w:t>
      </w:r>
    </w:p>
    <w:p>
      <w:pPr>
        <w:spacing w:line="580" w:lineRule="exact"/>
        <w:ind w:firstLine="3240" w:firstLineChars="1350"/>
        <w:rPr>
          <w:rFonts w:ascii="宋体" w:hAnsi="宋体"/>
          <w:bCs/>
          <w:color w:val="000000"/>
          <w:sz w:val="24"/>
          <w:szCs w:val="24"/>
        </w:rPr>
      </w:pPr>
    </w:p>
    <w:p>
      <w:pPr>
        <w:spacing w:line="580" w:lineRule="exact"/>
        <w:ind w:firstLine="3240" w:firstLineChars="1350"/>
        <w:rPr>
          <w:rFonts w:ascii="宋体" w:hAnsi="宋体"/>
          <w:bCs/>
          <w:color w:val="000000"/>
          <w:sz w:val="24"/>
          <w:szCs w:val="24"/>
        </w:rPr>
      </w:pPr>
    </w:p>
    <w:p>
      <w:pPr>
        <w:spacing w:line="360" w:lineRule="auto"/>
        <w:ind w:firstLine="3240" w:firstLineChars="1350"/>
        <w:rPr>
          <w:rFonts w:ascii="宋体" w:hAnsi="宋体"/>
          <w:bCs/>
          <w:color w:val="000000"/>
          <w:sz w:val="24"/>
          <w:szCs w:val="24"/>
        </w:rPr>
      </w:pPr>
      <w:r>
        <w:rPr>
          <w:rFonts w:hint="eastAsia" w:ascii="宋体" w:hAnsi="宋体"/>
          <w:bCs/>
          <w:color w:val="000000"/>
          <w:sz w:val="24"/>
          <w:szCs w:val="24"/>
        </w:rPr>
        <w:t xml:space="preserve">               单位名称（盖章）：</w:t>
      </w:r>
    </w:p>
    <w:p>
      <w:pPr>
        <w:spacing w:line="360" w:lineRule="auto"/>
        <w:ind w:firstLine="4080" w:firstLineChars="1700"/>
        <w:outlineLvl w:val="0"/>
        <w:rPr>
          <w:rFonts w:ascii="黑体" w:hAnsi="宋体" w:eastAsia="黑体"/>
          <w:bCs/>
          <w:color w:val="000000"/>
          <w:sz w:val="24"/>
          <w:szCs w:val="24"/>
        </w:rPr>
      </w:pPr>
      <w:r>
        <w:rPr>
          <w:rFonts w:hint="eastAsia" w:ascii="宋体" w:hAnsi="宋体"/>
          <w:bCs/>
          <w:color w:val="000000"/>
          <w:sz w:val="24"/>
          <w:szCs w:val="24"/>
        </w:rPr>
        <w:t>法定代表人（签字或盖章）：</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pStyle w:val="2"/>
        <w:ind w:firstLine="400"/>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（四）（投标人）中小企业声明函（格式）：</w:t>
      </w:r>
    </w:p>
    <w:p>
      <w:pPr>
        <w:spacing w:line="480" w:lineRule="auto"/>
        <w:rPr>
          <w:rFonts w:ascii="宋体"/>
          <w:bCs/>
          <w:color w:val="000000"/>
          <w:sz w:val="24"/>
          <w:szCs w:val="24"/>
        </w:rPr>
      </w:pPr>
    </w:p>
    <w:p>
      <w:pPr>
        <w:spacing w:line="580" w:lineRule="exact"/>
        <w:ind w:firstLine="560" w:firstLineChars="200"/>
        <w:jc w:val="center"/>
        <w:rPr>
          <w:rFonts w:ascii="黑体" w:eastAsia="黑体"/>
          <w:bCs/>
          <w:color w:val="000000"/>
          <w:sz w:val="28"/>
          <w:szCs w:val="28"/>
        </w:rPr>
      </w:pPr>
      <w:r>
        <w:rPr>
          <w:rFonts w:ascii="黑体" w:eastAsia="黑体"/>
          <w:bCs/>
          <w:color w:val="000000"/>
          <w:sz w:val="28"/>
          <w:szCs w:val="28"/>
        </w:rPr>
        <w:t>中小企业声明函（货物）</w:t>
      </w:r>
    </w:p>
    <w:p>
      <w:pPr>
        <w:pStyle w:val="2"/>
        <w:ind w:firstLine="400"/>
      </w:pPr>
    </w:p>
    <w:p>
      <w:pPr>
        <w:spacing w:line="580" w:lineRule="exact"/>
        <w:ind w:firstLine="480" w:firstLineChars="200"/>
        <w:rPr>
          <w:rFonts w:ascii="宋体" w:hAnsi="宋体"/>
          <w:bCs/>
          <w:color w:val="000000"/>
          <w:sz w:val="24"/>
          <w:szCs w:val="24"/>
        </w:rPr>
      </w:pPr>
      <w:r>
        <w:rPr>
          <w:rFonts w:ascii="宋体" w:hAnsi="宋体"/>
          <w:bCs/>
          <w:color w:val="000000"/>
          <w:sz w:val="24"/>
          <w:szCs w:val="24"/>
        </w:rPr>
        <w:t>本公司（联合体）郑重声明，根据《政府采购促进中小企业发展管理办法》（财库﹝2020﹞46 号）的规定，本公司 （联合体）参加</w:t>
      </w:r>
      <w:r>
        <w:rPr>
          <w:rFonts w:ascii="宋体" w:hAnsi="宋体"/>
          <w:bCs/>
          <w:color w:val="000000"/>
          <w:sz w:val="24"/>
          <w:szCs w:val="24"/>
          <w:u w:val="single"/>
        </w:rPr>
        <w:t>（单位名称）</w:t>
      </w:r>
      <w:r>
        <w:rPr>
          <w:rFonts w:ascii="宋体" w:hAnsi="宋体"/>
          <w:bCs/>
          <w:color w:val="000000"/>
          <w:sz w:val="24"/>
          <w:szCs w:val="24"/>
        </w:rPr>
        <w:t>的</w:t>
      </w:r>
      <w:r>
        <w:rPr>
          <w:rFonts w:ascii="宋体" w:hAnsi="宋体"/>
          <w:bCs/>
          <w:color w:val="000000"/>
          <w:sz w:val="24"/>
          <w:szCs w:val="24"/>
          <w:u w:val="single"/>
        </w:rPr>
        <w:t>（项目名称）</w:t>
      </w:r>
      <w:r>
        <w:rPr>
          <w:rFonts w:ascii="宋体" w:hAnsi="宋体"/>
          <w:bCs/>
          <w:color w:val="000000"/>
          <w:sz w:val="24"/>
          <w:szCs w:val="24"/>
        </w:rPr>
        <w:t>采购活动，提供的货物全部由符合政策要求的中小企业制造。相关企业 （含联合体中的中小企业、签订分包意向协议的中小企业）的具体情况如下：</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1. </w:t>
      </w:r>
      <w:r>
        <w:rPr>
          <w:rFonts w:ascii="宋体" w:hAnsi="宋体"/>
          <w:bCs/>
          <w:color w:val="000000"/>
          <w:sz w:val="24"/>
          <w:szCs w:val="24"/>
          <w:u w:val="single"/>
        </w:rPr>
        <w:t xml:space="preserve">（标的名称） </w:t>
      </w:r>
      <w:r>
        <w:rPr>
          <w:rFonts w:ascii="宋体" w:hAnsi="宋体"/>
          <w:bCs/>
          <w:color w:val="000000"/>
          <w:sz w:val="24"/>
          <w:szCs w:val="24"/>
        </w:rPr>
        <w:t>，属于</w:t>
      </w:r>
      <w:r>
        <w:rPr>
          <w:rFonts w:ascii="宋体" w:hAnsi="宋体"/>
          <w:bCs/>
          <w:color w:val="000000"/>
          <w:sz w:val="24"/>
          <w:szCs w:val="24"/>
          <w:u w:val="single"/>
        </w:rPr>
        <w:t>（采购文件中明确的所属行业） 行业</w:t>
      </w:r>
      <w:r>
        <w:rPr>
          <w:rFonts w:ascii="宋体" w:hAnsi="宋体"/>
          <w:bCs/>
          <w:color w:val="000000"/>
          <w:sz w:val="24"/>
          <w:szCs w:val="24"/>
        </w:rPr>
        <w:t>；制造商为</w:t>
      </w:r>
      <w:r>
        <w:rPr>
          <w:rFonts w:ascii="宋体" w:hAnsi="宋体"/>
          <w:bCs/>
          <w:color w:val="000000"/>
          <w:sz w:val="24"/>
          <w:szCs w:val="24"/>
          <w:u w:val="single"/>
        </w:rPr>
        <w:t>（企业名称）</w:t>
      </w:r>
      <w:r>
        <w:rPr>
          <w:rFonts w:ascii="宋体" w:hAnsi="宋体"/>
          <w:bCs/>
          <w:color w:val="000000"/>
          <w:sz w:val="24"/>
          <w:szCs w:val="24"/>
        </w:rPr>
        <w:t>，从业人员人，营业收入为万元，资产总额为万元，属于</w:t>
      </w:r>
      <w:r>
        <w:rPr>
          <w:rFonts w:ascii="宋体" w:hAnsi="宋体"/>
          <w:bCs/>
          <w:color w:val="000000"/>
          <w:sz w:val="24"/>
          <w:szCs w:val="24"/>
          <w:u w:val="single"/>
        </w:rPr>
        <w:t>（中型企业、小 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2.</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 行业</w:t>
      </w:r>
      <w:r>
        <w:rPr>
          <w:rFonts w:ascii="宋体" w:hAnsi="宋体"/>
          <w:bCs/>
          <w:color w:val="000000"/>
          <w:sz w:val="24"/>
          <w:szCs w:val="24"/>
        </w:rPr>
        <w:t>；制造商为</w:t>
      </w:r>
      <w:r>
        <w:rPr>
          <w:rFonts w:ascii="宋体" w:hAnsi="宋体"/>
          <w:bCs/>
          <w:color w:val="000000"/>
          <w:sz w:val="24"/>
          <w:szCs w:val="24"/>
          <w:u w:val="single"/>
        </w:rPr>
        <w:t>（企业名称）</w:t>
      </w:r>
      <w:r>
        <w:rPr>
          <w:rFonts w:ascii="宋体" w:hAnsi="宋体"/>
          <w:bCs/>
          <w:color w:val="000000"/>
          <w:sz w:val="24"/>
          <w:szCs w:val="24"/>
        </w:rPr>
        <w:t>，从业人员人，营业收入为万元，资产总额为万元，属于</w:t>
      </w:r>
      <w:r>
        <w:rPr>
          <w:rFonts w:ascii="宋体" w:hAnsi="宋体"/>
          <w:bCs/>
          <w:color w:val="000000"/>
          <w:sz w:val="24"/>
          <w:szCs w:val="24"/>
          <w:u w:val="single"/>
        </w:rPr>
        <w:t>（中型企业、小 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企业名称（盖章）：</w:t>
      </w:r>
    </w:p>
    <w:p>
      <w:pPr>
        <w:spacing w:line="360" w:lineRule="auto"/>
        <w:ind w:firstLine="4800" w:firstLineChars="2000"/>
        <w:rPr>
          <w:rFonts w:ascii="宋体" w:hAnsi="宋体"/>
          <w:bCs/>
          <w:color w:val="000000"/>
          <w:sz w:val="24"/>
          <w:szCs w:val="24"/>
        </w:rPr>
      </w:pP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日　　　　　　期：</w:t>
      </w:r>
    </w:p>
    <w:p>
      <w:pPr>
        <w:spacing w:line="360" w:lineRule="auto"/>
        <w:ind w:firstLine="4800" w:firstLineChars="2000"/>
        <w:rPr>
          <w:rFonts w:ascii="宋体" w:hAnsi="宋体"/>
          <w:bCs/>
          <w:color w:val="000000"/>
          <w:sz w:val="24"/>
          <w:szCs w:val="24"/>
        </w:rPr>
      </w:pPr>
    </w:p>
    <w:p>
      <w:pPr>
        <w:spacing w:line="360" w:lineRule="auto"/>
        <w:rPr>
          <w:color w:val="000000"/>
        </w:rPr>
      </w:pPr>
      <w:r>
        <w:rPr>
          <w:rFonts w:hint="eastAsia"/>
          <w:color w:val="000000"/>
        </w:rPr>
        <w:t>注：</w:t>
      </w:r>
      <w:r>
        <w:rPr>
          <w:color w:val="000000"/>
        </w:rPr>
        <w:t>1</w:t>
      </w:r>
      <w:r>
        <w:rPr>
          <w:rFonts w:hint="eastAsia"/>
          <w:color w:val="000000"/>
        </w:rPr>
        <w:t>.</w:t>
      </w:r>
      <w:r>
        <w:rPr>
          <w:color w:val="000000"/>
        </w:rPr>
        <w:t>从业人员、营业收入、资产总额填报上一年度数据，无上一年度数据的新成立企业可不填报。</w:t>
      </w:r>
    </w:p>
    <w:p>
      <w:pPr>
        <w:spacing w:line="360" w:lineRule="auto"/>
        <w:ind w:firstLine="420" w:firstLineChars="200"/>
        <w:rPr>
          <w:color w:val="000000"/>
        </w:rPr>
      </w:pPr>
      <w:r>
        <w:rPr>
          <w:rFonts w:hint="eastAsia"/>
          <w:color w:val="000000"/>
        </w:rPr>
        <w:t>2.在货物采购项目中，供应商提供的货物既有中小企业制造货物，也有大型企业制造或物的，不享受本办法规定的中小企业扶持政策。</w:t>
      </w:r>
    </w:p>
    <w:p>
      <w:pPr>
        <w:spacing w:line="360" w:lineRule="auto"/>
        <w:ind w:firstLine="420" w:firstLineChars="200"/>
        <w:rPr>
          <w:color w:val="000000"/>
        </w:rPr>
      </w:pPr>
      <w:r>
        <w:rPr>
          <w:rFonts w:hint="eastAsia"/>
          <w:color w:val="000000"/>
        </w:rPr>
        <w:t>3. 中标供应商的《</w:t>
      </w:r>
      <w:r>
        <w:rPr>
          <w:color w:val="000000"/>
        </w:rPr>
        <w:t>中小企业声明函</w:t>
      </w:r>
      <w:r>
        <w:rPr>
          <w:rFonts w:hint="eastAsia"/>
          <w:color w:val="000000"/>
        </w:rPr>
        <w:t>》将随中标公告进行公示。供应商按照本办法规定提供声明函内容不实的，属于提供虚假材料谋取中标、成交，依照《中华人民共和国政府采购法》等国家有关规定追究相应责任。</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ind w:firstLine="480" w:firstLineChars="200"/>
        <w:outlineLvl w:val="0"/>
        <w:rPr>
          <w:rFonts w:hint="eastAsia" w:ascii="黑体" w:hAnsi="宋体" w:eastAsia="黑体"/>
          <w:bCs/>
          <w:color w:val="000000"/>
          <w:sz w:val="24"/>
          <w:szCs w:val="24"/>
        </w:rPr>
      </w:pPr>
    </w:p>
    <w:p>
      <w:pPr>
        <w:ind w:firstLine="480" w:firstLineChars="200"/>
        <w:outlineLvl w:val="0"/>
        <w:rPr>
          <w:rFonts w:ascii="黑体" w:hAnsi="宋体" w:eastAsia="黑体"/>
          <w:bCs/>
          <w:sz w:val="24"/>
          <w:szCs w:val="24"/>
        </w:rPr>
      </w:pPr>
      <w:r>
        <w:rPr>
          <w:rFonts w:hint="eastAsia" w:ascii="黑体" w:hAnsi="宋体" w:eastAsia="黑体"/>
          <w:bCs/>
          <w:color w:val="000000"/>
          <w:sz w:val="24"/>
          <w:szCs w:val="24"/>
        </w:rPr>
        <w:t>（五</w:t>
      </w:r>
      <w:r>
        <w:rPr>
          <w:rFonts w:hint="eastAsia" w:ascii="黑体" w:hAnsi="宋体" w:eastAsia="黑体"/>
          <w:bCs/>
          <w:sz w:val="24"/>
          <w:szCs w:val="24"/>
        </w:rPr>
        <w:t>）</w:t>
      </w:r>
      <w:bookmarkStart w:id="5" w:name="OLE_LINK13"/>
      <w:bookmarkStart w:id="6" w:name="OLE_LINK14"/>
      <w:r>
        <w:rPr>
          <w:rFonts w:hint="eastAsia" w:ascii="黑体" w:hAnsi="宋体" w:eastAsia="黑体"/>
          <w:bCs/>
          <w:sz w:val="24"/>
          <w:szCs w:val="24"/>
        </w:rPr>
        <w:t>（投标人）残疾人福利性单位声明函（格式）：</w:t>
      </w:r>
    </w:p>
    <w:bookmarkEnd w:id="5"/>
    <w:bookmarkEnd w:id="6"/>
    <w:p>
      <w:pPr>
        <w:spacing w:line="588" w:lineRule="exact"/>
        <w:rPr>
          <w:rFonts w:ascii="仿宋_GB2312" w:eastAsia="仿宋_GB2312"/>
          <w:b/>
          <w:spacing w:val="6"/>
          <w:sz w:val="30"/>
          <w:szCs w:val="30"/>
        </w:rPr>
      </w:pPr>
    </w:p>
    <w:p>
      <w:pPr>
        <w:jc w:val="center"/>
        <w:rPr>
          <w:rFonts w:ascii="黑体" w:eastAsia="黑体"/>
          <w:bCs/>
          <w:sz w:val="28"/>
          <w:szCs w:val="28"/>
        </w:rPr>
      </w:pPr>
      <w:r>
        <w:rPr>
          <w:rFonts w:hint="eastAsia" w:ascii="黑体" w:eastAsia="黑体"/>
          <w:bCs/>
          <w:sz w:val="28"/>
          <w:szCs w:val="28"/>
        </w:rPr>
        <w:t>残疾人福利性单位声明函</w:t>
      </w:r>
    </w:p>
    <w:p>
      <w:pPr>
        <w:jc w:val="center"/>
        <w:rPr>
          <w:rFonts w:ascii="黑体" w:eastAsia="黑体"/>
          <w:bCs/>
          <w:sz w:val="28"/>
          <w:szCs w:val="28"/>
        </w:rPr>
      </w:pPr>
    </w:p>
    <w:p>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单位名称（盖章）：</w:t>
      </w:r>
    </w:p>
    <w:p>
      <w:pPr>
        <w:spacing w:line="580" w:lineRule="exact"/>
        <w:ind w:firstLine="480" w:firstLineChars="200"/>
        <w:rPr>
          <w:rFonts w:ascii="宋体" w:hAnsi="宋体"/>
          <w:bCs/>
          <w:sz w:val="24"/>
          <w:szCs w:val="24"/>
        </w:rPr>
      </w:pPr>
      <w:r>
        <w:rPr>
          <w:rFonts w:hint="eastAsia" w:ascii="宋体" w:hAnsi="宋体"/>
          <w:bCs/>
          <w:sz w:val="24"/>
          <w:szCs w:val="24"/>
        </w:rPr>
        <w:t>日  期：</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ind w:firstLine="400"/>
      </w:pPr>
    </w:p>
    <w:p>
      <w:pPr>
        <w:pStyle w:val="2"/>
        <w:ind w:firstLine="400"/>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（六）承诺书（格式）：</w:t>
      </w:r>
    </w:p>
    <w:p>
      <w:pPr>
        <w:outlineLvl w:val="0"/>
        <w:rPr>
          <w:rFonts w:ascii="黑体" w:eastAsia="黑体"/>
          <w:bCs/>
          <w:color w:val="000000"/>
          <w:sz w:val="28"/>
          <w:szCs w:val="28"/>
        </w:rPr>
      </w:pPr>
    </w:p>
    <w:p>
      <w:pPr>
        <w:jc w:val="center"/>
        <w:rPr>
          <w:rFonts w:ascii="黑体" w:eastAsia="黑体"/>
          <w:bCs/>
          <w:color w:val="000000"/>
          <w:sz w:val="28"/>
          <w:szCs w:val="28"/>
        </w:rPr>
      </w:pPr>
      <w:r>
        <w:rPr>
          <w:rFonts w:hint="eastAsia" w:ascii="黑体" w:eastAsia="黑体"/>
          <w:bCs/>
          <w:color w:val="000000"/>
          <w:sz w:val="28"/>
          <w:szCs w:val="28"/>
        </w:rPr>
        <w:t>承诺书</w:t>
      </w:r>
    </w:p>
    <w:p>
      <w:pPr>
        <w:jc w:val="center"/>
        <w:rPr>
          <w:rFonts w:ascii="黑体" w:eastAsia="黑体"/>
          <w:bCs/>
          <w:color w:val="000000"/>
          <w:sz w:val="28"/>
          <w:szCs w:val="28"/>
        </w:rPr>
      </w:pPr>
    </w:p>
    <w:p>
      <w:pPr>
        <w:spacing w:line="480" w:lineRule="auto"/>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rPr>
        <w:t>投标人</w:t>
      </w:r>
      <w:r>
        <w:rPr>
          <w:rFonts w:hint="eastAsia" w:ascii="宋体" w:hAnsi="宋体"/>
          <w:sz w:val="24"/>
          <w:szCs w:val="24"/>
        </w:rPr>
        <w:t>名称）在此承诺：</w:t>
      </w:r>
    </w:p>
    <w:p>
      <w:pPr>
        <w:spacing w:line="480" w:lineRule="auto"/>
        <w:ind w:firstLine="480" w:firstLineChars="200"/>
        <w:rPr>
          <w:rFonts w:ascii="宋体" w:hAnsi="宋体"/>
          <w:sz w:val="24"/>
          <w:szCs w:val="24"/>
        </w:rPr>
      </w:pPr>
    </w:p>
    <w:p>
      <w:pPr>
        <w:spacing w:line="480" w:lineRule="auto"/>
        <w:ind w:firstLine="480" w:firstLineChars="200"/>
        <w:rPr>
          <w:rFonts w:ascii="宋体" w:hAnsi="宋体"/>
          <w:bCs/>
          <w:sz w:val="24"/>
          <w:szCs w:val="24"/>
        </w:rPr>
      </w:pPr>
      <w:r>
        <w:rPr>
          <w:rFonts w:hint="eastAsia" w:ascii="宋体" w:hAnsi="宋体"/>
          <w:sz w:val="24"/>
          <w:szCs w:val="24"/>
        </w:rPr>
        <w:t>1. 本公司（单位）</w:t>
      </w:r>
      <w:r>
        <w:rPr>
          <w:rFonts w:hint="eastAsia" w:ascii="宋体" w:hAnsi="宋体"/>
          <w:bCs/>
          <w:sz w:val="24"/>
          <w:szCs w:val="24"/>
        </w:rPr>
        <w:t>对本项目（</w:t>
      </w:r>
      <w:r>
        <w:rPr>
          <w:rFonts w:hint="eastAsia" w:ascii="宋体" w:hAnsi="宋体"/>
          <w:bCs/>
          <w:sz w:val="24"/>
          <w:szCs w:val="24"/>
          <w:lang w:eastAsia="zh-CN"/>
        </w:rPr>
        <w:t>WXXWQJC2022-013</w:t>
      </w:r>
      <w:r>
        <w:rPr>
          <w:rFonts w:hint="eastAsia" w:ascii="宋体" w:hAnsi="宋体"/>
          <w:bCs/>
          <w:sz w:val="24"/>
          <w:szCs w:val="24"/>
        </w:rPr>
        <w:t>）所提供的货物均为原厂全新合格品，提供的服务符合招标文件要求；</w:t>
      </w:r>
    </w:p>
    <w:p>
      <w:pPr>
        <w:spacing w:line="480" w:lineRule="auto"/>
        <w:ind w:firstLine="480" w:firstLineChars="200"/>
        <w:rPr>
          <w:rFonts w:ascii="宋体" w:hAnsi="宋体"/>
          <w:bCs/>
          <w:sz w:val="24"/>
          <w:szCs w:val="24"/>
        </w:rPr>
      </w:pPr>
      <w:r>
        <w:rPr>
          <w:rFonts w:hint="eastAsia" w:ascii="宋体" w:hAnsi="宋体"/>
          <w:bCs/>
          <w:sz w:val="24"/>
          <w:szCs w:val="24"/>
        </w:rPr>
        <w:t>2.</w:t>
      </w:r>
      <w:r>
        <w:rPr>
          <w:rFonts w:hint="eastAsia" w:ascii="宋体" w:hAnsi="宋体"/>
          <w:sz w:val="24"/>
          <w:szCs w:val="24"/>
        </w:rPr>
        <w:t>本公司（单位）</w:t>
      </w:r>
      <w:r>
        <w:rPr>
          <w:rFonts w:hint="eastAsia" w:ascii="宋体" w:hAnsi="宋体"/>
          <w:bCs/>
          <w:sz w:val="24"/>
          <w:szCs w:val="24"/>
        </w:rPr>
        <w:t>具备履行合同所必需的设备和专业技术能力；</w:t>
      </w:r>
    </w:p>
    <w:p>
      <w:pPr>
        <w:spacing w:line="480" w:lineRule="auto"/>
        <w:ind w:firstLine="480" w:firstLineChars="200"/>
        <w:rPr>
          <w:rFonts w:ascii="宋体" w:hAnsi="宋体"/>
          <w:bCs/>
          <w:sz w:val="24"/>
          <w:szCs w:val="24"/>
        </w:rPr>
      </w:pPr>
      <w:r>
        <w:rPr>
          <w:rFonts w:hint="eastAsia" w:ascii="宋体" w:hAnsi="宋体"/>
          <w:bCs/>
          <w:sz w:val="24"/>
          <w:szCs w:val="24"/>
        </w:rPr>
        <w:t>3.</w:t>
      </w:r>
      <w:r>
        <w:rPr>
          <w:rFonts w:hint="eastAsia" w:ascii="宋体"/>
          <w:bCs/>
          <w:szCs w:val="21"/>
        </w:rPr>
        <w:t xml:space="preserve"> </w:t>
      </w:r>
      <w:r>
        <w:rPr>
          <w:rFonts w:hint="eastAsia" w:ascii="宋体" w:hAnsi="宋体"/>
          <w:sz w:val="24"/>
          <w:szCs w:val="24"/>
        </w:rPr>
        <w:t>本公司未被“</w:t>
      </w:r>
      <w:r>
        <w:rPr>
          <w:rFonts w:hint="eastAsia" w:ascii="宋体" w:hAnsi="宋体"/>
          <w:bCs/>
          <w:sz w:val="24"/>
          <w:szCs w:val="24"/>
        </w:rPr>
        <w:t>信用中国</w:t>
      </w:r>
      <w:r>
        <w:rPr>
          <w:rFonts w:hint="eastAsia" w:ascii="宋体" w:hAnsi="宋体"/>
          <w:sz w:val="24"/>
          <w:szCs w:val="24"/>
        </w:rPr>
        <w:t>”</w:t>
      </w:r>
      <w:r>
        <w:rPr>
          <w:rFonts w:hint="eastAsia" w:ascii="宋体" w:hAnsi="宋体"/>
          <w:bCs/>
          <w:sz w:val="24"/>
          <w:szCs w:val="24"/>
        </w:rPr>
        <w:t>网站（</w:t>
      </w:r>
      <w:r>
        <w:fldChar w:fldCharType="begin"/>
      </w:r>
      <w:r>
        <w:instrText xml:space="preserve"> HYPERLINK "http://www.creditchina.gov.cn" </w:instrText>
      </w:r>
      <w:r>
        <w:fldChar w:fldCharType="separate"/>
      </w:r>
      <w:r>
        <w:rPr>
          <w:rStyle w:val="30"/>
          <w:rFonts w:hint="eastAsia" w:ascii="宋体" w:hAnsi="宋体"/>
          <w:bCs/>
          <w:sz w:val="24"/>
          <w:szCs w:val="24"/>
        </w:rPr>
        <w:t>www.creditchina.gov.cn</w:t>
      </w:r>
      <w:r>
        <w:rPr>
          <w:rStyle w:val="30"/>
          <w:rFonts w:hint="eastAsia" w:ascii="宋体" w:hAnsi="宋体"/>
          <w:bCs/>
          <w:sz w:val="24"/>
          <w:szCs w:val="24"/>
        </w:rPr>
        <w:fldChar w:fldCharType="end"/>
      </w:r>
      <w:r>
        <w:rPr>
          <w:rFonts w:hint="eastAsia" w:ascii="宋体" w:hAnsi="宋体"/>
          <w:bCs/>
          <w:sz w:val="24"/>
          <w:szCs w:val="24"/>
        </w:rPr>
        <w:t>）、</w:t>
      </w:r>
      <w:r>
        <w:rPr>
          <w:rFonts w:hint="eastAsia" w:ascii="宋体" w:hAnsi="宋体"/>
          <w:sz w:val="24"/>
          <w:szCs w:val="24"/>
        </w:rPr>
        <w:t>中国政府采购网(www.ccgp.gov.cn)列入失信被执行人、重大税收违法案件当事人名单、政府采购严重违法失信行为记录名单。</w:t>
      </w:r>
    </w:p>
    <w:p>
      <w:pPr>
        <w:spacing w:line="480" w:lineRule="auto"/>
        <w:ind w:firstLine="480" w:firstLineChars="200"/>
        <w:rPr>
          <w:rFonts w:ascii="宋体"/>
          <w:bCs/>
          <w:sz w:val="24"/>
          <w:szCs w:val="24"/>
        </w:rPr>
      </w:pPr>
      <w:r>
        <w:rPr>
          <w:rFonts w:hint="eastAsia" w:ascii="宋体" w:hAnsi="宋体"/>
          <w:bCs/>
          <w:sz w:val="24"/>
          <w:szCs w:val="24"/>
        </w:rPr>
        <w:t>如违背上述承诺，本公司</w:t>
      </w:r>
      <w:r>
        <w:rPr>
          <w:rFonts w:hint="eastAsia" w:ascii="宋体" w:hAnsi="宋体"/>
          <w:sz w:val="24"/>
          <w:szCs w:val="24"/>
        </w:rPr>
        <w:t>（单位）</w:t>
      </w:r>
      <w:r>
        <w:rPr>
          <w:rFonts w:hint="eastAsia" w:ascii="宋体" w:hAnsi="宋体"/>
          <w:bCs/>
          <w:sz w:val="24"/>
          <w:szCs w:val="24"/>
        </w:rPr>
        <w:t>将承担一切法律责任。</w:t>
      </w:r>
    </w:p>
    <w:p>
      <w:pPr>
        <w:spacing w:line="480" w:lineRule="auto"/>
        <w:rPr>
          <w:rFonts w:ascii="宋体"/>
          <w:color w:val="000000"/>
          <w:sz w:val="24"/>
        </w:rPr>
      </w:pPr>
    </w:p>
    <w:p>
      <w:pPr>
        <w:spacing w:line="480" w:lineRule="auto"/>
        <w:ind w:firstLine="5400" w:firstLineChars="2250"/>
        <w:rPr>
          <w:rFonts w:ascii="宋体"/>
          <w:bCs/>
          <w:color w:val="000000"/>
          <w:sz w:val="24"/>
          <w:szCs w:val="24"/>
        </w:rPr>
      </w:pPr>
    </w:p>
    <w:p>
      <w:pPr>
        <w:spacing w:line="480" w:lineRule="auto"/>
        <w:ind w:firstLine="3720" w:firstLineChars="1550"/>
        <w:rPr>
          <w:rFonts w:ascii="宋体"/>
          <w:bCs/>
          <w:color w:val="000000"/>
          <w:sz w:val="24"/>
          <w:szCs w:val="24"/>
        </w:rPr>
      </w:pPr>
      <w:r>
        <w:rPr>
          <w:rFonts w:hint="eastAsia" w:ascii="宋体" w:hAnsi="宋体"/>
          <w:bCs/>
          <w:color w:val="000000"/>
          <w:sz w:val="24"/>
          <w:szCs w:val="24"/>
        </w:rPr>
        <w:t>投标人（盖章）：</w:t>
      </w:r>
    </w:p>
    <w:p>
      <w:pPr>
        <w:spacing w:line="480" w:lineRule="auto"/>
        <w:ind w:firstLine="480" w:firstLineChars="200"/>
        <w:rPr>
          <w:rFonts w:ascii="宋体"/>
          <w:bCs/>
          <w:color w:val="000000"/>
          <w:sz w:val="24"/>
          <w:szCs w:val="24"/>
        </w:rPr>
      </w:pPr>
      <w:r>
        <w:rPr>
          <w:rFonts w:hint="eastAsia" w:ascii="宋体" w:hAnsi="宋体"/>
          <w:bCs/>
          <w:color w:val="000000"/>
          <w:sz w:val="24"/>
          <w:szCs w:val="24"/>
        </w:rPr>
        <w:t>法定代表人或法定代表人授权代表签字或盖章：</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ind w:firstLine="400"/>
      </w:pPr>
    </w:p>
    <w:p>
      <w:pPr>
        <w:pStyle w:val="2"/>
        <w:ind w:firstLine="400"/>
      </w:pPr>
    </w:p>
    <w:p>
      <w:pPr>
        <w:pStyle w:val="2"/>
        <w:ind w:firstLine="0" w:firstLineChars="0"/>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pPr>
    </w:p>
    <w:p>
      <w:pPr>
        <w:ind w:firstLine="480" w:firstLineChars="200"/>
        <w:outlineLvl w:val="0"/>
        <w:rPr>
          <w:rFonts w:ascii="黑体" w:hAnsi="宋体" w:eastAsia="黑体"/>
          <w:bCs/>
          <w:color w:val="000000"/>
          <w:sz w:val="24"/>
          <w:szCs w:val="24"/>
        </w:rPr>
      </w:pPr>
    </w:p>
    <w:p>
      <w:pPr>
        <w:outlineLvl w:val="0"/>
        <w:rPr>
          <w:rFonts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（七）开标一览表（格式）：</w:t>
      </w:r>
    </w:p>
    <w:p>
      <w:pPr>
        <w:outlineLvl w:val="0"/>
        <w:rPr>
          <w:rFonts w:ascii="黑体" w:eastAsia="黑体"/>
          <w:bCs/>
          <w:color w:val="000000"/>
          <w:sz w:val="28"/>
          <w:szCs w:val="28"/>
        </w:rPr>
      </w:pPr>
    </w:p>
    <w:p>
      <w:pPr>
        <w:outlineLvl w:val="0"/>
        <w:rPr>
          <w:rFonts w:ascii="黑体" w:eastAsia="黑体"/>
          <w:bCs/>
          <w:color w:val="000000"/>
          <w:sz w:val="28"/>
          <w:szCs w:val="28"/>
        </w:rPr>
      </w:pPr>
    </w:p>
    <w:p>
      <w:pPr>
        <w:jc w:val="center"/>
        <w:outlineLvl w:val="0"/>
        <w:rPr>
          <w:rFonts w:ascii="黑体" w:eastAsia="黑体"/>
          <w:bCs/>
          <w:color w:val="000000"/>
          <w:sz w:val="28"/>
          <w:szCs w:val="28"/>
        </w:rPr>
      </w:pPr>
      <w:r>
        <w:rPr>
          <w:rFonts w:hint="eastAsia" w:ascii="黑体" w:eastAsia="黑体"/>
          <w:bCs/>
          <w:color w:val="000000"/>
          <w:sz w:val="28"/>
          <w:szCs w:val="28"/>
        </w:rPr>
        <w:t>开标一览表</w:t>
      </w:r>
    </w:p>
    <w:p>
      <w:pPr>
        <w:jc w:val="center"/>
        <w:outlineLvl w:val="0"/>
        <w:rPr>
          <w:rFonts w:ascii="黑体" w:eastAsia="黑体"/>
          <w:bCs/>
          <w:color w:val="000000"/>
          <w:sz w:val="28"/>
          <w:szCs w:val="28"/>
        </w:rPr>
      </w:pPr>
    </w:p>
    <w:p>
      <w:pPr>
        <w:spacing w:line="360" w:lineRule="auto"/>
        <w:rPr>
          <w:rFonts w:hint="eastAsia" w:ascii="黑体" w:eastAsia="黑体"/>
          <w:bCs/>
          <w:color w:val="000000"/>
          <w:sz w:val="24"/>
          <w:szCs w:val="24"/>
          <w:lang w:eastAsia="zh-CN"/>
        </w:rPr>
      </w:pPr>
      <w:r>
        <w:rPr>
          <w:rFonts w:hint="eastAsia" w:ascii="黑体" w:eastAsia="黑体"/>
          <w:bCs/>
          <w:color w:val="000000"/>
          <w:sz w:val="24"/>
          <w:szCs w:val="24"/>
        </w:rPr>
        <w:t>投标人名称（盖章）                                      采购项目编号：</w:t>
      </w:r>
      <w:r>
        <w:rPr>
          <w:rFonts w:hint="eastAsia" w:ascii="宋体" w:hAnsi="宋体" w:eastAsia="黑体"/>
          <w:bCs/>
          <w:color w:val="000000"/>
          <w:sz w:val="24"/>
          <w:szCs w:val="24"/>
          <w:lang w:eastAsia="zh-CN"/>
        </w:rPr>
        <w:t>WXXWQJC2022-013</w:t>
      </w:r>
    </w:p>
    <w:tbl>
      <w:tblPr>
        <w:tblStyle w:val="23"/>
        <w:tblW w:w="1008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5"/>
        <w:gridCol w:w="4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5565" w:type="dxa"/>
            <w:vAlign w:val="center"/>
          </w:tcPr>
          <w:p>
            <w:pPr>
              <w:autoSpaceDE w:val="0"/>
              <w:autoSpaceDN w:val="0"/>
              <w:adjustRightInd w:val="0"/>
              <w:jc w:val="center"/>
              <w:rPr>
                <w:rFonts w:ascii="宋体"/>
                <w:b/>
                <w:bCs/>
                <w:color w:val="000000"/>
                <w:sz w:val="24"/>
                <w:szCs w:val="24"/>
              </w:rPr>
            </w:pPr>
            <w:r>
              <w:rPr>
                <w:rFonts w:hint="eastAsia" w:ascii="宋体" w:hAnsi="宋体"/>
                <w:b/>
                <w:bCs/>
                <w:color w:val="000000"/>
                <w:sz w:val="24"/>
                <w:szCs w:val="24"/>
              </w:rPr>
              <w:t>项目名称</w:t>
            </w:r>
          </w:p>
        </w:tc>
        <w:tc>
          <w:tcPr>
            <w:tcW w:w="4515" w:type="dxa"/>
            <w:vAlign w:val="center"/>
          </w:tcPr>
          <w:p>
            <w:pPr>
              <w:autoSpaceDE w:val="0"/>
              <w:autoSpaceDN w:val="0"/>
              <w:adjustRightInd w:val="0"/>
              <w:jc w:val="center"/>
              <w:rPr>
                <w:rFonts w:ascii="宋体"/>
                <w:b/>
                <w:bCs/>
                <w:color w:val="000000"/>
                <w:sz w:val="24"/>
                <w:szCs w:val="24"/>
              </w:rPr>
            </w:pPr>
            <w:r>
              <w:rPr>
                <w:rFonts w:hint="eastAsia" w:ascii="宋体" w:hAnsi="宋体"/>
                <w:b/>
                <w:bCs/>
                <w:color w:val="000000"/>
                <w:sz w:val="24"/>
                <w:szCs w:val="24"/>
              </w:rPr>
              <w:t>投标总报价</w:t>
            </w:r>
            <w:r>
              <w:rPr>
                <w:rFonts w:ascii="宋体" w:hAnsi="宋体"/>
                <w:b/>
                <w:bCs/>
                <w:color w:val="000000"/>
                <w:sz w:val="24"/>
                <w:szCs w:val="24"/>
              </w:rPr>
              <w:t>(</w:t>
            </w:r>
            <w:r>
              <w:rPr>
                <w:rFonts w:hint="eastAsia" w:ascii="宋体" w:hAnsi="宋体"/>
                <w:b/>
                <w:bCs/>
                <w:color w:val="000000"/>
                <w:sz w:val="24"/>
                <w:szCs w:val="24"/>
              </w:rPr>
              <w:t>小写</w:t>
            </w:r>
            <w:r>
              <w:rPr>
                <w:rFonts w:ascii="宋体" w:hAnsi="宋体"/>
                <w:b/>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trPr>
        <w:tc>
          <w:tcPr>
            <w:tcW w:w="5565" w:type="dxa"/>
            <w:vAlign w:val="center"/>
          </w:tcPr>
          <w:p>
            <w:pPr>
              <w:pStyle w:val="97"/>
              <w:spacing w:line="400" w:lineRule="exact"/>
              <w:jc w:val="center"/>
              <w:rPr>
                <w:rFonts w:hAnsi="宋体"/>
                <w:bCs/>
                <w:color w:val="000000"/>
                <w:sz w:val="28"/>
                <w:szCs w:val="28"/>
              </w:rPr>
            </w:pPr>
            <w:r>
              <w:rPr>
                <w:rFonts w:hint="eastAsia" w:ascii="黑体" w:eastAsia="黑体"/>
                <w:color w:val="000000"/>
                <w:kern w:val="2"/>
                <w:szCs w:val="24"/>
                <w:lang w:eastAsia="zh-CN"/>
              </w:rPr>
              <w:t>无锡市新吴实验中学新校家具采购</w:t>
            </w:r>
            <w:r>
              <w:rPr>
                <w:rFonts w:hint="eastAsia" w:ascii="华文新魏" w:hAnsi="华文中宋" w:eastAsia="华文新魏"/>
                <w:sz w:val="21"/>
              </w:rPr>
              <w:t xml:space="preserve">   </w:t>
            </w:r>
          </w:p>
        </w:tc>
        <w:tc>
          <w:tcPr>
            <w:tcW w:w="4515" w:type="dxa"/>
            <w:vAlign w:val="center"/>
          </w:tcPr>
          <w:p>
            <w:pPr>
              <w:pStyle w:val="97"/>
              <w:rPr>
                <w:rFonts w:hAnsi="宋体"/>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0080" w:type="dxa"/>
            <w:gridSpan w:val="2"/>
            <w:vAlign w:val="center"/>
          </w:tcPr>
          <w:p>
            <w:pPr>
              <w:rPr>
                <w:rFonts w:ascii="宋体"/>
                <w:bCs/>
                <w:color w:val="000000"/>
                <w:sz w:val="24"/>
                <w:szCs w:val="24"/>
              </w:rPr>
            </w:pPr>
            <w:r>
              <w:rPr>
                <w:rFonts w:hint="eastAsia" w:ascii="黑体" w:eastAsia="黑体"/>
                <w:color w:val="000000"/>
                <w:sz w:val="24"/>
              </w:rPr>
              <w:t>投标总报价（大写）</w:t>
            </w:r>
            <w:r>
              <w:rPr>
                <w:rFonts w:hint="eastAsia" w:ascii="宋体" w:hAnsi="宋体"/>
                <w:bCs/>
                <w:color w:val="000000"/>
                <w:kern w:val="0"/>
                <w:sz w:val="24"/>
                <w:szCs w:val="24"/>
                <w:u w:color="000000"/>
              </w:rPr>
              <w:t>：　　　</w:t>
            </w:r>
          </w:p>
        </w:tc>
      </w:tr>
    </w:tbl>
    <w:p>
      <w:pPr>
        <w:spacing w:before="5"/>
        <w:rPr>
          <w:rFonts w:hint="eastAsia"/>
          <w:b/>
          <w:bCs/>
          <w:color w:val="000000"/>
          <w:sz w:val="24"/>
          <w:szCs w:val="24"/>
        </w:rPr>
      </w:pPr>
    </w:p>
    <w:p>
      <w:pPr>
        <w:spacing w:before="5"/>
        <w:rPr>
          <w:b/>
          <w:bCs/>
          <w:color w:val="000000"/>
          <w:sz w:val="24"/>
          <w:szCs w:val="24"/>
        </w:rPr>
      </w:pPr>
      <w:r>
        <w:rPr>
          <w:rFonts w:hint="eastAsia"/>
          <w:b/>
          <w:bCs/>
          <w:color w:val="000000"/>
          <w:sz w:val="24"/>
          <w:szCs w:val="24"/>
        </w:rPr>
        <w:t>法定代表人或法定代表人授权代表签字或盖章：</w:t>
      </w:r>
    </w:p>
    <w:p>
      <w:pPr>
        <w:spacing w:line="400" w:lineRule="exact"/>
        <w:rPr>
          <w:rFonts w:ascii="黑体" w:eastAsia="黑体"/>
          <w:bCs/>
          <w:color w:val="000000"/>
          <w:sz w:val="32"/>
        </w:rPr>
      </w:pPr>
    </w:p>
    <w:p>
      <w:pPr>
        <w:spacing w:line="400" w:lineRule="exact"/>
        <w:rPr>
          <w:rFonts w:ascii="黑体" w:eastAsia="黑体"/>
          <w:bCs/>
          <w:color w:val="000000"/>
          <w:sz w:val="32"/>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pStyle w:val="2"/>
      </w:pPr>
    </w:p>
    <w:p>
      <w:pPr>
        <w:pStyle w:val="2"/>
        <w:ind w:firstLine="400"/>
      </w:pPr>
    </w:p>
    <w:p>
      <w:pPr>
        <w:spacing w:line="400" w:lineRule="exact"/>
        <w:ind w:left="720" w:hanging="720" w:hangingChars="300"/>
        <w:rPr>
          <w:rFonts w:ascii="黑体" w:eastAsia="黑体"/>
          <w:bCs/>
          <w:color w:val="000000"/>
          <w:sz w:val="24"/>
          <w:szCs w:val="24"/>
        </w:rPr>
      </w:pPr>
    </w:p>
    <w:p>
      <w:pPr>
        <w:spacing w:line="400" w:lineRule="exact"/>
        <w:rPr>
          <w:rFonts w:ascii="黑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（八）明细报价表（格式）：</w:t>
      </w:r>
    </w:p>
    <w:p>
      <w:pPr>
        <w:spacing w:line="400" w:lineRule="exact"/>
        <w:jc w:val="center"/>
        <w:outlineLvl w:val="0"/>
        <w:rPr>
          <w:rFonts w:ascii="黑体" w:eastAsia="黑体"/>
          <w:bCs/>
          <w:sz w:val="28"/>
          <w:szCs w:val="28"/>
        </w:rPr>
      </w:pPr>
    </w:p>
    <w:p>
      <w:pPr>
        <w:spacing w:line="400" w:lineRule="exact"/>
        <w:jc w:val="center"/>
        <w:outlineLvl w:val="0"/>
        <w:rPr>
          <w:rFonts w:ascii="黑体" w:eastAsia="黑体"/>
          <w:bCs/>
          <w:sz w:val="28"/>
          <w:szCs w:val="28"/>
        </w:rPr>
      </w:pPr>
      <w:r>
        <w:rPr>
          <w:rFonts w:hint="eastAsia" w:ascii="黑体" w:eastAsia="黑体"/>
          <w:bCs/>
          <w:sz w:val="28"/>
          <w:szCs w:val="28"/>
        </w:rPr>
        <w:t>明细报价表</w:t>
      </w:r>
    </w:p>
    <w:p>
      <w:pPr>
        <w:spacing w:line="400" w:lineRule="exact"/>
        <w:rPr>
          <w:rFonts w:hint="eastAsia" w:ascii="黑体" w:eastAsia="黑体"/>
          <w:bCs/>
          <w:sz w:val="24"/>
          <w:szCs w:val="24"/>
          <w:lang w:eastAsia="zh-CN"/>
        </w:rPr>
      </w:pPr>
      <w:r>
        <w:rPr>
          <w:rFonts w:hint="eastAsia" w:ascii="黑体" w:eastAsia="黑体"/>
          <w:bCs/>
          <w:sz w:val="24"/>
          <w:szCs w:val="24"/>
        </w:rPr>
        <w:t>投标人名称（盖章）                                  采购项目编号：</w:t>
      </w:r>
      <w:r>
        <w:rPr>
          <w:rFonts w:hint="eastAsia" w:ascii="黑体" w:eastAsia="黑体"/>
          <w:bCs/>
          <w:sz w:val="24"/>
          <w:szCs w:val="24"/>
          <w:lang w:eastAsia="zh-CN"/>
        </w:rPr>
        <w:t>WXXWQJC2022-013</w:t>
      </w:r>
    </w:p>
    <w:tbl>
      <w:tblPr>
        <w:tblStyle w:val="23"/>
        <w:tblW w:w="997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0"/>
        <w:gridCol w:w="210"/>
        <w:gridCol w:w="840"/>
        <w:gridCol w:w="945"/>
        <w:gridCol w:w="3045"/>
        <w:gridCol w:w="599"/>
        <w:gridCol w:w="1276"/>
        <w:gridCol w:w="992"/>
        <w:gridCol w:w="70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trPr>
        <w:tc>
          <w:tcPr>
            <w:tcW w:w="420" w:type="dxa"/>
            <w:noWrap/>
            <w:tcMar>
              <w:top w:w="15" w:type="dxa"/>
              <w:left w:w="15" w:type="dxa"/>
              <w:bottom w:w="0" w:type="dxa"/>
              <w:right w:w="15" w:type="dxa"/>
            </w:tcMar>
            <w:vAlign w:val="center"/>
          </w:tcPr>
          <w:p>
            <w:pPr>
              <w:spacing w:before="5"/>
              <w:jc w:val="center"/>
              <w:rPr>
                <w:sz w:val="18"/>
              </w:rPr>
            </w:pPr>
            <w:r>
              <w:rPr>
                <w:rFonts w:hint="eastAsia"/>
                <w:sz w:val="18"/>
              </w:rPr>
              <w:t>序号</w:t>
            </w:r>
          </w:p>
        </w:tc>
        <w:tc>
          <w:tcPr>
            <w:tcW w:w="1050" w:type="dxa"/>
            <w:gridSpan w:val="2"/>
            <w:noWrap/>
            <w:tcMar>
              <w:top w:w="15" w:type="dxa"/>
              <w:left w:w="15" w:type="dxa"/>
              <w:bottom w:w="0" w:type="dxa"/>
              <w:right w:w="15" w:type="dxa"/>
            </w:tcMar>
            <w:vAlign w:val="center"/>
          </w:tcPr>
          <w:p>
            <w:pPr>
              <w:spacing w:before="5"/>
              <w:jc w:val="center"/>
              <w:rPr>
                <w:sz w:val="18"/>
                <w:u w:color="FF0000"/>
              </w:rPr>
            </w:pPr>
            <w:r>
              <w:rPr>
                <w:rFonts w:hint="eastAsia"/>
                <w:sz w:val="18"/>
              </w:rPr>
              <w:t>名称</w:t>
            </w:r>
          </w:p>
        </w:tc>
        <w:tc>
          <w:tcPr>
            <w:tcW w:w="945" w:type="dxa"/>
            <w:noWrap/>
            <w:tcMar>
              <w:top w:w="15" w:type="dxa"/>
              <w:left w:w="15" w:type="dxa"/>
              <w:bottom w:w="0" w:type="dxa"/>
              <w:right w:w="15" w:type="dxa"/>
            </w:tcMar>
            <w:vAlign w:val="center"/>
          </w:tcPr>
          <w:p>
            <w:pPr>
              <w:spacing w:before="5"/>
              <w:jc w:val="center"/>
              <w:rPr>
                <w:sz w:val="18"/>
                <w:u w:color="FF0000"/>
              </w:rPr>
            </w:pPr>
            <w:r>
              <w:rPr>
                <w:rFonts w:hint="eastAsia"/>
                <w:sz w:val="18"/>
                <w:u w:color="FF0000"/>
              </w:rPr>
              <w:t>品牌型号</w:t>
            </w:r>
          </w:p>
        </w:tc>
        <w:tc>
          <w:tcPr>
            <w:tcW w:w="3045" w:type="dxa"/>
            <w:noWrap/>
            <w:tcMar>
              <w:top w:w="15" w:type="dxa"/>
              <w:left w:w="15" w:type="dxa"/>
              <w:bottom w:w="0" w:type="dxa"/>
              <w:right w:w="15" w:type="dxa"/>
            </w:tcMar>
            <w:vAlign w:val="center"/>
          </w:tcPr>
          <w:p>
            <w:pPr>
              <w:spacing w:before="5"/>
              <w:jc w:val="center"/>
              <w:rPr>
                <w:sz w:val="18"/>
              </w:rPr>
            </w:pPr>
            <w:r>
              <w:rPr>
                <w:rFonts w:hint="eastAsia"/>
                <w:sz w:val="18"/>
                <w:u w:color="FF0000"/>
              </w:rPr>
              <w:t>性能指标</w:t>
            </w:r>
          </w:p>
        </w:tc>
        <w:tc>
          <w:tcPr>
            <w:tcW w:w="599" w:type="dxa"/>
            <w:tcMar>
              <w:top w:w="15" w:type="dxa"/>
              <w:left w:w="15" w:type="dxa"/>
              <w:bottom w:w="0" w:type="dxa"/>
              <w:right w:w="15" w:type="dxa"/>
            </w:tcMar>
            <w:vAlign w:val="center"/>
          </w:tcPr>
          <w:p>
            <w:pPr>
              <w:spacing w:before="5"/>
              <w:jc w:val="center"/>
              <w:rPr>
                <w:sz w:val="18"/>
              </w:rPr>
            </w:pPr>
            <w:r>
              <w:rPr>
                <w:rFonts w:hint="eastAsia"/>
                <w:sz w:val="18"/>
              </w:rPr>
              <w:t>数量</w:t>
            </w:r>
          </w:p>
        </w:tc>
        <w:tc>
          <w:tcPr>
            <w:tcW w:w="1276" w:type="dxa"/>
            <w:vAlign w:val="center"/>
          </w:tcPr>
          <w:p>
            <w:pPr>
              <w:spacing w:before="5"/>
              <w:jc w:val="center"/>
              <w:rPr>
                <w:sz w:val="18"/>
              </w:rPr>
            </w:pPr>
            <w:r>
              <w:rPr>
                <w:rFonts w:hint="eastAsia"/>
                <w:sz w:val="18"/>
              </w:rPr>
              <w:t>产地</w:t>
            </w:r>
          </w:p>
        </w:tc>
        <w:tc>
          <w:tcPr>
            <w:tcW w:w="992" w:type="dxa"/>
            <w:noWrap/>
            <w:tcMar>
              <w:top w:w="15" w:type="dxa"/>
              <w:left w:w="15" w:type="dxa"/>
              <w:bottom w:w="0" w:type="dxa"/>
              <w:right w:w="15" w:type="dxa"/>
            </w:tcMar>
            <w:vAlign w:val="center"/>
          </w:tcPr>
          <w:p>
            <w:pPr>
              <w:spacing w:before="5"/>
              <w:jc w:val="center"/>
              <w:rPr>
                <w:sz w:val="18"/>
              </w:rPr>
            </w:pPr>
            <w:r>
              <w:rPr>
                <w:rFonts w:hint="eastAsia"/>
                <w:sz w:val="18"/>
              </w:rPr>
              <w:t>质保期</w:t>
            </w:r>
          </w:p>
        </w:tc>
        <w:tc>
          <w:tcPr>
            <w:tcW w:w="709" w:type="dxa"/>
            <w:vAlign w:val="center"/>
          </w:tcPr>
          <w:p>
            <w:pPr>
              <w:spacing w:before="5"/>
              <w:jc w:val="center"/>
              <w:rPr>
                <w:sz w:val="18"/>
              </w:rPr>
            </w:pPr>
            <w:r>
              <w:rPr>
                <w:rFonts w:hint="eastAsia"/>
                <w:sz w:val="18"/>
              </w:rPr>
              <w:t>单报价</w:t>
            </w:r>
          </w:p>
        </w:tc>
        <w:tc>
          <w:tcPr>
            <w:tcW w:w="939" w:type="dxa"/>
            <w:vAlign w:val="center"/>
          </w:tcPr>
          <w:p>
            <w:pPr>
              <w:spacing w:before="5"/>
              <w:jc w:val="center"/>
              <w:rPr>
                <w:sz w:val="18"/>
              </w:rPr>
            </w:pPr>
            <w:r>
              <w:rPr>
                <w:rFonts w:hint="eastAsia"/>
                <w:sz w:val="18"/>
              </w:rPr>
              <w:t>分项总报价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7" w:hRule="atLeast"/>
        </w:trPr>
        <w:tc>
          <w:tcPr>
            <w:tcW w:w="420" w:type="dxa"/>
            <w:noWrap/>
            <w:tcMar>
              <w:top w:w="15" w:type="dxa"/>
              <w:left w:w="15" w:type="dxa"/>
              <w:bottom w:w="0" w:type="dxa"/>
              <w:right w:w="15" w:type="dxa"/>
            </w:tcMar>
            <w:vAlign w:val="center"/>
          </w:tcPr>
          <w:p>
            <w:pPr>
              <w:pStyle w:val="18"/>
              <w:pBdr>
                <w:bottom w:val="none" w:color="auto" w:sz="0" w:space="0"/>
              </w:pBdr>
              <w:tabs>
                <w:tab w:val="clear" w:pos="4153"/>
                <w:tab w:val="clear" w:pos="8306"/>
              </w:tabs>
              <w:snapToGrid/>
              <w:spacing w:before="5"/>
              <w:rPr>
                <w:rFonts w:ascii="宋体"/>
                <w:kern w:val="2"/>
              </w:rPr>
            </w:pPr>
          </w:p>
        </w:tc>
        <w:tc>
          <w:tcPr>
            <w:tcW w:w="1050" w:type="dxa"/>
            <w:gridSpan w:val="2"/>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945" w:type="dxa"/>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3045" w:type="dxa"/>
            <w:tcMar>
              <w:top w:w="15" w:type="dxa"/>
              <w:left w:w="15" w:type="dxa"/>
              <w:bottom w:w="0" w:type="dxa"/>
              <w:right w:w="15" w:type="dxa"/>
            </w:tcMar>
          </w:tcPr>
          <w:p>
            <w:pPr>
              <w:jc w:val="center"/>
              <w:rPr>
                <w:rFonts w:ascii="宋体"/>
                <w:bCs/>
                <w:sz w:val="18"/>
              </w:rPr>
            </w:pPr>
          </w:p>
        </w:tc>
        <w:tc>
          <w:tcPr>
            <w:tcW w:w="599" w:type="dxa"/>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76" w:type="dxa"/>
            <w:vAlign w:val="center"/>
          </w:tcPr>
          <w:p>
            <w:pPr>
              <w:jc w:val="center"/>
              <w:rPr>
                <w:rFonts w:ascii="黑体" w:hAnsi="宋体" w:eastAsia="黑体"/>
                <w:b/>
                <w:bCs/>
                <w:sz w:val="24"/>
                <w:szCs w:val="24"/>
              </w:rPr>
            </w:pPr>
          </w:p>
        </w:tc>
        <w:tc>
          <w:tcPr>
            <w:tcW w:w="992"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9" w:type="dxa"/>
            <w:vAlign w:val="center"/>
          </w:tcPr>
          <w:p>
            <w:pPr>
              <w:jc w:val="center"/>
              <w:rPr>
                <w:rFonts w:ascii="黑体" w:hAnsi="宋体" w:eastAsia="黑体"/>
                <w:b/>
                <w:bCs/>
                <w:sz w:val="24"/>
                <w:szCs w:val="24"/>
              </w:rPr>
            </w:pPr>
          </w:p>
        </w:tc>
        <w:tc>
          <w:tcPr>
            <w:tcW w:w="939"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8" w:hRule="atLeast"/>
        </w:trPr>
        <w:tc>
          <w:tcPr>
            <w:tcW w:w="420" w:type="dxa"/>
            <w:noWrap/>
            <w:tcMar>
              <w:top w:w="15" w:type="dxa"/>
              <w:left w:w="15" w:type="dxa"/>
              <w:bottom w:w="0" w:type="dxa"/>
              <w:right w:w="15" w:type="dxa"/>
            </w:tcMar>
            <w:vAlign w:val="center"/>
          </w:tcPr>
          <w:p>
            <w:pPr>
              <w:jc w:val="center"/>
              <w:rPr>
                <w:rFonts w:ascii="宋体"/>
                <w:sz w:val="18"/>
              </w:rPr>
            </w:pPr>
          </w:p>
        </w:tc>
        <w:tc>
          <w:tcPr>
            <w:tcW w:w="1050" w:type="dxa"/>
            <w:gridSpan w:val="2"/>
            <w:noWrap/>
            <w:tcMar>
              <w:top w:w="15" w:type="dxa"/>
              <w:left w:w="15" w:type="dxa"/>
              <w:bottom w:w="0" w:type="dxa"/>
              <w:right w:w="15" w:type="dxa"/>
            </w:tcMar>
            <w:vAlign w:val="center"/>
          </w:tcPr>
          <w:p>
            <w:pPr>
              <w:jc w:val="center"/>
              <w:rPr>
                <w:rFonts w:ascii="宋体"/>
              </w:rPr>
            </w:pPr>
          </w:p>
        </w:tc>
        <w:tc>
          <w:tcPr>
            <w:tcW w:w="945" w:type="dxa"/>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3045" w:type="dxa"/>
            <w:tcMar>
              <w:top w:w="15" w:type="dxa"/>
              <w:left w:w="15" w:type="dxa"/>
              <w:bottom w:w="0" w:type="dxa"/>
              <w:right w:w="15" w:type="dxa"/>
            </w:tcMar>
            <w:vAlign w:val="center"/>
          </w:tcPr>
          <w:p>
            <w:pPr>
              <w:jc w:val="center"/>
              <w:rPr>
                <w:rFonts w:ascii="宋体"/>
                <w:bCs/>
                <w:sz w:val="18"/>
              </w:rPr>
            </w:pPr>
          </w:p>
        </w:tc>
        <w:tc>
          <w:tcPr>
            <w:tcW w:w="599" w:type="dxa"/>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76" w:type="dxa"/>
            <w:vAlign w:val="center"/>
          </w:tcPr>
          <w:p>
            <w:pPr>
              <w:jc w:val="center"/>
              <w:rPr>
                <w:rFonts w:ascii="黑体" w:hAnsi="宋体" w:eastAsia="黑体"/>
                <w:b/>
                <w:bCs/>
                <w:sz w:val="24"/>
                <w:szCs w:val="24"/>
              </w:rPr>
            </w:pPr>
          </w:p>
        </w:tc>
        <w:tc>
          <w:tcPr>
            <w:tcW w:w="992"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9" w:type="dxa"/>
            <w:vAlign w:val="center"/>
          </w:tcPr>
          <w:p>
            <w:pPr>
              <w:jc w:val="center"/>
              <w:rPr>
                <w:rFonts w:ascii="黑体" w:hAnsi="宋体" w:eastAsia="黑体"/>
                <w:b/>
                <w:bCs/>
                <w:sz w:val="24"/>
                <w:szCs w:val="24"/>
              </w:rPr>
            </w:pPr>
          </w:p>
        </w:tc>
        <w:tc>
          <w:tcPr>
            <w:tcW w:w="939"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kern w:val="2"/>
                <w:sz w:val="24"/>
              </w:rPr>
            </w:pPr>
            <w:r>
              <w:rPr>
                <w:rFonts w:hint="eastAsia" w:ascii="宋体"/>
                <w:b/>
                <w:bCs/>
                <w:sz w:val="24"/>
              </w:rPr>
              <w:t>完工期</w:t>
            </w:r>
          </w:p>
        </w:tc>
        <w:tc>
          <w:tcPr>
            <w:tcW w:w="7560" w:type="dxa"/>
            <w:gridSpan w:val="6"/>
            <w:tcMar>
              <w:top w:w="15" w:type="dxa"/>
              <w:left w:w="15" w:type="dxa"/>
              <w:bottom w:w="0" w:type="dxa"/>
              <w:right w:w="15" w:type="dxa"/>
            </w:tcMar>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kern w:val="2"/>
                <w:sz w:val="24"/>
              </w:rPr>
            </w:pPr>
            <w:r>
              <w:rPr>
                <w:rFonts w:hint="eastAsia" w:ascii="宋体"/>
                <w:b/>
                <w:bCs/>
                <w:sz w:val="24"/>
              </w:rPr>
              <w:t>项目整体质保期</w:t>
            </w:r>
          </w:p>
        </w:tc>
        <w:tc>
          <w:tcPr>
            <w:tcW w:w="7560" w:type="dxa"/>
            <w:gridSpan w:val="6"/>
            <w:tcMar>
              <w:top w:w="15" w:type="dxa"/>
              <w:left w:w="15" w:type="dxa"/>
              <w:bottom w:w="0" w:type="dxa"/>
              <w:right w:w="15" w:type="dxa"/>
            </w:tcMar>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630" w:type="dxa"/>
            <w:gridSpan w:val="2"/>
            <w:vMerge w:val="restart"/>
            <w:vAlign w:val="center"/>
          </w:tcPr>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服</w:t>
            </w:r>
          </w:p>
          <w:p>
            <w:pPr>
              <w:pStyle w:val="20"/>
              <w:spacing w:line="400" w:lineRule="exact"/>
              <w:rPr>
                <w:rFonts w:ascii="宋体"/>
                <w:b/>
                <w:bCs/>
                <w:kern w:val="2"/>
                <w:sz w:val="24"/>
                <w:szCs w:val="24"/>
              </w:rPr>
            </w:pPr>
          </w:p>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务</w:t>
            </w:r>
          </w:p>
          <w:p>
            <w:pPr>
              <w:pStyle w:val="20"/>
              <w:spacing w:line="400" w:lineRule="exact"/>
              <w:rPr>
                <w:rFonts w:ascii="宋体"/>
                <w:b/>
                <w:bCs/>
                <w:kern w:val="2"/>
                <w:sz w:val="24"/>
                <w:szCs w:val="24"/>
              </w:rPr>
            </w:pPr>
          </w:p>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承</w:t>
            </w:r>
          </w:p>
          <w:p>
            <w:pPr>
              <w:pStyle w:val="20"/>
              <w:spacing w:line="400" w:lineRule="exact"/>
              <w:rPr>
                <w:rFonts w:ascii="宋体"/>
                <w:b/>
                <w:bCs/>
                <w:kern w:val="2"/>
                <w:sz w:val="24"/>
                <w:szCs w:val="24"/>
              </w:rPr>
            </w:pPr>
          </w:p>
          <w:p>
            <w:pPr>
              <w:pStyle w:val="20"/>
              <w:spacing w:line="400" w:lineRule="exact"/>
              <w:ind w:firstLine="120" w:firstLineChars="50"/>
              <w:rPr>
                <w:rFonts w:ascii="宋体"/>
                <w:bCs/>
                <w:kern w:val="2"/>
                <w:sz w:val="24"/>
                <w:szCs w:val="24"/>
              </w:rPr>
            </w:pPr>
            <w:r>
              <w:rPr>
                <w:rFonts w:hint="eastAsia" w:ascii="宋体" w:hAnsi="宋体"/>
                <w:b/>
                <w:bCs/>
                <w:kern w:val="2"/>
                <w:sz w:val="24"/>
                <w:szCs w:val="24"/>
              </w:rPr>
              <w:t>诺</w:t>
            </w:r>
          </w:p>
        </w:tc>
        <w:tc>
          <w:tcPr>
            <w:tcW w:w="9345" w:type="dxa"/>
            <w:gridSpan w:val="8"/>
            <w:vAlign w:val="center"/>
          </w:tcPr>
          <w:p>
            <w:pPr>
              <w:numPr>
                <w:ilvl w:val="0"/>
                <w:numId w:val="8"/>
              </w:numPr>
              <w:rPr>
                <w:rFonts w:ascii="宋体"/>
                <w:bCs/>
                <w:sz w:val="24"/>
                <w:szCs w:val="24"/>
              </w:rPr>
            </w:pPr>
            <w:r>
              <w:rPr>
                <w:rFonts w:hint="eastAsia" w:ascii="宋体" w:hAnsi="宋体"/>
                <w:bCs/>
                <w:sz w:val="24"/>
                <w:szCs w:val="24"/>
              </w:rPr>
              <w:t>质量</w:t>
            </w:r>
            <w:r>
              <w:rPr>
                <w:rFonts w:ascii="宋体" w:hAnsi="宋体"/>
                <w:bCs/>
                <w:sz w:val="24"/>
                <w:szCs w:val="24"/>
              </w:rPr>
              <w:t xml:space="preserve"> 2.</w:t>
            </w:r>
            <w:r>
              <w:rPr>
                <w:rFonts w:hint="eastAsia" w:ascii="宋体" w:hAnsi="宋体"/>
                <w:bCs/>
                <w:sz w:val="24"/>
                <w:szCs w:val="24"/>
              </w:rPr>
              <w:t>安装</w:t>
            </w:r>
            <w:r>
              <w:rPr>
                <w:rFonts w:ascii="宋体" w:hAnsi="宋体"/>
                <w:bCs/>
                <w:sz w:val="24"/>
                <w:szCs w:val="24"/>
              </w:rPr>
              <w:t xml:space="preserve"> 3."</w:t>
            </w:r>
            <w:r>
              <w:rPr>
                <w:rFonts w:hint="eastAsia" w:ascii="宋体" w:hAnsi="宋体"/>
                <w:bCs/>
                <w:sz w:val="24"/>
                <w:szCs w:val="24"/>
              </w:rPr>
              <w:t>三包</w:t>
            </w:r>
            <w:r>
              <w:rPr>
                <w:rFonts w:ascii="宋体" w:hAnsi="宋体"/>
                <w:bCs/>
                <w:sz w:val="24"/>
                <w:szCs w:val="24"/>
              </w:rPr>
              <w:t>"(</w:t>
            </w:r>
            <w:r>
              <w:rPr>
                <w:rFonts w:hint="eastAsia" w:ascii="宋体" w:hAnsi="宋体"/>
                <w:bCs/>
                <w:sz w:val="24"/>
                <w:szCs w:val="24"/>
              </w:rPr>
              <w:t>包修、包退、包换</w:t>
            </w:r>
            <w:r>
              <w:rPr>
                <w:rFonts w:ascii="宋体" w:hAnsi="宋体"/>
                <w:bCs/>
                <w:sz w:val="24"/>
                <w:szCs w:val="24"/>
              </w:rPr>
              <w:t>)4</w:t>
            </w:r>
            <w:r>
              <w:rPr>
                <w:rFonts w:ascii="宋体"/>
                <w:bCs/>
                <w:sz w:val="24"/>
                <w:szCs w:val="24"/>
              </w:rPr>
              <w:t>.</w:t>
            </w:r>
            <w:r>
              <w:rPr>
                <w:rFonts w:hint="eastAsia" w:ascii="宋体" w:hAnsi="宋体"/>
                <w:bCs/>
                <w:sz w:val="24"/>
                <w:szCs w:val="24"/>
              </w:rPr>
              <w:t>其他承诺</w:t>
            </w:r>
          </w:p>
          <w:p>
            <w:pPr>
              <w:rPr>
                <w:rFonts w:ascii="宋体"/>
                <w:bCs/>
                <w:sz w:val="24"/>
                <w:szCs w:val="24"/>
              </w:rPr>
            </w:pPr>
            <w:r>
              <w:rPr>
                <w:rFonts w:hint="eastAsia" w:ascii="宋体" w:hAnsi="宋体"/>
                <w:bCs/>
                <w:sz w:val="24"/>
                <w:szCs w:val="24"/>
              </w:rPr>
              <w:t>（以上是主要承诺，供投标人参考，投标人应在满足招标文件要求的基础上，根据自己单位的情况作出具体承诺）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3" w:hRule="atLeast"/>
        </w:trPr>
        <w:tc>
          <w:tcPr>
            <w:tcW w:w="630" w:type="dxa"/>
            <w:gridSpan w:val="2"/>
            <w:vMerge w:val="continue"/>
            <w:vAlign w:val="center"/>
          </w:tcPr>
          <w:p>
            <w:pPr>
              <w:pStyle w:val="20"/>
              <w:spacing w:line="400" w:lineRule="exact"/>
              <w:rPr>
                <w:rFonts w:ascii="宋体"/>
                <w:bCs/>
                <w:kern w:val="2"/>
                <w:sz w:val="24"/>
                <w:szCs w:val="24"/>
              </w:rPr>
            </w:pPr>
          </w:p>
        </w:tc>
        <w:tc>
          <w:tcPr>
            <w:tcW w:w="9345" w:type="dxa"/>
            <w:gridSpan w:val="8"/>
            <w:vAlign w:val="center"/>
          </w:tcPr>
          <w:p>
            <w:pPr>
              <w:rPr>
                <w:rFonts w:ascii="宋体"/>
                <w:bCs/>
                <w:sz w:val="24"/>
                <w:szCs w:val="24"/>
              </w:rPr>
            </w:pPr>
          </w:p>
        </w:tc>
      </w:tr>
    </w:tbl>
    <w:p>
      <w:pPr>
        <w:spacing w:before="5" w:line="560" w:lineRule="atLeast"/>
        <w:rPr>
          <w:rFonts w:ascii="Calibri" w:hAnsi="Calibri"/>
          <w:b/>
          <w:bCs/>
          <w:sz w:val="24"/>
          <w:szCs w:val="24"/>
        </w:rPr>
      </w:pPr>
      <w:r>
        <w:rPr>
          <w:rFonts w:hint="eastAsia"/>
          <w:b/>
          <w:bCs/>
          <w:sz w:val="24"/>
          <w:szCs w:val="24"/>
        </w:rPr>
        <w:t>法定代表人或法定代表人授权代表签字或盖章：</w:t>
      </w:r>
    </w:p>
    <w:p>
      <w:pPr>
        <w:spacing w:line="400" w:lineRule="exact"/>
        <w:outlineLvl w:val="0"/>
        <w:rPr>
          <w:rFonts w:ascii="宋体"/>
          <w:b/>
          <w:szCs w:val="21"/>
        </w:rPr>
      </w:pPr>
      <w:r>
        <w:rPr>
          <w:rFonts w:hint="eastAsia" w:ascii="宋体" w:hAnsi="宋体"/>
          <w:b/>
          <w:szCs w:val="21"/>
        </w:rPr>
        <w:t>提醒：请各投标人尽可能携带明细报价表的电子文档。</w:t>
      </w:r>
    </w:p>
    <w:p>
      <w:pPr>
        <w:spacing w:line="400" w:lineRule="exact"/>
        <w:outlineLvl w:val="0"/>
        <w:rPr>
          <w:rFonts w:ascii="宋体" w:hAnsi="宋体"/>
          <w:bCs/>
          <w:color w:val="000000"/>
          <w:szCs w:val="21"/>
        </w:rPr>
      </w:pPr>
      <w:r>
        <w:rPr>
          <w:rFonts w:hint="eastAsia" w:ascii="宋体" w:hAnsi="宋体"/>
          <w:b/>
          <w:szCs w:val="21"/>
        </w:rPr>
        <w:t>注：</w:t>
      </w:r>
      <w:r>
        <w:rPr>
          <w:rFonts w:hint="eastAsia" w:ascii="宋体" w:hAnsi="宋体"/>
          <w:bCs/>
          <w:szCs w:val="21"/>
        </w:rPr>
        <w:t>（1）</w:t>
      </w:r>
      <w:r>
        <w:rPr>
          <w:rFonts w:hint="eastAsia" w:ascii="宋体" w:hAnsi="宋体" w:cs="宋体"/>
          <w:color w:val="000000"/>
          <w:kern w:val="0"/>
          <w:szCs w:val="21"/>
          <w:lang w:val="zh-CN"/>
        </w:rPr>
        <w:t>投标人本项目提供的货物全部由符合政策要求的中小企业制造的，须提供按格式填写的《中小企业声明函》（货物）（《中小企业声明函》（货物）相应内容须与上表填列内容保持一致）；</w:t>
      </w:r>
      <w:r>
        <w:rPr>
          <w:rFonts w:hint="eastAsia" w:ascii="宋体" w:hAnsi="宋体"/>
          <w:bCs/>
          <w:color w:val="000000"/>
          <w:szCs w:val="21"/>
        </w:rPr>
        <w:t>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w:t>
      </w:r>
      <w:r>
        <w:rPr>
          <w:rFonts w:hint="eastAsia" w:ascii="宋体"/>
          <w:bCs/>
          <w:szCs w:val="21"/>
        </w:rPr>
        <w:t>以上证明材料（如有）请附本表之后，</w:t>
      </w:r>
      <w:r>
        <w:rPr>
          <w:rFonts w:hint="eastAsia" w:ascii="宋体" w:hAnsi="宋体"/>
          <w:bCs/>
          <w:color w:val="000000"/>
          <w:szCs w:val="21"/>
        </w:rPr>
        <w:t>投标人对所报相关数据的真实性负责，无锡市公共资源交易中心新吴分中心有权将相关内容进行公示；</w:t>
      </w:r>
    </w:p>
    <w:p>
      <w:pPr>
        <w:spacing w:line="400" w:lineRule="exact"/>
        <w:ind w:firstLine="315" w:firstLineChars="150"/>
        <w:outlineLvl w:val="0"/>
        <w:rPr>
          <w:rFonts w:ascii="宋体"/>
          <w:bCs/>
          <w:szCs w:val="21"/>
        </w:rPr>
      </w:pPr>
      <w:r>
        <w:rPr>
          <w:rFonts w:hint="eastAsia" w:ascii="宋体" w:hAnsi="宋体"/>
          <w:bCs/>
          <w:szCs w:val="21"/>
        </w:rPr>
        <w:t>（2）投标人应当根据“项目技术要求和有关说明”的内容在上表中详细填写；</w:t>
      </w:r>
    </w:p>
    <w:p>
      <w:pPr>
        <w:spacing w:line="400" w:lineRule="exact"/>
        <w:ind w:firstLine="315" w:firstLineChars="150"/>
        <w:outlineLvl w:val="0"/>
        <w:rPr>
          <w:rFonts w:ascii="宋体"/>
          <w:bCs/>
          <w:szCs w:val="21"/>
        </w:rPr>
      </w:pPr>
      <w:r>
        <w:rPr>
          <w:rFonts w:hint="eastAsia" w:ascii="宋体" w:hAnsi="宋体"/>
          <w:bCs/>
          <w:szCs w:val="21"/>
        </w:rPr>
        <w:t>（3）表格不够可自行延长。</w:t>
      </w:r>
    </w:p>
    <w:p>
      <w:pPr>
        <w:spacing w:before="5" w:line="560" w:lineRule="atLeast"/>
        <w:rPr>
          <w:rFonts w:ascii="宋体" w:hAnsi="宋体"/>
          <w:bCs/>
          <w:color w:val="000000"/>
          <w:szCs w:val="21"/>
        </w:rPr>
      </w:pPr>
    </w:p>
    <w:p>
      <w:pPr>
        <w:pStyle w:val="2"/>
        <w:ind w:firstLine="400"/>
      </w:pPr>
    </w:p>
    <w:p>
      <w:pPr>
        <w:pStyle w:val="2"/>
        <w:ind w:firstLine="400"/>
      </w:pPr>
    </w:p>
    <w:p>
      <w:pPr>
        <w:pStyle w:val="2"/>
        <w:ind w:firstLine="400"/>
      </w:pPr>
    </w:p>
    <w:p>
      <w:pPr>
        <w:outlineLvl w:val="0"/>
        <w:rPr>
          <w:rFonts w:ascii="黑体" w:hAnsi="宋体" w:eastAsia="黑体"/>
          <w:bCs/>
          <w:sz w:val="24"/>
          <w:szCs w:val="24"/>
        </w:rPr>
      </w:pPr>
    </w:p>
    <w:p>
      <w:pPr>
        <w:ind w:firstLine="420" w:firstLineChars="175"/>
        <w:outlineLvl w:val="0"/>
        <w:rPr>
          <w:rFonts w:ascii="黑体" w:eastAsia="黑体"/>
          <w:bCs/>
          <w:sz w:val="28"/>
          <w:szCs w:val="28"/>
        </w:rPr>
      </w:pPr>
      <w:r>
        <w:rPr>
          <w:rFonts w:hint="eastAsia" w:ascii="黑体" w:hAnsi="宋体" w:eastAsia="黑体"/>
          <w:bCs/>
          <w:sz w:val="24"/>
          <w:szCs w:val="24"/>
        </w:rPr>
        <w:t>（九）投标偏离表（格式）：</w:t>
      </w:r>
    </w:p>
    <w:p>
      <w:pPr>
        <w:ind w:firstLine="490" w:firstLineChars="175"/>
        <w:jc w:val="center"/>
        <w:outlineLvl w:val="0"/>
        <w:rPr>
          <w:rFonts w:ascii="黑体" w:eastAsia="黑体"/>
          <w:bCs/>
          <w:sz w:val="28"/>
          <w:szCs w:val="28"/>
        </w:rPr>
      </w:pPr>
    </w:p>
    <w:p>
      <w:pPr>
        <w:ind w:firstLine="490" w:firstLineChars="175"/>
        <w:jc w:val="center"/>
        <w:outlineLvl w:val="0"/>
        <w:rPr>
          <w:rFonts w:ascii="黑体" w:eastAsia="黑体"/>
          <w:bCs/>
          <w:sz w:val="28"/>
          <w:szCs w:val="28"/>
        </w:rPr>
      </w:pPr>
    </w:p>
    <w:p>
      <w:pPr>
        <w:ind w:firstLine="490" w:firstLineChars="175"/>
        <w:jc w:val="center"/>
        <w:outlineLvl w:val="0"/>
        <w:rPr>
          <w:rFonts w:ascii="黑体" w:eastAsia="黑体"/>
          <w:bCs/>
          <w:sz w:val="28"/>
          <w:szCs w:val="28"/>
        </w:rPr>
      </w:pPr>
      <w:r>
        <w:rPr>
          <w:rFonts w:hint="eastAsia" w:ascii="黑体" w:eastAsia="黑体"/>
          <w:bCs/>
          <w:sz w:val="28"/>
          <w:szCs w:val="28"/>
        </w:rPr>
        <w:t>投标偏离表</w:t>
      </w:r>
    </w:p>
    <w:p>
      <w:pPr>
        <w:spacing w:line="400" w:lineRule="exact"/>
        <w:jc w:val="center"/>
        <w:outlineLvl w:val="0"/>
        <w:rPr>
          <w:rFonts w:ascii="黑体" w:eastAsia="黑体"/>
          <w:bCs/>
          <w:sz w:val="28"/>
          <w:szCs w:val="28"/>
        </w:rPr>
      </w:pPr>
    </w:p>
    <w:p>
      <w:pPr>
        <w:spacing w:line="400" w:lineRule="exact"/>
        <w:jc w:val="center"/>
        <w:outlineLvl w:val="0"/>
        <w:rPr>
          <w:rFonts w:ascii="黑体" w:eastAsia="黑体"/>
          <w:bCs/>
          <w:sz w:val="28"/>
          <w:szCs w:val="28"/>
        </w:rPr>
      </w:pPr>
    </w:p>
    <w:p>
      <w:pPr>
        <w:spacing w:line="400" w:lineRule="exact"/>
        <w:rPr>
          <w:rFonts w:hint="eastAsia" w:ascii="黑体" w:eastAsia="黑体"/>
          <w:bCs/>
          <w:sz w:val="24"/>
          <w:szCs w:val="24"/>
          <w:lang w:eastAsia="zh-CN"/>
        </w:rPr>
      </w:pPr>
      <w:r>
        <w:rPr>
          <w:rFonts w:hint="eastAsia" w:ascii="黑体" w:eastAsia="黑体"/>
          <w:bCs/>
          <w:sz w:val="24"/>
          <w:szCs w:val="24"/>
        </w:rPr>
        <w:t>投标人名称（盖章）                                  采购项目编号：</w:t>
      </w:r>
      <w:r>
        <w:rPr>
          <w:rFonts w:hint="eastAsia" w:ascii="黑体" w:eastAsia="黑体"/>
          <w:bCs/>
          <w:sz w:val="24"/>
          <w:szCs w:val="24"/>
          <w:lang w:eastAsia="zh-CN"/>
        </w:rPr>
        <w:t>WXXWQJC2022-013</w:t>
      </w:r>
    </w:p>
    <w:p>
      <w:pPr>
        <w:spacing w:line="400" w:lineRule="exact"/>
        <w:rPr>
          <w:rFonts w:ascii="黑体" w:eastAsia="黑体"/>
          <w:bCs/>
          <w:sz w:val="24"/>
          <w:szCs w:val="24"/>
        </w:rPr>
      </w:pPr>
    </w:p>
    <w:tbl>
      <w:tblPr>
        <w:tblStyle w:val="23"/>
        <w:tblW w:w="9885" w:type="dxa"/>
        <w:tblInd w:w="0" w:type="dxa"/>
        <w:tblLayout w:type="fixed"/>
        <w:tblCellMar>
          <w:top w:w="0" w:type="dxa"/>
          <w:left w:w="0" w:type="dxa"/>
          <w:bottom w:w="0" w:type="dxa"/>
          <w:right w:w="0" w:type="dxa"/>
        </w:tblCellMar>
      </w:tblPr>
      <w:tblGrid>
        <w:gridCol w:w="1905"/>
        <w:gridCol w:w="2835"/>
        <w:gridCol w:w="2835"/>
        <w:gridCol w:w="2310"/>
      </w:tblGrid>
      <w:tr>
        <w:tblPrEx>
          <w:tblCellMar>
            <w:top w:w="0" w:type="dxa"/>
            <w:left w:w="0" w:type="dxa"/>
            <w:bottom w:w="0" w:type="dxa"/>
            <w:right w:w="0" w:type="dxa"/>
          </w:tblCellMar>
        </w:tblPrEx>
        <w:trPr>
          <w:cantSplit/>
          <w:trHeight w:val="555"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
                <w:bCs/>
                <w:sz w:val="24"/>
                <w:szCs w:val="24"/>
              </w:rPr>
            </w:pPr>
            <w:r>
              <w:rPr>
                <w:rFonts w:hint="eastAsia" w:ascii="宋体" w:hAnsi="宋体"/>
                <w:b/>
                <w:bCs/>
                <w:sz w:val="24"/>
                <w:szCs w:val="24"/>
              </w:rPr>
              <w:t>名称</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采购要求</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实报内容</w:t>
            </w: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偏离说明</w:t>
            </w:r>
          </w:p>
        </w:tc>
      </w:tr>
      <w:tr>
        <w:tblPrEx>
          <w:tblCellMar>
            <w:top w:w="0" w:type="dxa"/>
            <w:left w:w="0" w:type="dxa"/>
            <w:bottom w:w="0" w:type="dxa"/>
            <w:right w:w="0" w:type="dxa"/>
          </w:tblCellMar>
        </w:tblPrEx>
        <w:trPr>
          <w:cantSplit/>
          <w:trHeight w:val="510"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Cs/>
              </w:rPr>
            </w:pPr>
          </w:p>
        </w:tc>
        <w:tc>
          <w:tcPr>
            <w:tcW w:w="2835" w:type="dxa"/>
            <w:tcBorders>
              <w:top w:val="single" w:color="auto" w:sz="4" w:space="0"/>
              <w:left w:val="single" w:color="auto" w:sz="4" w:space="0"/>
              <w:bottom w:val="single" w:color="auto" w:sz="4" w:space="0"/>
              <w:right w:val="single" w:color="auto" w:sz="4" w:space="0"/>
            </w:tcBorders>
            <w:vAlign w:val="center"/>
          </w:tcPr>
          <w:p>
            <w:pPr>
              <w:rPr>
                <w:rFonts w:ascii="宋体"/>
                <w:bCs/>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Cs/>
              </w:rPr>
            </w:pP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bCs/>
              </w:rPr>
            </w:pPr>
          </w:p>
        </w:tc>
      </w:tr>
    </w:tbl>
    <w:p>
      <w:pPr>
        <w:rPr>
          <w:rFonts w:ascii="宋体"/>
          <w:b/>
          <w:sz w:val="24"/>
          <w:szCs w:val="24"/>
        </w:rPr>
      </w:pPr>
    </w:p>
    <w:p>
      <w:pPr>
        <w:rPr>
          <w:b/>
          <w:bCs/>
          <w:color w:val="000000"/>
          <w:sz w:val="24"/>
          <w:szCs w:val="24"/>
        </w:rPr>
      </w:pPr>
      <w:r>
        <w:rPr>
          <w:rFonts w:hint="eastAsia"/>
          <w:b/>
          <w:bCs/>
          <w:color w:val="000000"/>
          <w:sz w:val="24"/>
          <w:szCs w:val="24"/>
        </w:rPr>
        <w:t>法定代表人或法定代表人授权代表签字或盖章：</w:t>
      </w:r>
    </w:p>
    <w:p>
      <w:pPr>
        <w:rPr>
          <w:rFonts w:ascii="宋体"/>
          <w:bCs/>
          <w:color w:val="000000"/>
          <w:sz w:val="30"/>
        </w:rPr>
      </w:pPr>
    </w:p>
    <w:p>
      <w:pPr>
        <w:ind w:firstLine="420" w:firstLineChars="175"/>
        <w:outlineLvl w:val="0"/>
        <w:rPr>
          <w:rFonts w:ascii="宋体" w:hAnsi="宋体"/>
          <w:bCs/>
          <w:color w:val="000000"/>
          <w:sz w:val="24"/>
          <w:szCs w:val="24"/>
        </w:rPr>
      </w:pPr>
      <w:r>
        <w:rPr>
          <w:rFonts w:hint="eastAsia" w:ascii="宋体" w:hAnsi="宋体"/>
          <w:bCs/>
          <w:color w:val="000000"/>
          <w:sz w:val="24"/>
          <w:szCs w:val="24"/>
        </w:rPr>
        <w:t>注：（</w:t>
      </w:r>
      <w:r>
        <w:rPr>
          <w:rFonts w:ascii="宋体" w:hAnsi="宋体"/>
          <w:bCs/>
          <w:color w:val="000000"/>
          <w:sz w:val="24"/>
          <w:szCs w:val="24"/>
        </w:rPr>
        <w:t>1</w:t>
      </w:r>
      <w:r>
        <w:rPr>
          <w:rFonts w:hint="eastAsia" w:ascii="宋体" w:hAnsi="宋体"/>
          <w:bCs/>
          <w:color w:val="000000"/>
          <w:sz w:val="24"/>
          <w:szCs w:val="24"/>
        </w:rPr>
        <w:t>）本表不得删除；</w:t>
      </w:r>
    </w:p>
    <w:p>
      <w:pPr>
        <w:ind w:firstLine="780" w:firstLineChars="325"/>
        <w:outlineLvl w:val="0"/>
        <w:rPr>
          <w:rFonts w:ascii="宋体" w:hAnsi="宋体"/>
          <w:bCs/>
          <w:color w:val="000000"/>
          <w:sz w:val="24"/>
          <w:szCs w:val="24"/>
        </w:rPr>
      </w:pPr>
      <w:r>
        <w:rPr>
          <w:rFonts w:hint="eastAsia" w:ascii="宋体" w:hAnsi="宋体"/>
          <w:bCs/>
          <w:color w:val="000000"/>
          <w:sz w:val="24"/>
          <w:szCs w:val="24"/>
        </w:rPr>
        <w:t>（</w:t>
      </w:r>
      <w:r>
        <w:rPr>
          <w:rFonts w:ascii="宋体" w:hAnsi="宋体"/>
          <w:bCs/>
          <w:color w:val="000000"/>
          <w:sz w:val="24"/>
          <w:szCs w:val="24"/>
        </w:rPr>
        <w:t>2</w:t>
      </w:r>
      <w:r>
        <w:rPr>
          <w:rFonts w:hint="eastAsia" w:ascii="宋体" w:hAnsi="宋体"/>
          <w:bCs/>
          <w:color w:val="000000"/>
          <w:sz w:val="24"/>
          <w:szCs w:val="24"/>
        </w:rPr>
        <w:t>）如无任何技术偏离，请于本表 “偏离说明”中注明“无偏离”；</w:t>
      </w:r>
    </w:p>
    <w:p>
      <w:pPr>
        <w:ind w:firstLine="420" w:firstLineChars="175"/>
        <w:outlineLvl w:val="0"/>
        <w:rPr>
          <w:rFonts w:ascii="宋体"/>
          <w:bCs/>
          <w:color w:val="000000"/>
          <w:sz w:val="24"/>
          <w:szCs w:val="24"/>
        </w:rPr>
      </w:pPr>
      <w:r>
        <w:rPr>
          <w:rFonts w:hint="eastAsia" w:ascii="宋体" w:hAnsi="宋体"/>
          <w:bCs/>
          <w:color w:val="000000"/>
          <w:sz w:val="24"/>
          <w:szCs w:val="24"/>
        </w:rPr>
        <w:t xml:space="preserve">   （3）如有技术偏离项，请于本表中列明偏离内容，如需要可自行延长，其余无偏离内容不须赘述。</w:t>
      </w:r>
    </w:p>
    <w:p>
      <w:pPr>
        <w:rPr>
          <w:rFonts w:ascii="宋体"/>
          <w:bCs/>
          <w:color w:val="000000"/>
          <w:sz w:val="30"/>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ind w:firstLine="400"/>
      </w:pPr>
    </w:p>
    <w:p>
      <w:pPr>
        <w:pStyle w:val="2"/>
        <w:ind w:firstLine="400"/>
      </w:pPr>
    </w:p>
    <w:p>
      <w:pPr>
        <w:pStyle w:val="2"/>
        <w:ind w:firstLine="400"/>
      </w:pPr>
    </w:p>
    <w:p>
      <w:pPr>
        <w:pStyle w:val="2"/>
        <w:ind w:firstLine="400"/>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pPr>
    </w:p>
    <w:p>
      <w:pPr>
        <w:pStyle w:val="2"/>
        <w:ind w:firstLine="400"/>
      </w:pPr>
    </w:p>
    <w:p>
      <w:pPr>
        <w:pStyle w:val="2"/>
        <w:ind w:firstLine="400"/>
      </w:pPr>
    </w:p>
    <w:p>
      <w:pPr>
        <w:pStyle w:val="2"/>
        <w:ind w:firstLine="400"/>
      </w:pPr>
    </w:p>
    <w:p>
      <w:pPr>
        <w:pStyle w:val="2"/>
        <w:ind w:firstLine="400"/>
      </w:pPr>
    </w:p>
    <w:p>
      <w:pPr>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（十）项目人员配置清单（格式）</w:t>
      </w:r>
    </w:p>
    <w:p>
      <w:pPr>
        <w:spacing w:line="400" w:lineRule="exact"/>
        <w:rPr>
          <w:rFonts w:ascii="黑体" w:eastAsia="黑体"/>
          <w:bCs/>
          <w:color w:val="000000"/>
          <w:sz w:val="28"/>
          <w:szCs w:val="28"/>
        </w:rPr>
      </w:pPr>
    </w:p>
    <w:p>
      <w:pPr>
        <w:spacing w:line="400" w:lineRule="exact"/>
        <w:jc w:val="center"/>
        <w:rPr>
          <w:rFonts w:ascii="黑体" w:eastAsia="黑体"/>
          <w:bCs/>
          <w:color w:val="000000"/>
          <w:sz w:val="28"/>
          <w:szCs w:val="28"/>
        </w:rPr>
      </w:pPr>
      <w:r>
        <w:rPr>
          <w:rFonts w:hint="eastAsia" w:ascii="黑体" w:eastAsia="黑体"/>
          <w:bCs/>
          <w:color w:val="000000"/>
          <w:sz w:val="28"/>
          <w:szCs w:val="28"/>
        </w:rPr>
        <w:t>项目人员配置清单</w:t>
      </w:r>
    </w:p>
    <w:p>
      <w:pPr>
        <w:spacing w:line="400" w:lineRule="exact"/>
        <w:jc w:val="center"/>
        <w:rPr>
          <w:rFonts w:ascii="黑体" w:eastAsia="黑体"/>
          <w:bCs/>
          <w:color w:val="000000"/>
          <w:sz w:val="28"/>
          <w:szCs w:val="28"/>
        </w:rPr>
      </w:pPr>
    </w:p>
    <w:p>
      <w:pPr>
        <w:ind w:firstLine="480" w:firstLineChars="200"/>
        <w:rPr>
          <w:rFonts w:hint="eastAsia" w:ascii="黑体" w:eastAsia="黑体"/>
          <w:bCs/>
          <w:sz w:val="24"/>
          <w:szCs w:val="24"/>
          <w:lang w:eastAsia="zh-CN"/>
        </w:rPr>
      </w:pPr>
      <w:r>
        <w:rPr>
          <w:rFonts w:hint="eastAsia" w:ascii="黑体" w:eastAsia="黑体"/>
          <w:bCs/>
          <w:sz w:val="24"/>
          <w:szCs w:val="24"/>
        </w:rPr>
        <w:t>投标人名称（盖章）                          采购项目编号：</w:t>
      </w:r>
      <w:r>
        <w:rPr>
          <w:rFonts w:hint="eastAsia" w:ascii="黑体" w:eastAsia="黑体"/>
          <w:bCs/>
          <w:sz w:val="24"/>
          <w:szCs w:val="24"/>
          <w:lang w:eastAsia="zh-CN"/>
        </w:rPr>
        <w:t>WXXWQJC2022-013</w:t>
      </w:r>
    </w:p>
    <w:tbl>
      <w:tblPr>
        <w:tblStyle w:val="23"/>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611"/>
        <w:gridCol w:w="720"/>
        <w:gridCol w:w="2520"/>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56" w:type="dxa"/>
            <w:vAlign w:val="center"/>
          </w:tcPr>
          <w:p>
            <w:pPr>
              <w:jc w:val="center"/>
              <w:rPr>
                <w:b/>
                <w:color w:val="000000"/>
                <w:sz w:val="24"/>
              </w:rPr>
            </w:pPr>
            <w:r>
              <w:rPr>
                <w:rFonts w:hint="eastAsia"/>
                <w:b/>
                <w:color w:val="000000"/>
                <w:sz w:val="24"/>
              </w:rPr>
              <w:t>序号</w:t>
            </w:r>
          </w:p>
        </w:tc>
        <w:tc>
          <w:tcPr>
            <w:tcW w:w="1611" w:type="dxa"/>
            <w:vAlign w:val="center"/>
          </w:tcPr>
          <w:p>
            <w:pPr>
              <w:jc w:val="center"/>
              <w:rPr>
                <w:b/>
                <w:color w:val="000000"/>
                <w:sz w:val="24"/>
              </w:rPr>
            </w:pPr>
            <w:r>
              <w:rPr>
                <w:rFonts w:hint="eastAsia"/>
                <w:b/>
                <w:color w:val="000000"/>
                <w:sz w:val="24"/>
              </w:rPr>
              <w:t>姓名</w:t>
            </w:r>
          </w:p>
        </w:tc>
        <w:tc>
          <w:tcPr>
            <w:tcW w:w="720" w:type="dxa"/>
            <w:vAlign w:val="center"/>
          </w:tcPr>
          <w:p>
            <w:pPr>
              <w:jc w:val="center"/>
              <w:rPr>
                <w:b/>
                <w:color w:val="000000"/>
                <w:sz w:val="24"/>
              </w:rPr>
            </w:pPr>
            <w:r>
              <w:rPr>
                <w:rFonts w:hint="eastAsia"/>
                <w:b/>
                <w:color w:val="000000"/>
                <w:sz w:val="24"/>
              </w:rPr>
              <w:t>年龄</w:t>
            </w:r>
          </w:p>
        </w:tc>
        <w:tc>
          <w:tcPr>
            <w:tcW w:w="2520" w:type="dxa"/>
            <w:vAlign w:val="center"/>
          </w:tcPr>
          <w:p>
            <w:pPr>
              <w:jc w:val="center"/>
              <w:rPr>
                <w:b/>
                <w:color w:val="000000"/>
                <w:sz w:val="24"/>
              </w:rPr>
            </w:pPr>
            <w:r>
              <w:rPr>
                <w:rFonts w:hint="eastAsia"/>
                <w:b/>
                <w:color w:val="000000"/>
                <w:sz w:val="24"/>
              </w:rPr>
              <w:t>本项目职责</w:t>
            </w:r>
          </w:p>
        </w:tc>
        <w:tc>
          <w:tcPr>
            <w:tcW w:w="3274" w:type="dxa"/>
            <w:vAlign w:val="center"/>
          </w:tcPr>
          <w:p>
            <w:pPr>
              <w:jc w:val="center"/>
              <w:rPr>
                <w:b/>
                <w:color w:val="000000"/>
                <w:sz w:val="24"/>
              </w:rPr>
            </w:pPr>
            <w:r>
              <w:rPr>
                <w:rFonts w:hint="eastAsia"/>
                <w:b/>
                <w:color w:val="000000"/>
                <w:sz w:val="24"/>
              </w:rPr>
              <w:t>证书名称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Pr>
          <w:p>
            <w:pPr>
              <w:outlineLvl w:val="0"/>
              <w:rPr>
                <w:rFonts w:ascii="黑体" w:eastAsia="黑体"/>
                <w:bCs/>
                <w:color w:val="000000"/>
                <w:sz w:val="24"/>
                <w:szCs w:val="24"/>
              </w:rPr>
            </w:pPr>
          </w:p>
        </w:tc>
        <w:tc>
          <w:tcPr>
            <w:tcW w:w="1611" w:type="dxa"/>
          </w:tcPr>
          <w:p>
            <w:pPr>
              <w:outlineLvl w:val="0"/>
              <w:rPr>
                <w:rFonts w:ascii="黑体" w:eastAsia="黑体"/>
                <w:bCs/>
                <w:color w:val="000000"/>
                <w:sz w:val="24"/>
                <w:szCs w:val="24"/>
              </w:rPr>
            </w:pPr>
          </w:p>
        </w:tc>
        <w:tc>
          <w:tcPr>
            <w:tcW w:w="720" w:type="dxa"/>
          </w:tcPr>
          <w:p>
            <w:pPr>
              <w:outlineLvl w:val="0"/>
              <w:rPr>
                <w:rFonts w:ascii="黑体" w:eastAsia="黑体"/>
                <w:bCs/>
                <w:color w:val="000000"/>
                <w:sz w:val="24"/>
                <w:szCs w:val="24"/>
              </w:rPr>
            </w:pPr>
          </w:p>
        </w:tc>
        <w:tc>
          <w:tcPr>
            <w:tcW w:w="2520" w:type="dxa"/>
          </w:tcPr>
          <w:p>
            <w:pPr>
              <w:jc w:val="center"/>
              <w:outlineLvl w:val="0"/>
              <w:rPr>
                <w:rFonts w:ascii="黑体" w:eastAsia="黑体"/>
                <w:bCs/>
                <w:color w:val="000000"/>
                <w:sz w:val="24"/>
                <w:szCs w:val="24"/>
              </w:rPr>
            </w:pPr>
          </w:p>
        </w:tc>
        <w:tc>
          <w:tcPr>
            <w:tcW w:w="3274" w:type="dxa"/>
          </w:tcPr>
          <w:p>
            <w:pPr>
              <w:outlineLvl w:val="0"/>
              <w:rPr>
                <w:rFonts w:ascii="黑体" w:eastAsia="黑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Pr>
          <w:p>
            <w:pPr>
              <w:outlineLvl w:val="0"/>
              <w:rPr>
                <w:rFonts w:ascii="黑体" w:eastAsia="黑体"/>
                <w:bCs/>
                <w:color w:val="000000"/>
                <w:sz w:val="24"/>
                <w:szCs w:val="24"/>
              </w:rPr>
            </w:pPr>
          </w:p>
        </w:tc>
        <w:tc>
          <w:tcPr>
            <w:tcW w:w="1611" w:type="dxa"/>
          </w:tcPr>
          <w:p>
            <w:pPr>
              <w:outlineLvl w:val="0"/>
              <w:rPr>
                <w:rFonts w:ascii="黑体" w:eastAsia="黑体"/>
                <w:bCs/>
                <w:color w:val="000000"/>
                <w:sz w:val="24"/>
                <w:szCs w:val="24"/>
              </w:rPr>
            </w:pPr>
          </w:p>
        </w:tc>
        <w:tc>
          <w:tcPr>
            <w:tcW w:w="720" w:type="dxa"/>
          </w:tcPr>
          <w:p>
            <w:pPr>
              <w:outlineLvl w:val="0"/>
              <w:rPr>
                <w:rFonts w:ascii="黑体" w:eastAsia="黑体"/>
                <w:bCs/>
                <w:color w:val="000000"/>
                <w:sz w:val="24"/>
                <w:szCs w:val="24"/>
              </w:rPr>
            </w:pPr>
          </w:p>
        </w:tc>
        <w:tc>
          <w:tcPr>
            <w:tcW w:w="2520" w:type="dxa"/>
          </w:tcPr>
          <w:p>
            <w:pPr>
              <w:jc w:val="center"/>
              <w:outlineLvl w:val="0"/>
              <w:rPr>
                <w:rFonts w:ascii="黑体" w:eastAsia="黑体"/>
                <w:bCs/>
                <w:color w:val="000000"/>
                <w:sz w:val="24"/>
                <w:szCs w:val="24"/>
              </w:rPr>
            </w:pPr>
          </w:p>
        </w:tc>
        <w:tc>
          <w:tcPr>
            <w:tcW w:w="3274" w:type="dxa"/>
          </w:tcPr>
          <w:p>
            <w:pPr>
              <w:outlineLvl w:val="0"/>
              <w:rPr>
                <w:rFonts w:ascii="黑体" w:eastAsia="黑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Pr>
          <w:p>
            <w:pPr>
              <w:outlineLvl w:val="0"/>
              <w:rPr>
                <w:rFonts w:ascii="黑体" w:eastAsia="黑体"/>
                <w:bCs/>
                <w:color w:val="000000"/>
                <w:sz w:val="24"/>
                <w:szCs w:val="24"/>
              </w:rPr>
            </w:pPr>
          </w:p>
        </w:tc>
        <w:tc>
          <w:tcPr>
            <w:tcW w:w="1611" w:type="dxa"/>
          </w:tcPr>
          <w:p>
            <w:pPr>
              <w:outlineLvl w:val="0"/>
              <w:rPr>
                <w:rFonts w:ascii="黑体" w:eastAsia="黑体"/>
                <w:bCs/>
                <w:color w:val="000000"/>
                <w:sz w:val="24"/>
                <w:szCs w:val="24"/>
              </w:rPr>
            </w:pPr>
          </w:p>
        </w:tc>
        <w:tc>
          <w:tcPr>
            <w:tcW w:w="720" w:type="dxa"/>
          </w:tcPr>
          <w:p>
            <w:pPr>
              <w:outlineLvl w:val="0"/>
              <w:rPr>
                <w:rFonts w:ascii="黑体" w:eastAsia="黑体"/>
                <w:bCs/>
                <w:color w:val="000000"/>
                <w:sz w:val="24"/>
                <w:szCs w:val="24"/>
              </w:rPr>
            </w:pPr>
          </w:p>
        </w:tc>
        <w:tc>
          <w:tcPr>
            <w:tcW w:w="2520" w:type="dxa"/>
          </w:tcPr>
          <w:p>
            <w:pPr>
              <w:outlineLvl w:val="0"/>
              <w:rPr>
                <w:rFonts w:ascii="黑体" w:eastAsia="黑体"/>
                <w:bCs/>
                <w:color w:val="000000"/>
                <w:sz w:val="24"/>
                <w:szCs w:val="24"/>
              </w:rPr>
            </w:pPr>
          </w:p>
          <w:p>
            <w:pPr>
              <w:jc w:val="center"/>
              <w:rPr>
                <w:rFonts w:ascii="黑体" w:eastAsia="黑体"/>
                <w:sz w:val="24"/>
                <w:szCs w:val="24"/>
              </w:rPr>
            </w:pPr>
          </w:p>
        </w:tc>
        <w:tc>
          <w:tcPr>
            <w:tcW w:w="3274" w:type="dxa"/>
          </w:tcPr>
          <w:p>
            <w:pPr>
              <w:outlineLvl w:val="0"/>
              <w:rPr>
                <w:rFonts w:ascii="黑体" w:eastAsia="黑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Pr>
          <w:p>
            <w:pPr>
              <w:outlineLvl w:val="0"/>
              <w:rPr>
                <w:rFonts w:ascii="黑体" w:eastAsia="黑体"/>
                <w:bCs/>
                <w:color w:val="000000"/>
                <w:sz w:val="24"/>
                <w:szCs w:val="24"/>
              </w:rPr>
            </w:pPr>
          </w:p>
        </w:tc>
        <w:tc>
          <w:tcPr>
            <w:tcW w:w="1611" w:type="dxa"/>
          </w:tcPr>
          <w:p>
            <w:pPr>
              <w:outlineLvl w:val="0"/>
              <w:rPr>
                <w:rFonts w:ascii="黑体" w:eastAsia="黑体"/>
                <w:bCs/>
                <w:color w:val="000000"/>
                <w:sz w:val="24"/>
                <w:szCs w:val="24"/>
              </w:rPr>
            </w:pPr>
          </w:p>
        </w:tc>
        <w:tc>
          <w:tcPr>
            <w:tcW w:w="720" w:type="dxa"/>
          </w:tcPr>
          <w:p>
            <w:pPr>
              <w:outlineLvl w:val="0"/>
              <w:rPr>
                <w:rFonts w:ascii="黑体" w:eastAsia="黑体"/>
                <w:bCs/>
                <w:color w:val="000000"/>
                <w:sz w:val="24"/>
                <w:szCs w:val="24"/>
              </w:rPr>
            </w:pPr>
          </w:p>
        </w:tc>
        <w:tc>
          <w:tcPr>
            <w:tcW w:w="2520" w:type="dxa"/>
          </w:tcPr>
          <w:p>
            <w:pPr>
              <w:outlineLvl w:val="0"/>
              <w:rPr>
                <w:rFonts w:ascii="黑体" w:eastAsia="黑体"/>
                <w:bCs/>
                <w:color w:val="000000"/>
                <w:sz w:val="24"/>
                <w:szCs w:val="24"/>
              </w:rPr>
            </w:pPr>
          </w:p>
        </w:tc>
        <w:tc>
          <w:tcPr>
            <w:tcW w:w="3274" w:type="dxa"/>
          </w:tcPr>
          <w:p>
            <w:pPr>
              <w:outlineLvl w:val="0"/>
              <w:rPr>
                <w:rFonts w:ascii="黑体" w:eastAsia="黑体"/>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6" w:type="dxa"/>
          </w:tcPr>
          <w:p>
            <w:pPr>
              <w:outlineLvl w:val="0"/>
              <w:rPr>
                <w:rFonts w:ascii="黑体" w:eastAsia="黑体"/>
                <w:bCs/>
                <w:color w:val="000000"/>
                <w:sz w:val="24"/>
                <w:szCs w:val="24"/>
              </w:rPr>
            </w:pPr>
          </w:p>
        </w:tc>
        <w:tc>
          <w:tcPr>
            <w:tcW w:w="1611" w:type="dxa"/>
          </w:tcPr>
          <w:p>
            <w:pPr>
              <w:outlineLvl w:val="0"/>
              <w:rPr>
                <w:rFonts w:ascii="黑体" w:eastAsia="黑体"/>
                <w:bCs/>
                <w:color w:val="000000"/>
                <w:sz w:val="24"/>
                <w:szCs w:val="24"/>
              </w:rPr>
            </w:pPr>
          </w:p>
        </w:tc>
        <w:tc>
          <w:tcPr>
            <w:tcW w:w="720" w:type="dxa"/>
          </w:tcPr>
          <w:p>
            <w:pPr>
              <w:outlineLvl w:val="0"/>
              <w:rPr>
                <w:rFonts w:ascii="黑体" w:eastAsia="黑体"/>
                <w:bCs/>
                <w:color w:val="000000"/>
                <w:sz w:val="24"/>
                <w:szCs w:val="24"/>
              </w:rPr>
            </w:pPr>
          </w:p>
        </w:tc>
        <w:tc>
          <w:tcPr>
            <w:tcW w:w="2520" w:type="dxa"/>
          </w:tcPr>
          <w:p>
            <w:pPr>
              <w:outlineLvl w:val="0"/>
              <w:rPr>
                <w:rFonts w:ascii="黑体" w:eastAsia="黑体"/>
                <w:bCs/>
                <w:color w:val="000000"/>
                <w:sz w:val="24"/>
                <w:szCs w:val="24"/>
              </w:rPr>
            </w:pPr>
          </w:p>
        </w:tc>
        <w:tc>
          <w:tcPr>
            <w:tcW w:w="3274" w:type="dxa"/>
          </w:tcPr>
          <w:p>
            <w:pPr>
              <w:outlineLvl w:val="0"/>
              <w:rPr>
                <w:rFonts w:ascii="黑体" w:eastAsia="黑体"/>
                <w:bCs/>
                <w:color w:val="000000"/>
                <w:sz w:val="24"/>
                <w:szCs w:val="24"/>
              </w:rPr>
            </w:pPr>
          </w:p>
        </w:tc>
      </w:tr>
    </w:tbl>
    <w:p>
      <w:pPr>
        <w:rPr>
          <w:b/>
          <w:bCs/>
          <w:sz w:val="24"/>
          <w:szCs w:val="24"/>
        </w:rPr>
      </w:pPr>
      <w:r>
        <w:rPr>
          <w:rFonts w:hint="eastAsia"/>
          <w:b/>
          <w:bCs/>
          <w:sz w:val="24"/>
          <w:szCs w:val="24"/>
        </w:rPr>
        <w:t>法定代表人或法定代表人授权代表签字或盖章：</w:t>
      </w:r>
    </w:p>
    <w:p>
      <w:pPr>
        <w:rPr>
          <w:rFonts w:ascii="宋体" w:hAnsi="宋体"/>
          <w:bCs/>
          <w:szCs w:val="21"/>
        </w:rPr>
      </w:pPr>
      <w:r>
        <w:rPr>
          <w:rFonts w:hint="eastAsia" w:ascii="宋体" w:hAnsi="宋体"/>
          <w:bCs/>
          <w:szCs w:val="21"/>
        </w:rPr>
        <w:t>注：1. 表格不够可自行延长。</w:t>
      </w:r>
    </w:p>
    <w:p>
      <w:pPr>
        <w:ind w:firstLine="420" w:firstLineChars="200"/>
      </w:pPr>
      <w:r>
        <w:rPr>
          <w:rFonts w:hint="eastAsia" w:ascii="宋体" w:hAnsi="宋体"/>
          <w:bCs/>
          <w:szCs w:val="21"/>
        </w:rPr>
        <w:t>2.上表内容须提供连续三个月(至少包含近三个月中任意一个月份(不含投标当月))经社保部门确认的社保缴纳名单复印件（标注各人员所处位置）和相关证书复印件作为填列证明材料，证明材料请附在本表之后。</w:t>
      </w:r>
    </w:p>
    <w:p>
      <w:pPr>
        <w:spacing w:line="480" w:lineRule="auto"/>
        <w:rPr>
          <w:rFonts w:ascii="宋体"/>
          <w:bCs/>
          <w:color w:val="000000"/>
          <w:sz w:val="24"/>
          <w:szCs w:val="24"/>
        </w:rPr>
      </w:pPr>
    </w:p>
    <w:sectPr>
      <w:pgSz w:w="11906" w:h="16838"/>
      <w:pgMar w:top="567" w:right="851" w:bottom="567" w:left="1134" w:header="624" w:footer="907"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7"/>
      </w:rPr>
    </w:pPr>
    <w:r>
      <w:fldChar w:fldCharType="begin"/>
    </w:r>
    <w:r>
      <w:rPr>
        <w:rStyle w:val="27"/>
      </w:rPr>
      <w:instrText xml:space="preserve">PAGE  </w:instrText>
    </w:r>
    <w:r>
      <w:fldChar w:fldCharType="separate"/>
    </w:r>
    <w:r>
      <w:rPr>
        <w:rStyle w:val="27"/>
      </w:rPr>
      <w:t>1</w: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960"/>
        <w:tab w:val="clear" w:pos="4153"/>
      </w:tabs>
      <w:rPr>
        <w:rFonts w:hint="default"/>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960"/>
        <w:tab w:val="clear" w:pos="4153"/>
      </w:tabs>
      <w:rPr>
        <w:rFonts w:hint="default"/>
        <w:lang w:val="en-US"/>
      </w:rPr>
    </w:pPr>
    <w:r>
      <w:rPr>
        <w:sz w:val="18"/>
      </w:rP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both"/>
      <w:rPr>
        <w:rFonts w:ascii="华文新魏" w:hAnsi="华文中宋" w:eastAsia="华文新魏"/>
        <w:sz w:val="21"/>
      </w:rPr>
    </w:pPr>
    <w:r>
      <w:rPr>
        <w:rFonts w:hint="eastAsia" w:ascii="华文新魏" w:hAnsi="华文中宋" w:eastAsia="华文新魏"/>
        <w:sz w:val="21"/>
      </w:rPr>
      <w:t>WXXWQJC202</w:t>
    </w:r>
    <w:r>
      <w:rPr>
        <w:rFonts w:hint="eastAsia" w:ascii="华文新魏" w:hAnsi="华文中宋" w:eastAsia="华文新魏"/>
        <w:sz w:val="21"/>
        <w:lang w:val="en-US" w:eastAsia="zh-CN"/>
      </w:rPr>
      <w:t>2</w:t>
    </w:r>
    <w:r>
      <w:rPr>
        <w:rFonts w:hint="eastAsia" w:ascii="华文新魏" w:hAnsi="华文中宋" w:eastAsia="华文新魏"/>
        <w:sz w:val="21"/>
      </w:rPr>
      <w:t>-</w:t>
    </w:r>
    <w:r>
      <w:rPr>
        <w:rFonts w:hint="eastAsia" w:ascii="华文新魏" w:hAnsi="华文中宋" w:eastAsia="华文新魏"/>
        <w:sz w:val="21"/>
        <w:lang w:val="en-US" w:eastAsia="zh-CN"/>
      </w:rPr>
      <w:t>013</w:t>
    </w:r>
    <w:r>
      <w:rPr>
        <w:rFonts w:hint="eastAsia" w:ascii="华文新魏" w:hAnsi="华文中宋" w:eastAsia="华文新魏"/>
        <w:sz w:val="21"/>
      </w:rPr>
      <w:t xml:space="preserve">  </w:t>
    </w:r>
    <w:r>
      <w:rPr>
        <w:rFonts w:hint="eastAsia" w:ascii="华文新魏" w:hAnsi="华文中宋" w:eastAsia="华文新魏"/>
        <w:sz w:val="21"/>
        <w:lang w:val="en-US" w:eastAsia="zh-CN"/>
      </w:rPr>
      <w:t>无锡市新吴实验中学新校家具采购</w:t>
    </w:r>
    <w:r>
      <w:rPr>
        <w:rFonts w:hint="eastAsia" w:ascii="华文新魏" w:hAnsi="华文中宋" w:eastAsia="华文新魏"/>
        <w:sz w:val="21"/>
      </w:rPr>
      <w:t xml:space="preserve">         </w:t>
    </w:r>
    <w:r>
      <w:rPr>
        <w:rFonts w:hint="eastAsia" w:eastAsia="华文新魏"/>
        <w:sz w:val="21"/>
      </w:rPr>
      <w:t>无锡市公共资源交易中心新吴分中心</w:t>
    </w:r>
    <w:r>
      <w:rPr>
        <w:rFonts w:hint="eastAsia" w:ascii="华文新魏" w:hAnsi="华文中宋" w:eastAsia="华文新魏"/>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A1B7A3"/>
    <w:multiLevelType w:val="singleLevel"/>
    <w:tmpl w:val="03A1B7A3"/>
    <w:lvl w:ilvl="0" w:tentative="0">
      <w:start w:val="1"/>
      <w:numFmt w:val="decimal"/>
      <w:suff w:val="space"/>
      <w:lvlText w:val="%1."/>
      <w:lvlJc w:val="left"/>
    </w:lvl>
  </w:abstractNum>
  <w:abstractNum w:abstractNumId="1">
    <w:nsid w:val="33713120"/>
    <w:multiLevelType w:val="singleLevel"/>
    <w:tmpl w:val="33713120"/>
    <w:lvl w:ilvl="0" w:tentative="0">
      <w:start w:val="1"/>
      <w:numFmt w:val="decimal"/>
      <w:lvlText w:val="%1."/>
      <w:lvlJc w:val="left"/>
      <w:pPr>
        <w:tabs>
          <w:tab w:val="left" w:pos="210"/>
        </w:tabs>
        <w:ind w:left="210" w:hanging="210"/>
      </w:pPr>
      <w:rPr>
        <w:rFonts w:hint="default" w:ascii="Times New Roman" w:cs="Times New Roman"/>
      </w:rPr>
    </w:lvl>
  </w:abstractNum>
  <w:abstractNum w:abstractNumId="2">
    <w:nsid w:val="3A645A4A"/>
    <w:multiLevelType w:val="multilevel"/>
    <w:tmpl w:val="3A645A4A"/>
    <w:lvl w:ilvl="0" w:tentative="0">
      <w:start w:val="4"/>
      <w:numFmt w:val="decimal"/>
      <w:lvlText w:val="（%1）"/>
      <w:lvlJc w:val="left"/>
      <w:pPr>
        <w:ind w:left="961" w:hanging="720"/>
      </w:pPr>
      <w:rPr>
        <w:rFonts w:hint="default"/>
        <w:b/>
      </w:rPr>
    </w:lvl>
    <w:lvl w:ilvl="1" w:tentative="0">
      <w:start w:val="1"/>
      <w:numFmt w:val="decimalEnclosedCircle"/>
      <w:lvlText w:val="%2"/>
      <w:lvlJc w:val="left"/>
      <w:pPr>
        <w:ind w:left="1021" w:hanging="360"/>
      </w:pPr>
      <w:rPr>
        <w:rFonts w:hint="default"/>
      </w:rPr>
    </w:lvl>
    <w:lvl w:ilvl="2" w:tentative="0">
      <w:start w:val="1"/>
      <w:numFmt w:val="lowerRoman"/>
      <w:lvlText w:val="%3."/>
      <w:lvlJc w:val="right"/>
      <w:pPr>
        <w:ind w:left="1501" w:hanging="420"/>
      </w:pPr>
    </w:lvl>
    <w:lvl w:ilvl="3" w:tentative="0">
      <w:start w:val="1"/>
      <w:numFmt w:val="decimal"/>
      <w:lvlText w:val="%4."/>
      <w:lvlJc w:val="left"/>
      <w:pPr>
        <w:ind w:left="1921" w:hanging="420"/>
      </w:pPr>
    </w:lvl>
    <w:lvl w:ilvl="4" w:tentative="0">
      <w:start w:val="1"/>
      <w:numFmt w:val="lowerLetter"/>
      <w:lvlText w:val="%5)"/>
      <w:lvlJc w:val="left"/>
      <w:pPr>
        <w:ind w:left="2341" w:hanging="420"/>
      </w:pPr>
    </w:lvl>
    <w:lvl w:ilvl="5" w:tentative="0">
      <w:start w:val="1"/>
      <w:numFmt w:val="lowerRoman"/>
      <w:lvlText w:val="%6."/>
      <w:lvlJc w:val="right"/>
      <w:pPr>
        <w:ind w:left="2761" w:hanging="420"/>
      </w:pPr>
    </w:lvl>
    <w:lvl w:ilvl="6" w:tentative="0">
      <w:start w:val="1"/>
      <w:numFmt w:val="decimal"/>
      <w:lvlText w:val="%7."/>
      <w:lvlJc w:val="left"/>
      <w:pPr>
        <w:ind w:left="3181" w:hanging="420"/>
      </w:pPr>
    </w:lvl>
    <w:lvl w:ilvl="7" w:tentative="0">
      <w:start w:val="1"/>
      <w:numFmt w:val="lowerLetter"/>
      <w:lvlText w:val="%8)"/>
      <w:lvlJc w:val="left"/>
      <w:pPr>
        <w:ind w:left="3601" w:hanging="420"/>
      </w:pPr>
    </w:lvl>
    <w:lvl w:ilvl="8" w:tentative="0">
      <w:start w:val="1"/>
      <w:numFmt w:val="lowerRoman"/>
      <w:lvlText w:val="%9."/>
      <w:lvlJc w:val="right"/>
      <w:pPr>
        <w:ind w:left="4021" w:hanging="420"/>
      </w:pPr>
    </w:lvl>
  </w:abstractNum>
  <w:abstractNum w:abstractNumId="3">
    <w:nsid w:val="3EC72376"/>
    <w:multiLevelType w:val="multilevel"/>
    <w:tmpl w:val="3EC72376"/>
    <w:lvl w:ilvl="0" w:tentative="0">
      <w:start w:val="8"/>
      <w:numFmt w:val="japaneseCounting"/>
      <w:lvlText w:val="（%1）"/>
      <w:lvlJc w:val="left"/>
      <w:pPr>
        <w:ind w:left="1239" w:hanging="720"/>
      </w:pPr>
      <w:rPr>
        <w:rFonts w:hint="default" w:hAnsi="宋体"/>
      </w:rPr>
    </w:lvl>
    <w:lvl w:ilvl="1" w:tentative="0">
      <w:start w:val="1"/>
      <w:numFmt w:val="lowerLetter"/>
      <w:lvlText w:val="%2)"/>
      <w:lvlJc w:val="left"/>
      <w:pPr>
        <w:ind w:left="1359" w:hanging="420"/>
      </w:pPr>
    </w:lvl>
    <w:lvl w:ilvl="2" w:tentative="0">
      <w:start w:val="1"/>
      <w:numFmt w:val="lowerRoman"/>
      <w:lvlText w:val="%3."/>
      <w:lvlJc w:val="right"/>
      <w:pPr>
        <w:ind w:left="1779" w:hanging="420"/>
      </w:pPr>
    </w:lvl>
    <w:lvl w:ilvl="3" w:tentative="0">
      <w:start w:val="1"/>
      <w:numFmt w:val="decimal"/>
      <w:lvlText w:val="%4."/>
      <w:lvlJc w:val="left"/>
      <w:pPr>
        <w:ind w:left="2199" w:hanging="420"/>
      </w:pPr>
    </w:lvl>
    <w:lvl w:ilvl="4" w:tentative="0">
      <w:start w:val="1"/>
      <w:numFmt w:val="lowerLetter"/>
      <w:lvlText w:val="%5)"/>
      <w:lvlJc w:val="left"/>
      <w:pPr>
        <w:ind w:left="2619" w:hanging="420"/>
      </w:pPr>
    </w:lvl>
    <w:lvl w:ilvl="5" w:tentative="0">
      <w:start w:val="1"/>
      <w:numFmt w:val="lowerRoman"/>
      <w:lvlText w:val="%6."/>
      <w:lvlJc w:val="right"/>
      <w:pPr>
        <w:ind w:left="3039" w:hanging="420"/>
      </w:pPr>
    </w:lvl>
    <w:lvl w:ilvl="6" w:tentative="0">
      <w:start w:val="1"/>
      <w:numFmt w:val="decimal"/>
      <w:lvlText w:val="%7."/>
      <w:lvlJc w:val="left"/>
      <w:pPr>
        <w:ind w:left="3459" w:hanging="420"/>
      </w:pPr>
    </w:lvl>
    <w:lvl w:ilvl="7" w:tentative="0">
      <w:start w:val="1"/>
      <w:numFmt w:val="lowerLetter"/>
      <w:lvlText w:val="%8)"/>
      <w:lvlJc w:val="left"/>
      <w:pPr>
        <w:ind w:left="3879" w:hanging="420"/>
      </w:pPr>
    </w:lvl>
    <w:lvl w:ilvl="8" w:tentative="0">
      <w:start w:val="1"/>
      <w:numFmt w:val="lowerRoman"/>
      <w:lvlText w:val="%9."/>
      <w:lvlJc w:val="right"/>
      <w:pPr>
        <w:ind w:left="4299" w:hanging="420"/>
      </w:pPr>
    </w:lvl>
  </w:abstractNum>
  <w:abstractNum w:abstractNumId="4">
    <w:nsid w:val="5FA197C7"/>
    <w:multiLevelType w:val="singleLevel"/>
    <w:tmpl w:val="5FA197C7"/>
    <w:lvl w:ilvl="0" w:tentative="0">
      <w:start w:val="1"/>
      <w:numFmt w:val="chineseCounting"/>
      <w:suff w:val="nothing"/>
      <w:lvlText w:val="（%1）"/>
      <w:lvlJc w:val="left"/>
      <w:rPr>
        <w:rFonts w:hint="eastAsia"/>
      </w:rPr>
    </w:lvl>
  </w:abstractNum>
  <w:abstractNum w:abstractNumId="5">
    <w:nsid w:val="64607A38"/>
    <w:multiLevelType w:val="multilevel"/>
    <w:tmpl w:val="64607A38"/>
    <w:lvl w:ilvl="0" w:tentative="0">
      <w:start w:val="1"/>
      <w:numFmt w:val="japaneseCounting"/>
      <w:lvlText w:val="%1、"/>
      <w:lvlJc w:val="left"/>
      <w:pPr>
        <w:tabs>
          <w:tab w:val="left" w:pos="846"/>
        </w:tabs>
        <w:ind w:left="846" w:hanging="420"/>
      </w:pPr>
      <w:rPr>
        <w:rFonts w:ascii="Times New Roman" w:hAnsi="Times New Roman" w:eastAsia="Times New Roman"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0"/>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666030AB"/>
    <w:multiLevelType w:val="multilevel"/>
    <w:tmpl w:val="666030AB"/>
    <w:lvl w:ilvl="0" w:tentative="0">
      <w:start w:val="1"/>
      <w:numFmt w:val="decimal"/>
      <w:lvlText w:val="（%1）"/>
      <w:lvlJc w:val="left"/>
      <w:pPr>
        <w:tabs>
          <w:tab w:val="left" w:pos="1710"/>
        </w:tabs>
        <w:ind w:left="1710" w:hanging="720"/>
      </w:pPr>
      <w:rPr>
        <w:rFonts w:hint="eastAsia" w:cs="Times New Roman"/>
      </w:rPr>
    </w:lvl>
    <w:lvl w:ilvl="1" w:tentative="0">
      <w:start w:val="2"/>
      <w:numFmt w:val="decimal"/>
      <w:lvlText w:val="%2."/>
      <w:lvlJc w:val="left"/>
      <w:pPr>
        <w:tabs>
          <w:tab w:val="left" w:pos="1770"/>
        </w:tabs>
        <w:ind w:left="1770" w:hanging="360"/>
      </w:pPr>
      <w:rPr>
        <w:rFonts w:hint="default" w:cs="Times New Roman"/>
      </w:rPr>
    </w:lvl>
    <w:lvl w:ilvl="2" w:tentative="0">
      <w:start w:val="1"/>
      <w:numFmt w:val="lowerRoman"/>
      <w:lvlText w:val="%3."/>
      <w:lvlJc w:val="right"/>
      <w:pPr>
        <w:tabs>
          <w:tab w:val="left" w:pos="2250"/>
        </w:tabs>
        <w:ind w:left="2250" w:hanging="420"/>
      </w:pPr>
      <w:rPr>
        <w:rFonts w:cs="Times New Roman"/>
      </w:rPr>
    </w:lvl>
    <w:lvl w:ilvl="3" w:tentative="0">
      <w:start w:val="1"/>
      <w:numFmt w:val="decimal"/>
      <w:lvlText w:val="%4."/>
      <w:lvlJc w:val="left"/>
      <w:pPr>
        <w:tabs>
          <w:tab w:val="left" w:pos="2670"/>
        </w:tabs>
        <w:ind w:left="2670" w:hanging="420"/>
      </w:pPr>
      <w:rPr>
        <w:rFonts w:cs="Times New Roman"/>
      </w:rPr>
    </w:lvl>
    <w:lvl w:ilvl="4" w:tentative="0">
      <w:start w:val="1"/>
      <w:numFmt w:val="lowerLetter"/>
      <w:lvlText w:val="%5)"/>
      <w:lvlJc w:val="left"/>
      <w:pPr>
        <w:tabs>
          <w:tab w:val="left" w:pos="3090"/>
        </w:tabs>
        <w:ind w:left="3090" w:hanging="420"/>
      </w:pPr>
      <w:rPr>
        <w:rFonts w:cs="Times New Roman"/>
      </w:rPr>
    </w:lvl>
    <w:lvl w:ilvl="5" w:tentative="0">
      <w:start w:val="1"/>
      <w:numFmt w:val="lowerRoman"/>
      <w:lvlText w:val="%6."/>
      <w:lvlJc w:val="right"/>
      <w:pPr>
        <w:tabs>
          <w:tab w:val="left" w:pos="3510"/>
        </w:tabs>
        <w:ind w:left="3510" w:hanging="420"/>
      </w:pPr>
      <w:rPr>
        <w:rFonts w:cs="Times New Roman"/>
      </w:rPr>
    </w:lvl>
    <w:lvl w:ilvl="6" w:tentative="0">
      <w:start w:val="1"/>
      <w:numFmt w:val="decimal"/>
      <w:lvlText w:val="%7."/>
      <w:lvlJc w:val="left"/>
      <w:pPr>
        <w:tabs>
          <w:tab w:val="left" w:pos="3930"/>
        </w:tabs>
        <w:ind w:left="3930" w:hanging="420"/>
      </w:pPr>
      <w:rPr>
        <w:rFonts w:cs="Times New Roman"/>
      </w:rPr>
    </w:lvl>
    <w:lvl w:ilvl="7" w:tentative="0">
      <w:start w:val="1"/>
      <w:numFmt w:val="lowerLetter"/>
      <w:lvlText w:val="%8)"/>
      <w:lvlJc w:val="left"/>
      <w:pPr>
        <w:tabs>
          <w:tab w:val="left" w:pos="4350"/>
        </w:tabs>
        <w:ind w:left="4350" w:hanging="420"/>
      </w:pPr>
      <w:rPr>
        <w:rFonts w:cs="Times New Roman"/>
      </w:rPr>
    </w:lvl>
    <w:lvl w:ilvl="8" w:tentative="0">
      <w:start w:val="1"/>
      <w:numFmt w:val="lowerRoman"/>
      <w:lvlText w:val="%9."/>
      <w:lvlJc w:val="right"/>
      <w:pPr>
        <w:tabs>
          <w:tab w:val="left" w:pos="4770"/>
        </w:tabs>
        <w:ind w:left="4770" w:hanging="420"/>
      </w:pPr>
      <w:rPr>
        <w:rFonts w:cs="Times New Roman"/>
      </w:rPr>
    </w:lvl>
  </w:abstractNum>
  <w:abstractNum w:abstractNumId="7">
    <w:nsid w:val="691E62C6"/>
    <w:multiLevelType w:val="multilevel"/>
    <w:tmpl w:val="691E62C6"/>
    <w:lvl w:ilvl="0" w:tentative="0">
      <w:start w:val="2"/>
      <w:numFmt w:val="japaneseCounting"/>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num w:numId="1">
    <w:abstractNumId w:val="7"/>
  </w:num>
  <w:num w:numId="2">
    <w:abstractNumId w:val="4"/>
  </w:num>
  <w:num w:numId="3">
    <w:abstractNumId w:val="0"/>
  </w:num>
  <w:num w:numId="4">
    <w:abstractNumId w:val="6"/>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2"/>
  </w:compat>
  <w:rsids>
    <w:rsidRoot w:val="004F7E7C"/>
    <w:rsid w:val="00000246"/>
    <w:rsid w:val="0000147A"/>
    <w:rsid w:val="00001D91"/>
    <w:rsid w:val="000025FD"/>
    <w:rsid w:val="0000630B"/>
    <w:rsid w:val="0001062E"/>
    <w:rsid w:val="000109A3"/>
    <w:rsid w:val="0001120F"/>
    <w:rsid w:val="000114F5"/>
    <w:rsid w:val="0001198A"/>
    <w:rsid w:val="00015719"/>
    <w:rsid w:val="00016B3F"/>
    <w:rsid w:val="00017BE8"/>
    <w:rsid w:val="00017E5F"/>
    <w:rsid w:val="0002028A"/>
    <w:rsid w:val="000208FE"/>
    <w:rsid w:val="00020AA6"/>
    <w:rsid w:val="00021B38"/>
    <w:rsid w:val="00021C55"/>
    <w:rsid w:val="00021D3D"/>
    <w:rsid w:val="0002482E"/>
    <w:rsid w:val="0002495A"/>
    <w:rsid w:val="000273DF"/>
    <w:rsid w:val="00030370"/>
    <w:rsid w:val="0003150D"/>
    <w:rsid w:val="00033B04"/>
    <w:rsid w:val="00034340"/>
    <w:rsid w:val="00035F23"/>
    <w:rsid w:val="00036986"/>
    <w:rsid w:val="00037074"/>
    <w:rsid w:val="00037E14"/>
    <w:rsid w:val="0004115C"/>
    <w:rsid w:val="0004138A"/>
    <w:rsid w:val="000415CD"/>
    <w:rsid w:val="00042C0C"/>
    <w:rsid w:val="00042DB2"/>
    <w:rsid w:val="000433BF"/>
    <w:rsid w:val="00043493"/>
    <w:rsid w:val="00044F01"/>
    <w:rsid w:val="00046FBF"/>
    <w:rsid w:val="00047103"/>
    <w:rsid w:val="000478D6"/>
    <w:rsid w:val="000501C8"/>
    <w:rsid w:val="000508F5"/>
    <w:rsid w:val="00052D27"/>
    <w:rsid w:val="00053B23"/>
    <w:rsid w:val="00055172"/>
    <w:rsid w:val="000561D6"/>
    <w:rsid w:val="00056FF7"/>
    <w:rsid w:val="00057B7C"/>
    <w:rsid w:val="000608B0"/>
    <w:rsid w:val="000622E4"/>
    <w:rsid w:val="000628EE"/>
    <w:rsid w:val="0006450D"/>
    <w:rsid w:val="000659F4"/>
    <w:rsid w:val="000675AF"/>
    <w:rsid w:val="00067E9F"/>
    <w:rsid w:val="0007120B"/>
    <w:rsid w:val="0007339C"/>
    <w:rsid w:val="000734BB"/>
    <w:rsid w:val="00073CA0"/>
    <w:rsid w:val="00074F3C"/>
    <w:rsid w:val="00075491"/>
    <w:rsid w:val="000759A3"/>
    <w:rsid w:val="000763A3"/>
    <w:rsid w:val="00076BD2"/>
    <w:rsid w:val="00082FEF"/>
    <w:rsid w:val="0008355D"/>
    <w:rsid w:val="00083932"/>
    <w:rsid w:val="00083FE1"/>
    <w:rsid w:val="0008519B"/>
    <w:rsid w:val="00085876"/>
    <w:rsid w:val="000862EE"/>
    <w:rsid w:val="0008664E"/>
    <w:rsid w:val="00087E7B"/>
    <w:rsid w:val="000901F2"/>
    <w:rsid w:val="0009023A"/>
    <w:rsid w:val="000903B2"/>
    <w:rsid w:val="00094C22"/>
    <w:rsid w:val="0009595E"/>
    <w:rsid w:val="000A0304"/>
    <w:rsid w:val="000A0558"/>
    <w:rsid w:val="000A0F85"/>
    <w:rsid w:val="000A10E2"/>
    <w:rsid w:val="000A1660"/>
    <w:rsid w:val="000A1817"/>
    <w:rsid w:val="000A4837"/>
    <w:rsid w:val="000A54CD"/>
    <w:rsid w:val="000A720C"/>
    <w:rsid w:val="000B1DF3"/>
    <w:rsid w:val="000B3FDC"/>
    <w:rsid w:val="000B5F16"/>
    <w:rsid w:val="000B67A4"/>
    <w:rsid w:val="000C052C"/>
    <w:rsid w:val="000C074F"/>
    <w:rsid w:val="000C4085"/>
    <w:rsid w:val="000C5496"/>
    <w:rsid w:val="000D0BC6"/>
    <w:rsid w:val="000D15A8"/>
    <w:rsid w:val="000D2FE0"/>
    <w:rsid w:val="000D3C7B"/>
    <w:rsid w:val="000D3F2B"/>
    <w:rsid w:val="000D41B9"/>
    <w:rsid w:val="000D450D"/>
    <w:rsid w:val="000D547B"/>
    <w:rsid w:val="000D55F6"/>
    <w:rsid w:val="000D71CB"/>
    <w:rsid w:val="000E0F29"/>
    <w:rsid w:val="000E127E"/>
    <w:rsid w:val="000E29FB"/>
    <w:rsid w:val="000E57EB"/>
    <w:rsid w:val="000E7D8B"/>
    <w:rsid w:val="000E7E84"/>
    <w:rsid w:val="000F0B78"/>
    <w:rsid w:val="000F16DF"/>
    <w:rsid w:val="000F1B4D"/>
    <w:rsid w:val="000F2025"/>
    <w:rsid w:val="000F2375"/>
    <w:rsid w:val="000F520D"/>
    <w:rsid w:val="000F5692"/>
    <w:rsid w:val="000F6A18"/>
    <w:rsid w:val="000F71F0"/>
    <w:rsid w:val="000F73AC"/>
    <w:rsid w:val="00100E48"/>
    <w:rsid w:val="00101CE7"/>
    <w:rsid w:val="00101F3F"/>
    <w:rsid w:val="00101FF8"/>
    <w:rsid w:val="00103EC7"/>
    <w:rsid w:val="001055CE"/>
    <w:rsid w:val="00107877"/>
    <w:rsid w:val="00110500"/>
    <w:rsid w:val="00110CB5"/>
    <w:rsid w:val="001114B4"/>
    <w:rsid w:val="001114FF"/>
    <w:rsid w:val="001134ED"/>
    <w:rsid w:val="001140DE"/>
    <w:rsid w:val="00115415"/>
    <w:rsid w:val="001157CA"/>
    <w:rsid w:val="0011597E"/>
    <w:rsid w:val="00115ACD"/>
    <w:rsid w:val="00115D18"/>
    <w:rsid w:val="00116412"/>
    <w:rsid w:val="00116A8C"/>
    <w:rsid w:val="00120A0A"/>
    <w:rsid w:val="0012114A"/>
    <w:rsid w:val="001216AB"/>
    <w:rsid w:val="001220ED"/>
    <w:rsid w:val="001223E2"/>
    <w:rsid w:val="001226B7"/>
    <w:rsid w:val="001249B8"/>
    <w:rsid w:val="001249E7"/>
    <w:rsid w:val="0012542C"/>
    <w:rsid w:val="0012629F"/>
    <w:rsid w:val="00127B0D"/>
    <w:rsid w:val="00127F9B"/>
    <w:rsid w:val="00130664"/>
    <w:rsid w:val="001312F7"/>
    <w:rsid w:val="00132D94"/>
    <w:rsid w:val="0013301B"/>
    <w:rsid w:val="001342A6"/>
    <w:rsid w:val="00134735"/>
    <w:rsid w:val="00134EBB"/>
    <w:rsid w:val="00135B43"/>
    <w:rsid w:val="00135FC3"/>
    <w:rsid w:val="001370A7"/>
    <w:rsid w:val="00137695"/>
    <w:rsid w:val="001379D5"/>
    <w:rsid w:val="00137B77"/>
    <w:rsid w:val="00140BF2"/>
    <w:rsid w:val="00141545"/>
    <w:rsid w:val="001415E2"/>
    <w:rsid w:val="0014180E"/>
    <w:rsid w:val="00142503"/>
    <w:rsid w:val="00142AD5"/>
    <w:rsid w:val="00142ADA"/>
    <w:rsid w:val="001433FF"/>
    <w:rsid w:val="00143722"/>
    <w:rsid w:val="00143FCC"/>
    <w:rsid w:val="0014621F"/>
    <w:rsid w:val="00146CEA"/>
    <w:rsid w:val="00150326"/>
    <w:rsid w:val="001505DA"/>
    <w:rsid w:val="00152DF6"/>
    <w:rsid w:val="00154401"/>
    <w:rsid w:val="00154F32"/>
    <w:rsid w:val="001560CD"/>
    <w:rsid w:val="0015678F"/>
    <w:rsid w:val="00156D8F"/>
    <w:rsid w:val="0016033E"/>
    <w:rsid w:val="001619C4"/>
    <w:rsid w:val="00161C78"/>
    <w:rsid w:val="0016340B"/>
    <w:rsid w:val="0016356D"/>
    <w:rsid w:val="0016461F"/>
    <w:rsid w:val="0016484D"/>
    <w:rsid w:val="0016602F"/>
    <w:rsid w:val="00166298"/>
    <w:rsid w:val="00170996"/>
    <w:rsid w:val="001713BF"/>
    <w:rsid w:val="001725A6"/>
    <w:rsid w:val="0017312D"/>
    <w:rsid w:val="0017682B"/>
    <w:rsid w:val="001777FF"/>
    <w:rsid w:val="00180444"/>
    <w:rsid w:val="00181B67"/>
    <w:rsid w:val="00183235"/>
    <w:rsid w:val="0018524B"/>
    <w:rsid w:val="00185A0C"/>
    <w:rsid w:val="00186545"/>
    <w:rsid w:val="00191007"/>
    <w:rsid w:val="001910FD"/>
    <w:rsid w:val="001924D5"/>
    <w:rsid w:val="00192C20"/>
    <w:rsid w:val="00193BBC"/>
    <w:rsid w:val="00194B9C"/>
    <w:rsid w:val="001961C4"/>
    <w:rsid w:val="00197530"/>
    <w:rsid w:val="001A17D5"/>
    <w:rsid w:val="001A1C67"/>
    <w:rsid w:val="001A31B2"/>
    <w:rsid w:val="001A3575"/>
    <w:rsid w:val="001A5089"/>
    <w:rsid w:val="001A5A56"/>
    <w:rsid w:val="001A7E8E"/>
    <w:rsid w:val="001B1BB4"/>
    <w:rsid w:val="001B2422"/>
    <w:rsid w:val="001B2471"/>
    <w:rsid w:val="001B2D81"/>
    <w:rsid w:val="001B36AD"/>
    <w:rsid w:val="001B3FB8"/>
    <w:rsid w:val="001B5D8F"/>
    <w:rsid w:val="001B676F"/>
    <w:rsid w:val="001B6791"/>
    <w:rsid w:val="001B794E"/>
    <w:rsid w:val="001C25B0"/>
    <w:rsid w:val="001C467D"/>
    <w:rsid w:val="001C498E"/>
    <w:rsid w:val="001C66C0"/>
    <w:rsid w:val="001C77DE"/>
    <w:rsid w:val="001D2039"/>
    <w:rsid w:val="001D34E9"/>
    <w:rsid w:val="001D37D9"/>
    <w:rsid w:val="001D39AC"/>
    <w:rsid w:val="001D3FC1"/>
    <w:rsid w:val="001D428C"/>
    <w:rsid w:val="001D46D2"/>
    <w:rsid w:val="001D4EA7"/>
    <w:rsid w:val="001D5F8D"/>
    <w:rsid w:val="001D64DC"/>
    <w:rsid w:val="001E0112"/>
    <w:rsid w:val="001E0406"/>
    <w:rsid w:val="001E104F"/>
    <w:rsid w:val="001E3382"/>
    <w:rsid w:val="001E3929"/>
    <w:rsid w:val="001E3F25"/>
    <w:rsid w:val="001E6915"/>
    <w:rsid w:val="001E773C"/>
    <w:rsid w:val="001E7F04"/>
    <w:rsid w:val="001F11D1"/>
    <w:rsid w:val="001F24EF"/>
    <w:rsid w:val="001F2D53"/>
    <w:rsid w:val="001F36C0"/>
    <w:rsid w:val="001F452C"/>
    <w:rsid w:val="001F5C10"/>
    <w:rsid w:val="001F5FCA"/>
    <w:rsid w:val="001F7677"/>
    <w:rsid w:val="001F7D09"/>
    <w:rsid w:val="0020143F"/>
    <w:rsid w:val="0020238F"/>
    <w:rsid w:val="00202489"/>
    <w:rsid w:val="0020599B"/>
    <w:rsid w:val="00207130"/>
    <w:rsid w:val="002077FB"/>
    <w:rsid w:val="00211CAB"/>
    <w:rsid w:val="0021273C"/>
    <w:rsid w:val="002128BA"/>
    <w:rsid w:val="00213848"/>
    <w:rsid w:val="00216CCD"/>
    <w:rsid w:val="00217621"/>
    <w:rsid w:val="002202F4"/>
    <w:rsid w:val="002207BB"/>
    <w:rsid w:val="00221A2F"/>
    <w:rsid w:val="00222DDA"/>
    <w:rsid w:val="00223423"/>
    <w:rsid w:val="0022348D"/>
    <w:rsid w:val="0022355E"/>
    <w:rsid w:val="0022603E"/>
    <w:rsid w:val="00227686"/>
    <w:rsid w:val="00227A8D"/>
    <w:rsid w:val="00227F97"/>
    <w:rsid w:val="00230595"/>
    <w:rsid w:val="002315FF"/>
    <w:rsid w:val="002324F7"/>
    <w:rsid w:val="00232E8C"/>
    <w:rsid w:val="00232FE0"/>
    <w:rsid w:val="0023308C"/>
    <w:rsid w:val="002348B8"/>
    <w:rsid w:val="002367B7"/>
    <w:rsid w:val="00236826"/>
    <w:rsid w:val="00237D5F"/>
    <w:rsid w:val="002401C6"/>
    <w:rsid w:val="0024052A"/>
    <w:rsid w:val="0024070E"/>
    <w:rsid w:val="0024107B"/>
    <w:rsid w:val="00242072"/>
    <w:rsid w:val="002440C5"/>
    <w:rsid w:val="002453CC"/>
    <w:rsid w:val="0024551F"/>
    <w:rsid w:val="00246798"/>
    <w:rsid w:val="00251FD0"/>
    <w:rsid w:val="0025328C"/>
    <w:rsid w:val="0025660D"/>
    <w:rsid w:val="0025745D"/>
    <w:rsid w:val="00257F56"/>
    <w:rsid w:val="00261791"/>
    <w:rsid w:val="002631F1"/>
    <w:rsid w:val="00264143"/>
    <w:rsid w:val="002648B7"/>
    <w:rsid w:val="002662DF"/>
    <w:rsid w:val="00267ADA"/>
    <w:rsid w:val="00267BA6"/>
    <w:rsid w:val="0027038D"/>
    <w:rsid w:val="00270D2F"/>
    <w:rsid w:val="002729FF"/>
    <w:rsid w:val="00273B24"/>
    <w:rsid w:val="002746EF"/>
    <w:rsid w:val="00274FAC"/>
    <w:rsid w:val="00275375"/>
    <w:rsid w:val="00275BBB"/>
    <w:rsid w:val="00276963"/>
    <w:rsid w:val="00281F9F"/>
    <w:rsid w:val="0028360F"/>
    <w:rsid w:val="00283739"/>
    <w:rsid w:val="00284497"/>
    <w:rsid w:val="002851A9"/>
    <w:rsid w:val="00285EAB"/>
    <w:rsid w:val="00286DC7"/>
    <w:rsid w:val="00286ED3"/>
    <w:rsid w:val="00290DCC"/>
    <w:rsid w:val="00290E4E"/>
    <w:rsid w:val="00292F05"/>
    <w:rsid w:val="00293D39"/>
    <w:rsid w:val="002944C4"/>
    <w:rsid w:val="00295811"/>
    <w:rsid w:val="002958A6"/>
    <w:rsid w:val="00296A9C"/>
    <w:rsid w:val="002971A4"/>
    <w:rsid w:val="002A02BF"/>
    <w:rsid w:val="002A13B1"/>
    <w:rsid w:val="002A188E"/>
    <w:rsid w:val="002A1DB1"/>
    <w:rsid w:val="002A3DE6"/>
    <w:rsid w:val="002A5832"/>
    <w:rsid w:val="002A6836"/>
    <w:rsid w:val="002A6E33"/>
    <w:rsid w:val="002A7537"/>
    <w:rsid w:val="002B01B1"/>
    <w:rsid w:val="002B2828"/>
    <w:rsid w:val="002B4180"/>
    <w:rsid w:val="002B5169"/>
    <w:rsid w:val="002B6F45"/>
    <w:rsid w:val="002B72D5"/>
    <w:rsid w:val="002B7325"/>
    <w:rsid w:val="002B7C1F"/>
    <w:rsid w:val="002C022F"/>
    <w:rsid w:val="002C083F"/>
    <w:rsid w:val="002C0C73"/>
    <w:rsid w:val="002C3203"/>
    <w:rsid w:val="002C47B8"/>
    <w:rsid w:val="002C4932"/>
    <w:rsid w:val="002C4ED1"/>
    <w:rsid w:val="002C5A28"/>
    <w:rsid w:val="002C75D2"/>
    <w:rsid w:val="002D0959"/>
    <w:rsid w:val="002D17AA"/>
    <w:rsid w:val="002D1F87"/>
    <w:rsid w:val="002D514E"/>
    <w:rsid w:val="002D5423"/>
    <w:rsid w:val="002D59FE"/>
    <w:rsid w:val="002D6B1A"/>
    <w:rsid w:val="002D76C3"/>
    <w:rsid w:val="002E17E6"/>
    <w:rsid w:val="002E2C8F"/>
    <w:rsid w:val="002E2E31"/>
    <w:rsid w:val="002E3B4A"/>
    <w:rsid w:val="002E3E8F"/>
    <w:rsid w:val="002E6FC2"/>
    <w:rsid w:val="002E750F"/>
    <w:rsid w:val="002F0DF6"/>
    <w:rsid w:val="002F0E5A"/>
    <w:rsid w:val="002F1FCF"/>
    <w:rsid w:val="002F2CDB"/>
    <w:rsid w:val="002F2CEF"/>
    <w:rsid w:val="002F3630"/>
    <w:rsid w:val="002F3CFA"/>
    <w:rsid w:val="002F4749"/>
    <w:rsid w:val="002F6D1C"/>
    <w:rsid w:val="002F76A5"/>
    <w:rsid w:val="002F7E34"/>
    <w:rsid w:val="002F7FF5"/>
    <w:rsid w:val="00301905"/>
    <w:rsid w:val="00301A3A"/>
    <w:rsid w:val="00301B22"/>
    <w:rsid w:val="00303700"/>
    <w:rsid w:val="00303805"/>
    <w:rsid w:val="00303BF6"/>
    <w:rsid w:val="0030475C"/>
    <w:rsid w:val="0030556D"/>
    <w:rsid w:val="00305C33"/>
    <w:rsid w:val="003067F7"/>
    <w:rsid w:val="0030694B"/>
    <w:rsid w:val="003110F6"/>
    <w:rsid w:val="00312F1D"/>
    <w:rsid w:val="00314DE0"/>
    <w:rsid w:val="00316BAA"/>
    <w:rsid w:val="003173ED"/>
    <w:rsid w:val="0032032A"/>
    <w:rsid w:val="0032161A"/>
    <w:rsid w:val="0032321C"/>
    <w:rsid w:val="003246ED"/>
    <w:rsid w:val="00325468"/>
    <w:rsid w:val="003262E0"/>
    <w:rsid w:val="003267A0"/>
    <w:rsid w:val="00326D9D"/>
    <w:rsid w:val="003278D9"/>
    <w:rsid w:val="003278F8"/>
    <w:rsid w:val="00330314"/>
    <w:rsid w:val="00330A28"/>
    <w:rsid w:val="003321B6"/>
    <w:rsid w:val="00332F17"/>
    <w:rsid w:val="00333562"/>
    <w:rsid w:val="00333E01"/>
    <w:rsid w:val="00334796"/>
    <w:rsid w:val="0033582E"/>
    <w:rsid w:val="00335C64"/>
    <w:rsid w:val="00337DE7"/>
    <w:rsid w:val="003400E8"/>
    <w:rsid w:val="0034072C"/>
    <w:rsid w:val="00340FB5"/>
    <w:rsid w:val="00341A6F"/>
    <w:rsid w:val="003429AF"/>
    <w:rsid w:val="003429BC"/>
    <w:rsid w:val="00342F27"/>
    <w:rsid w:val="0034382F"/>
    <w:rsid w:val="00343EB2"/>
    <w:rsid w:val="00345191"/>
    <w:rsid w:val="00345BBF"/>
    <w:rsid w:val="00345E89"/>
    <w:rsid w:val="003462D9"/>
    <w:rsid w:val="0034780A"/>
    <w:rsid w:val="00351605"/>
    <w:rsid w:val="00354D54"/>
    <w:rsid w:val="00354F1D"/>
    <w:rsid w:val="00356350"/>
    <w:rsid w:val="003576D5"/>
    <w:rsid w:val="00357AF3"/>
    <w:rsid w:val="0036070F"/>
    <w:rsid w:val="00361198"/>
    <w:rsid w:val="00361D10"/>
    <w:rsid w:val="00365474"/>
    <w:rsid w:val="00366DD7"/>
    <w:rsid w:val="00367CE9"/>
    <w:rsid w:val="00370036"/>
    <w:rsid w:val="00370357"/>
    <w:rsid w:val="003713ED"/>
    <w:rsid w:val="00373193"/>
    <w:rsid w:val="00373730"/>
    <w:rsid w:val="00373D65"/>
    <w:rsid w:val="00374D3A"/>
    <w:rsid w:val="003752C5"/>
    <w:rsid w:val="00375E21"/>
    <w:rsid w:val="00377A17"/>
    <w:rsid w:val="00381716"/>
    <w:rsid w:val="00381ADD"/>
    <w:rsid w:val="00382D5B"/>
    <w:rsid w:val="00383FE1"/>
    <w:rsid w:val="0038583E"/>
    <w:rsid w:val="00386422"/>
    <w:rsid w:val="00386986"/>
    <w:rsid w:val="00386E83"/>
    <w:rsid w:val="0038781C"/>
    <w:rsid w:val="0039098E"/>
    <w:rsid w:val="0039162F"/>
    <w:rsid w:val="00392160"/>
    <w:rsid w:val="00394CB7"/>
    <w:rsid w:val="0039567B"/>
    <w:rsid w:val="003A0095"/>
    <w:rsid w:val="003A00C5"/>
    <w:rsid w:val="003A18D0"/>
    <w:rsid w:val="003A2BD5"/>
    <w:rsid w:val="003A3A2C"/>
    <w:rsid w:val="003A4592"/>
    <w:rsid w:val="003A487A"/>
    <w:rsid w:val="003A65F0"/>
    <w:rsid w:val="003A7D5B"/>
    <w:rsid w:val="003A7F3C"/>
    <w:rsid w:val="003B43CB"/>
    <w:rsid w:val="003B44EE"/>
    <w:rsid w:val="003B5AEB"/>
    <w:rsid w:val="003B5BBB"/>
    <w:rsid w:val="003C00DF"/>
    <w:rsid w:val="003C093A"/>
    <w:rsid w:val="003C1A31"/>
    <w:rsid w:val="003C3A00"/>
    <w:rsid w:val="003C3B7E"/>
    <w:rsid w:val="003C6C17"/>
    <w:rsid w:val="003C6D60"/>
    <w:rsid w:val="003C6E33"/>
    <w:rsid w:val="003D013C"/>
    <w:rsid w:val="003D1208"/>
    <w:rsid w:val="003D1B73"/>
    <w:rsid w:val="003D27C8"/>
    <w:rsid w:val="003D322C"/>
    <w:rsid w:val="003D382D"/>
    <w:rsid w:val="003D3D26"/>
    <w:rsid w:val="003D5168"/>
    <w:rsid w:val="003D52B6"/>
    <w:rsid w:val="003D614B"/>
    <w:rsid w:val="003D7D28"/>
    <w:rsid w:val="003D7DFA"/>
    <w:rsid w:val="003E0FEE"/>
    <w:rsid w:val="003E18F3"/>
    <w:rsid w:val="003E1E26"/>
    <w:rsid w:val="003E2274"/>
    <w:rsid w:val="003E2502"/>
    <w:rsid w:val="003E3CAD"/>
    <w:rsid w:val="003E45B3"/>
    <w:rsid w:val="003E463A"/>
    <w:rsid w:val="003E6770"/>
    <w:rsid w:val="003E69D9"/>
    <w:rsid w:val="003E6C63"/>
    <w:rsid w:val="003F0265"/>
    <w:rsid w:val="003F042C"/>
    <w:rsid w:val="003F18A7"/>
    <w:rsid w:val="003F1DC0"/>
    <w:rsid w:val="003F211A"/>
    <w:rsid w:val="003F2583"/>
    <w:rsid w:val="003F275D"/>
    <w:rsid w:val="003F368D"/>
    <w:rsid w:val="003F51E0"/>
    <w:rsid w:val="003F67DB"/>
    <w:rsid w:val="003F6E28"/>
    <w:rsid w:val="003F6F53"/>
    <w:rsid w:val="004006BD"/>
    <w:rsid w:val="00400E7A"/>
    <w:rsid w:val="00401A10"/>
    <w:rsid w:val="00403193"/>
    <w:rsid w:val="00405EDA"/>
    <w:rsid w:val="0040646E"/>
    <w:rsid w:val="004068CE"/>
    <w:rsid w:val="004069E3"/>
    <w:rsid w:val="004108B9"/>
    <w:rsid w:val="00411679"/>
    <w:rsid w:val="00412433"/>
    <w:rsid w:val="00414578"/>
    <w:rsid w:val="004151CD"/>
    <w:rsid w:val="00415C12"/>
    <w:rsid w:val="00415DB4"/>
    <w:rsid w:val="0041721B"/>
    <w:rsid w:val="0042067B"/>
    <w:rsid w:val="00420D5C"/>
    <w:rsid w:val="00421E06"/>
    <w:rsid w:val="00422670"/>
    <w:rsid w:val="0042377C"/>
    <w:rsid w:val="004245E2"/>
    <w:rsid w:val="004252C2"/>
    <w:rsid w:val="004254C6"/>
    <w:rsid w:val="0042575B"/>
    <w:rsid w:val="00425B79"/>
    <w:rsid w:val="00427D4D"/>
    <w:rsid w:val="004310BB"/>
    <w:rsid w:val="0043176A"/>
    <w:rsid w:val="00431A41"/>
    <w:rsid w:val="00432284"/>
    <w:rsid w:val="00432CE6"/>
    <w:rsid w:val="00433985"/>
    <w:rsid w:val="004376F3"/>
    <w:rsid w:val="0044045C"/>
    <w:rsid w:val="00441F49"/>
    <w:rsid w:val="0044248A"/>
    <w:rsid w:val="004424BE"/>
    <w:rsid w:val="00442B37"/>
    <w:rsid w:val="00443933"/>
    <w:rsid w:val="00443F3A"/>
    <w:rsid w:val="0044416F"/>
    <w:rsid w:val="004449D7"/>
    <w:rsid w:val="004457E9"/>
    <w:rsid w:val="00446E41"/>
    <w:rsid w:val="004471F4"/>
    <w:rsid w:val="00450A2B"/>
    <w:rsid w:val="0045303A"/>
    <w:rsid w:val="00454522"/>
    <w:rsid w:val="004552E7"/>
    <w:rsid w:val="00456CE4"/>
    <w:rsid w:val="00461E85"/>
    <w:rsid w:val="00463448"/>
    <w:rsid w:val="00464321"/>
    <w:rsid w:val="00465547"/>
    <w:rsid w:val="00466C68"/>
    <w:rsid w:val="00466FF6"/>
    <w:rsid w:val="00470D6F"/>
    <w:rsid w:val="00471153"/>
    <w:rsid w:val="004718EB"/>
    <w:rsid w:val="00471BEE"/>
    <w:rsid w:val="00474894"/>
    <w:rsid w:val="00474B80"/>
    <w:rsid w:val="00475793"/>
    <w:rsid w:val="00475F5A"/>
    <w:rsid w:val="00480B26"/>
    <w:rsid w:val="00480F7A"/>
    <w:rsid w:val="00480FA5"/>
    <w:rsid w:val="00481FF4"/>
    <w:rsid w:val="00482AF3"/>
    <w:rsid w:val="00483D19"/>
    <w:rsid w:val="00484A31"/>
    <w:rsid w:val="00484A86"/>
    <w:rsid w:val="00484B4F"/>
    <w:rsid w:val="00484E12"/>
    <w:rsid w:val="00486DF9"/>
    <w:rsid w:val="00487FD0"/>
    <w:rsid w:val="0049077D"/>
    <w:rsid w:val="0049089D"/>
    <w:rsid w:val="004908B6"/>
    <w:rsid w:val="0049285A"/>
    <w:rsid w:val="00493A67"/>
    <w:rsid w:val="00494131"/>
    <w:rsid w:val="00494451"/>
    <w:rsid w:val="004946A6"/>
    <w:rsid w:val="004951AE"/>
    <w:rsid w:val="0049616F"/>
    <w:rsid w:val="00497074"/>
    <w:rsid w:val="004A08C7"/>
    <w:rsid w:val="004A0BFE"/>
    <w:rsid w:val="004A0D9E"/>
    <w:rsid w:val="004A142B"/>
    <w:rsid w:val="004A301D"/>
    <w:rsid w:val="004A3BA2"/>
    <w:rsid w:val="004A6EBC"/>
    <w:rsid w:val="004A6F5F"/>
    <w:rsid w:val="004A762F"/>
    <w:rsid w:val="004B0EE0"/>
    <w:rsid w:val="004B15FA"/>
    <w:rsid w:val="004B1C57"/>
    <w:rsid w:val="004B368F"/>
    <w:rsid w:val="004B5C7E"/>
    <w:rsid w:val="004C2871"/>
    <w:rsid w:val="004C2D6E"/>
    <w:rsid w:val="004C6A84"/>
    <w:rsid w:val="004C7113"/>
    <w:rsid w:val="004D24E1"/>
    <w:rsid w:val="004D37E8"/>
    <w:rsid w:val="004D465A"/>
    <w:rsid w:val="004D5017"/>
    <w:rsid w:val="004D661C"/>
    <w:rsid w:val="004D7089"/>
    <w:rsid w:val="004D749B"/>
    <w:rsid w:val="004E134F"/>
    <w:rsid w:val="004E14A3"/>
    <w:rsid w:val="004E4FDC"/>
    <w:rsid w:val="004E616D"/>
    <w:rsid w:val="004E7735"/>
    <w:rsid w:val="004F0254"/>
    <w:rsid w:val="004F1377"/>
    <w:rsid w:val="004F24E1"/>
    <w:rsid w:val="004F6C92"/>
    <w:rsid w:val="004F70AB"/>
    <w:rsid w:val="004F7C8E"/>
    <w:rsid w:val="004F7E7C"/>
    <w:rsid w:val="00500988"/>
    <w:rsid w:val="00504747"/>
    <w:rsid w:val="00505A3E"/>
    <w:rsid w:val="00505EED"/>
    <w:rsid w:val="00506F49"/>
    <w:rsid w:val="00507275"/>
    <w:rsid w:val="0050757E"/>
    <w:rsid w:val="005078FF"/>
    <w:rsid w:val="00507CBA"/>
    <w:rsid w:val="00510D49"/>
    <w:rsid w:val="0051101B"/>
    <w:rsid w:val="00511794"/>
    <w:rsid w:val="00512C48"/>
    <w:rsid w:val="00513825"/>
    <w:rsid w:val="005139C5"/>
    <w:rsid w:val="00513C97"/>
    <w:rsid w:val="005161C7"/>
    <w:rsid w:val="005164EF"/>
    <w:rsid w:val="00516C50"/>
    <w:rsid w:val="00516DA3"/>
    <w:rsid w:val="005171BA"/>
    <w:rsid w:val="005178D9"/>
    <w:rsid w:val="00521567"/>
    <w:rsid w:val="005216E8"/>
    <w:rsid w:val="005220E5"/>
    <w:rsid w:val="00524771"/>
    <w:rsid w:val="00525EE8"/>
    <w:rsid w:val="00526635"/>
    <w:rsid w:val="00526663"/>
    <w:rsid w:val="005307C0"/>
    <w:rsid w:val="0053112E"/>
    <w:rsid w:val="00531631"/>
    <w:rsid w:val="0053384A"/>
    <w:rsid w:val="00533A04"/>
    <w:rsid w:val="00534BD2"/>
    <w:rsid w:val="00535A37"/>
    <w:rsid w:val="00536676"/>
    <w:rsid w:val="0053698D"/>
    <w:rsid w:val="00540837"/>
    <w:rsid w:val="00543864"/>
    <w:rsid w:val="00546A7D"/>
    <w:rsid w:val="0054764E"/>
    <w:rsid w:val="00547E66"/>
    <w:rsid w:val="00550520"/>
    <w:rsid w:val="005511F6"/>
    <w:rsid w:val="00551C32"/>
    <w:rsid w:val="00553005"/>
    <w:rsid w:val="00553B9D"/>
    <w:rsid w:val="00553F0C"/>
    <w:rsid w:val="00554D9C"/>
    <w:rsid w:val="005620F4"/>
    <w:rsid w:val="00562F3D"/>
    <w:rsid w:val="0056445C"/>
    <w:rsid w:val="005648A1"/>
    <w:rsid w:val="00564AB9"/>
    <w:rsid w:val="00565159"/>
    <w:rsid w:val="005663BE"/>
    <w:rsid w:val="00566461"/>
    <w:rsid w:val="00567001"/>
    <w:rsid w:val="005678D2"/>
    <w:rsid w:val="00567F6A"/>
    <w:rsid w:val="00570209"/>
    <w:rsid w:val="0057041A"/>
    <w:rsid w:val="0057055B"/>
    <w:rsid w:val="00570DCC"/>
    <w:rsid w:val="005725AE"/>
    <w:rsid w:val="00572726"/>
    <w:rsid w:val="005731B1"/>
    <w:rsid w:val="00574969"/>
    <w:rsid w:val="00574DD0"/>
    <w:rsid w:val="005758CB"/>
    <w:rsid w:val="005765AF"/>
    <w:rsid w:val="00581268"/>
    <w:rsid w:val="00581E4C"/>
    <w:rsid w:val="00582186"/>
    <w:rsid w:val="00586362"/>
    <w:rsid w:val="00587797"/>
    <w:rsid w:val="00590030"/>
    <w:rsid w:val="00593D6C"/>
    <w:rsid w:val="00597DCA"/>
    <w:rsid w:val="005A08EC"/>
    <w:rsid w:val="005A37D5"/>
    <w:rsid w:val="005A4F42"/>
    <w:rsid w:val="005A51B0"/>
    <w:rsid w:val="005A78C3"/>
    <w:rsid w:val="005B2FF8"/>
    <w:rsid w:val="005B31C5"/>
    <w:rsid w:val="005B35E0"/>
    <w:rsid w:val="005B35F5"/>
    <w:rsid w:val="005B42D4"/>
    <w:rsid w:val="005B4C7D"/>
    <w:rsid w:val="005B74B4"/>
    <w:rsid w:val="005C11E6"/>
    <w:rsid w:val="005D0E08"/>
    <w:rsid w:val="005D1E46"/>
    <w:rsid w:val="005D2545"/>
    <w:rsid w:val="005D349D"/>
    <w:rsid w:val="005D47D0"/>
    <w:rsid w:val="005D4B2D"/>
    <w:rsid w:val="005D60A8"/>
    <w:rsid w:val="005D7771"/>
    <w:rsid w:val="005E00C5"/>
    <w:rsid w:val="005E0217"/>
    <w:rsid w:val="005E0D2A"/>
    <w:rsid w:val="005E13A9"/>
    <w:rsid w:val="005E2C18"/>
    <w:rsid w:val="005E30AE"/>
    <w:rsid w:val="005E43E1"/>
    <w:rsid w:val="005E552C"/>
    <w:rsid w:val="005E5EE3"/>
    <w:rsid w:val="005E690D"/>
    <w:rsid w:val="005E7C09"/>
    <w:rsid w:val="005F1140"/>
    <w:rsid w:val="005F17AB"/>
    <w:rsid w:val="005F31D9"/>
    <w:rsid w:val="005F3342"/>
    <w:rsid w:val="005F5251"/>
    <w:rsid w:val="005F70D2"/>
    <w:rsid w:val="005F746F"/>
    <w:rsid w:val="006013D2"/>
    <w:rsid w:val="00602A4C"/>
    <w:rsid w:val="00602D8C"/>
    <w:rsid w:val="0060311E"/>
    <w:rsid w:val="00605DAD"/>
    <w:rsid w:val="00606242"/>
    <w:rsid w:val="00606998"/>
    <w:rsid w:val="006072C5"/>
    <w:rsid w:val="0060750E"/>
    <w:rsid w:val="00607910"/>
    <w:rsid w:val="00607BA0"/>
    <w:rsid w:val="0061007C"/>
    <w:rsid w:val="00611FEC"/>
    <w:rsid w:val="006148B5"/>
    <w:rsid w:val="006154F5"/>
    <w:rsid w:val="006169DA"/>
    <w:rsid w:val="00616A47"/>
    <w:rsid w:val="00620079"/>
    <w:rsid w:val="00620485"/>
    <w:rsid w:val="00621C62"/>
    <w:rsid w:val="00624A75"/>
    <w:rsid w:val="00624C64"/>
    <w:rsid w:val="006305CC"/>
    <w:rsid w:val="006307FA"/>
    <w:rsid w:val="00633514"/>
    <w:rsid w:val="00633F6A"/>
    <w:rsid w:val="00634F47"/>
    <w:rsid w:val="00635BF9"/>
    <w:rsid w:val="00636686"/>
    <w:rsid w:val="00643478"/>
    <w:rsid w:val="0064397B"/>
    <w:rsid w:val="006454D1"/>
    <w:rsid w:val="00647F9D"/>
    <w:rsid w:val="00655545"/>
    <w:rsid w:val="00656143"/>
    <w:rsid w:val="00657D5D"/>
    <w:rsid w:val="00661105"/>
    <w:rsid w:val="00662F89"/>
    <w:rsid w:val="0066429F"/>
    <w:rsid w:val="00665036"/>
    <w:rsid w:val="00665E70"/>
    <w:rsid w:val="0066625B"/>
    <w:rsid w:val="00671190"/>
    <w:rsid w:val="0067179B"/>
    <w:rsid w:val="006724C4"/>
    <w:rsid w:val="0067254F"/>
    <w:rsid w:val="00673E20"/>
    <w:rsid w:val="006741ED"/>
    <w:rsid w:val="00675125"/>
    <w:rsid w:val="00675D76"/>
    <w:rsid w:val="00675DF4"/>
    <w:rsid w:val="00676D5D"/>
    <w:rsid w:val="0067751A"/>
    <w:rsid w:val="0067784B"/>
    <w:rsid w:val="00677921"/>
    <w:rsid w:val="00677BD3"/>
    <w:rsid w:val="00680595"/>
    <w:rsid w:val="0068066A"/>
    <w:rsid w:val="00680D68"/>
    <w:rsid w:val="00681970"/>
    <w:rsid w:val="00686705"/>
    <w:rsid w:val="00686AC1"/>
    <w:rsid w:val="006875CD"/>
    <w:rsid w:val="0069037D"/>
    <w:rsid w:val="00691746"/>
    <w:rsid w:val="00691D3D"/>
    <w:rsid w:val="00693C97"/>
    <w:rsid w:val="0069470F"/>
    <w:rsid w:val="006947E1"/>
    <w:rsid w:val="006957F7"/>
    <w:rsid w:val="00695DF2"/>
    <w:rsid w:val="00696FE7"/>
    <w:rsid w:val="0069725F"/>
    <w:rsid w:val="006A1417"/>
    <w:rsid w:val="006A14A6"/>
    <w:rsid w:val="006A18FB"/>
    <w:rsid w:val="006A2651"/>
    <w:rsid w:val="006A26CE"/>
    <w:rsid w:val="006A2A78"/>
    <w:rsid w:val="006A2FED"/>
    <w:rsid w:val="006A4EDE"/>
    <w:rsid w:val="006A6536"/>
    <w:rsid w:val="006A6B4B"/>
    <w:rsid w:val="006A6D2B"/>
    <w:rsid w:val="006B01BF"/>
    <w:rsid w:val="006B0AC7"/>
    <w:rsid w:val="006B0EAC"/>
    <w:rsid w:val="006B1BA1"/>
    <w:rsid w:val="006B231D"/>
    <w:rsid w:val="006B2E0D"/>
    <w:rsid w:val="006B3ACE"/>
    <w:rsid w:val="006C0427"/>
    <w:rsid w:val="006C0726"/>
    <w:rsid w:val="006C0F43"/>
    <w:rsid w:val="006C1AE3"/>
    <w:rsid w:val="006C26B5"/>
    <w:rsid w:val="006C3F87"/>
    <w:rsid w:val="006C50B8"/>
    <w:rsid w:val="006C5A39"/>
    <w:rsid w:val="006C6541"/>
    <w:rsid w:val="006D02B6"/>
    <w:rsid w:val="006D0A58"/>
    <w:rsid w:val="006D1843"/>
    <w:rsid w:val="006D1B94"/>
    <w:rsid w:val="006D24C0"/>
    <w:rsid w:val="006D306C"/>
    <w:rsid w:val="006D4580"/>
    <w:rsid w:val="006D53D7"/>
    <w:rsid w:val="006D6FC6"/>
    <w:rsid w:val="006D7459"/>
    <w:rsid w:val="006D7B92"/>
    <w:rsid w:val="006E022C"/>
    <w:rsid w:val="006E5764"/>
    <w:rsid w:val="006E66CF"/>
    <w:rsid w:val="006E7AE1"/>
    <w:rsid w:val="006E7BE0"/>
    <w:rsid w:val="006F0270"/>
    <w:rsid w:val="006F0495"/>
    <w:rsid w:val="006F07C4"/>
    <w:rsid w:val="006F1B58"/>
    <w:rsid w:val="006F1F0F"/>
    <w:rsid w:val="006F3373"/>
    <w:rsid w:val="006F3D88"/>
    <w:rsid w:val="006F5943"/>
    <w:rsid w:val="006F596F"/>
    <w:rsid w:val="006F684A"/>
    <w:rsid w:val="006F6EF1"/>
    <w:rsid w:val="007003D6"/>
    <w:rsid w:val="00700CFA"/>
    <w:rsid w:val="00701192"/>
    <w:rsid w:val="00701B45"/>
    <w:rsid w:val="007021D1"/>
    <w:rsid w:val="00703BA4"/>
    <w:rsid w:val="0070494F"/>
    <w:rsid w:val="0070510F"/>
    <w:rsid w:val="007053A8"/>
    <w:rsid w:val="007064B3"/>
    <w:rsid w:val="0070654B"/>
    <w:rsid w:val="0070744A"/>
    <w:rsid w:val="007079BB"/>
    <w:rsid w:val="0071115D"/>
    <w:rsid w:val="00711518"/>
    <w:rsid w:val="0071160F"/>
    <w:rsid w:val="00711871"/>
    <w:rsid w:val="00714E50"/>
    <w:rsid w:val="00715B8A"/>
    <w:rsid w:val="00716ACF"/>
    <w:rsid w:val="007170F9"/>
    <w:rsid w:val="00721544"/>
    <w:rsid w:val="00722553"/>
    <w:rsid w:val="007232CC"/>
    <w:rsid w:val="00723AA8"/>
    <w:rsid w:val="0072555B"/>
    <w:rsid w:val="0072663B"/>
    <w:rsid w:val="00726DC6"/>
    <w:rsid w:val="00727DDA"/>
    <w:rsid w:val="00731190"/>
    <w:rsid w:val="00731D56"/>
    <w:rsid w:val="00732933"/>
    <w:rsid w:val="00732E3E"/>
    <w:rsid w:val="00733B9E"/>
    <w:rsid w:val="00734B99"/>
    <w:rsid w:val="0073537E"/>
    <w:rsid w:val="007356E3"/>
    <w:rsid w:val="00735BCB"/>
    <w:rsid w:val="007378DD"/>
    <w:rsid w:val="0074052E"/>
    <w:rsid w:val="00740BFF"/>
    <w:rsid w:val="00741249"/>
    <w:rsid w:val="007416D8"/>
    <w:rsid w:val="00742115"/>
    <w:rsid w:val="0074348B"/>
    <w:rsid w:val="007436EA"/>
    <w:rsid w:val="00747A14"/>
    <w:rsid w:val="00750249"/>
    <w:rsid w:val="00753A03"/>
    <w:rsid w:val="007545C2"/>
    <w:rsid w:val="00754ECE"/>
    <w:rsid w:val="00755518"/>
    <w:rsid w:val="00756228"/>
    <w:rsid w:val="00756C45"/>
    <w:rsid w:val="00757541"/>
    <w:rsid w:val="00761D75"/>
    <w:rsid w:val="00761D97"/>
    <w:rsid w:val="00763178"/>
    <w:rsid w:val="00763E95"/>
    <w:rsid w:val="00765417"/>
    <w:rsid w:val="00765B12"/>
    <w:rsid w:val="0076736B"/>
    <w:rsid w:val="0077093F"/>
    <w:rsid w:val="00770C40"/>
    <w:rsid w:val="0077153E"/>
    <w:rsid w:val="007718BF"/>
    <w:rsid w:val="00771FEF"/>
    <w:rsid w:val="007724CA"/>
    <w:rsid w:val="00772CE8"/>
    <w:rsid w:val="00772DB2"/>
    <w:rsid w:val="00773007"/>
    <w:rsid w:val="00774ACA"/>
    <w:rsid w:val="00774AEE"/>
    <w:rsid w:val="007753FC"/>
    <w:rsid w:val="00776CD4"/>
    <w:rsid w:val="007779B6"/>
    <w:rsid w:val="007802EB"/>
    <w:rsid w:val="0078066E"/>
    <w:rsid w:val="00781315"/>
    <w:rsid w:val="00782B9F"/>
    <w:rsid w:val="007837C5"/>
    <w:rsid w:val="0078413C"/>
    <w:rsid w:val="00784E18"/>
    <w:rsid w:val="00785CF7"/>
    <w:rsid w:val="00785D21"/>
    <w:rsid w:val="007866D7"/>
    <w:rsid w:val="007901C3"/>
    <w:rsid w:val="00790817"/>
    <w:rsid w:val="00791757"/>
    <w:rsid w:val="00794A8E"/>
    <w:rsid w:val="00794D6E"/>
    <w:rsid w:val="00795B1A"/>
    <w:rsid w:val="007965A8"/>
    <w:rsid w:val="0079664A"/>
    <w:rsid w:val="007974B1"/>
    <w:rsid w:val="007A1225"/>
    <w:rsid w:val="007A286B"/>
    <w:rsid w:val="007A5DBC"/>
    <w:rsid w:val="007A6B68"/>
    <w:rsid w:val="007A729E"/>
    <w:rsid w:val="007B026A"/>
    <w:rsid w:val="007B1029"/>
    <w:rsid w:val="007B23BA"/>
    <w:rsid w:val="007B4BEB"/>
    <w:rsid w:val="007B4F30"/>
    <w:rsid w:val="007B5F5C"/>
    <w:rsid w:val="007C1290"/>
    <w:rsid w:val="007C136B"/>
    <w:rsid w:val="007C3058"/>
    <w:rsid w:val="007C4B3A"/>
    <w:rsid w:val="007C4C5B"/>
    <w:rsid w:val="007C59A9"/>
    <w:rsid w:val="007D0FEE"/>
    <w:rsid w:val="007D14D2"/>
    <w:rsid w:val="007D204F"/>
    <w:rsid w:val="007D2125"/>
    <w:rsid w:val="007D261B"/>
    <w:rsid w:val="007D2986"/>
    <w:rsid w:val="007D37E9"/>
    <w:rsid w:val="007D528B"/>
    <w:rsid w:val="007D69F9"/>
    <w:rsid w:val="007D7A0C"/>
    <w:rsid w:val="007E02E1"/>
    <w:rsid w:val="007E1905"/>
    <w:rsid w:val="007E2B01"/>
    <w:rsid w:val="007E304A"/>
    <w:rsid w:val="007E3B09"/>
    <w:rsid w:val="007E4FFD"/>
    <w:rsid w:val="007E51F8"/>
    <w:rsid w:val="007E6D7D"/>
    <w:rsid w:val="007E78C3"/>
    <w:rsid w:val="007E79C1"/>
    <w:rsid w:val="007F2346"/>
    <w:rsid w:val="007F2720"/>
    <w:rsid w:val="007F29E7"/>
    <w:rsid w:val="007F2B97"/>
    <w:rsid w:val="007F3466"/>
    <w:rsid w:val="007F75DD"/>
    <w:rsid w:val="00801FD5"/>
    <w:rsid w:val="0080345A"/>
    <w:rsid w:val="00805987"/>
    <w:rsid w:val="008059DC"/>
    <w:rsid w:val="00806AF7"/>
    <w:rsid w:val="008102BB"/>
    <w:rsid w:val="00810859"/>
    <w:rsid w:val="008117F0"/>
    <w:rsid w:val="008129BA"/>
    <w:rsid w:val="00812F80"/>
    <w:rsid w:val="00813E35"/>
    <w:rsid w:val="00814559"/>
    <w:rsid w:val="00814D70"/>
    <w:rsid w:val="00816081"/>
    <w:rsid w:val="00820087"/>
    <w:rsid w:val="008203E3"/>
    <w:rsid w:val="008213DD"/>
    <w:rsid w:val="00822188"/>
    <w:rsid w:val="00823805"/>
    <w:rsid w:val="00823A76"/>
    <w:rsid w:val="00824263"/>
    <w:rsid w:val="008248D5"/>
    <w:rsid w:val="00824FF0"/>
    <w:rsid w:val="0082555B"/>
    <w:rsid w:val="0082798D"/>
    <w:rsid w:val="00831163"/>
    <w:rsid w:val="008320F9"/>
    <w:rsid w:val="00832DD3"/>
    <w:rsid w:val="00832F12"/>
    <w:rsid w:val="008332BB"/>
    <w:rsid w:val="008335B1"/>
    <w:rsid w:val="0083436E"/>
    <w:rsid w:val="008355DE"/>
    <w:rsid w:val="00836DA2"/>
    <w:rsid w:val="00836F15"/>
    <w:rsid w:val="00837890"/>
    <w:rsid w:val="00837FF4"/>
    <w:rsid w:val="00840FAD"/>
    <w:rsid w:val="00842243"/>
    <w:rsid w:val="008434FA"/>
    <w:rsid w:val="00844558"/>
    <w:rsid w:val="00845B7E"/>
    <w:rsid w:val="00845CBB"/>
    <w:rsid w:val="00845ECD"/>
    <w:rsid w:val="008462FF"/>
    <w:rsid w:val="008475B8"/>
    <w:rsid w:val="00850060"/>
    <w:rsid w:val="00850B8C"/>
    <w:rsid w:val="00850E7E"/>
    <w:rsid w:val="0085216D"/>
    <w:rsid w:val="00852BE8"/>
    <w:rsid w:val="00852F8F"/>
    <w:rsid w:val="00853527"/>
    <w:rsid w:val="008552AF"/>
    <w:rsid w:val="00857C33"/>
    <w:rsid w:val="00862FF8"/>
    <w:rsid w:val="00863BB7"/>
    <w:rsid w:val="008660AB"/>
    <w:rsid w:val="0086622A"/>
    <w:rsid w:val="00866685"/>
    <w:rsid w:val="008677B4"/>
    <w:rsid w:val="00867F80"/>
    <w:rsid w:val="0087260B"/>
    <w:rsid w:val="00877279"/>
    <w:rsid w:val="00877CD7"/>
    <w:rsid w:val="008805C2"/>
    <w:rsid w:val="008805D9"/>
    <w:rsid w:val="008814D7"/>
    <w:rsid w:val="00885A6F"/>
    <w:rsid w:val="00890432"/>
    <w:rsid w:val="00891D6F"/>
    <w:rsid w:val="00891F03"/>
    <w:rsid w:val="0089204B"/>
    <w:rsid w:val="00892916"/>
    <w:rsid w:val="00893D2F"/>
    <w:rsid w:val="008940E5"/>
    <w:rsid w:val="0089568C"/>
    <w:rsid w:val="00895D92"/>
    <w:rsid w:val="00897B69"/>
    <w:rsid w:val="008A18A0"/>
    <w:rsid w:val="008A20D7"/>
    <w:rsid w:val="008A3145"/>
    <w:rsid w:val="008A3376"/>
    <w:rsid w:val="008A4233"/>
    <w:rsid w:val="008A42B7"/>
    <w:rsid w:val="008A5F21"/>
    <w:rsid w:val="008B0A20"/>
    <w:rsid w:val="008B207D"/>
    <w:rsid w:val="008B409C"/>
    <w:rsid w:val="008B52DE"/>
    <w:rsid w:val="008B600A"/>
    <w:rsid w:val="008B6320"/>
    <w:rsid w:val="008C0A9E"/>
    <w:rsid w:val="008C175F"/>
    <w:rsid w:val="008C3098"/>
    <w:rsid w:val="008C4E25"/>
    <w:rsid w:val="008C5E44"/>
    <w:rsid w:val="008C7FB5"/>
    <w:rsid w:val="008D0610"/>
    <w:rsid w:val="008D17D1"/>
    <w:rsid w:val="008D3F88"/>
    <w:rsid w:val="008D3FDC"/>
    <w:rsid w:val="008D4698"/>
    <w:rsid w:val="008D5023"/>
    <w:rsid w:val="008D591B"/>
    <w:rsid w:val="008D6C24"/>
    <w:rsid w:val="008D76E3"/>
    <w:rsid w:val="008E08D1"/>
    <w:rsid w:val="008E0D15"/>
    <w:rsid w:val="008E0E62"/>
    <w:rsid w:val="008E103A"/>
    <w:rsid w:val="008E1F16"/>
    <w:rsid w:val="008E26DC"/>
    <w:rsid w:val="008E33DB"/>
    <w:rsid w:val="008E5AB3"/>
    <w:rsid w:val="008E6C63"/>
    <w:rsid w:val="008F0CEC"/>
    <w:rsid w:val="008F290D"/>
    <w:rsid w:val="008F3DE2"/>
    <w:rsid w:val="008F4E77"/>
    <w:rsid w:val="008F50E9"/>
    <w:rsid w:val="008F54BE"/>
    <w:rsid w:val="00901C26"/>
    <w:rsid w:val="009022D7"/>
    <w:rsid w:val="0090265A"/>
    <w:rsid w:val="009032B5"/>
    <w:rsid w:val="00903C6E"/>
    <w:rsid w:val="00905F28"/>
    <w:rsid w:val="009065A8"/>
    <w:rsid w:val="0091119C"/>
    <w:rsid w:val="00911238"/>
    <w:rsid w:val="0091156B"/>
    <w:rsid w:val="00911B98"/>
    <w:rsid w:val="00911E1B"/>
    <w:rsid w:val="00914789"/>
    <w:rsid w:val="0091553C"/>
    <w:rsid w:val="009157ED"/>
    <w:rsid w:val="00920566"/>
    <w:rsid w:val="009211B1"/>
    <w:rsid w:val="009227EF"/>
    <w:rsid w:val="009232B2"/>
    <w:rsid w:val="00924DF5"/>
    <w:rsid w:val="0092558F"/>
    <w:rsid w:val="0092591C"/>
    <w:rsid w:val="009269AA"/>
    <w:rsid w:val="009318C9"/>
    <w:rsid w:val="009326AA"/>
    <w:rsid w:val="00933073"/>
    <w:rsid w:val="009330B7"/>
    <w:rsid w:val="00934C92"/>
    <w:rsid w:val="00940116"/>
    <w:rsid w:val="00942C45"/>
    <w:rsid w:val="00943130"/>
    <w:rsid w:val="009431C0"/>
    <w:rsid w:val="00943640"/>
    <w:rsid w:val="0094434D"/>
    <w:rsid w:val="00944833"/>
    <w:rsid w:val="00953453"/>
    <w:rsid w:val="00953B22"/>
    <w:rsid w:val="00953B30"/>
    <w:rsid w:val="009543BA"/>
    <w:rsid w:val="00954E63"/>
    <w:rsid w:val="00956CB9"/>
    <w:rsid w:val="00956F12"/>
    <w:rsid w:val="00956F47"/>
    <w:rsid w:val="00960923"/>
    <w:rsid w:val="00960F86"/>
    <w:rsid w:val="0096151C"/>
    <w:rsid w:val="00961AE1"/>
    <w:rsid w:val="0096210E"/>
    <w:rsid w:val="00962AAF"/>
    <w:rsid w:val="00964610"/>
    <w:rsid w:val="00965B3E"/>
    <w:rsid w:val="009674AD"/>
    <w:rsid w:val="00967978"/>
    <w:rsid w:val="00967B5D"/>
    <w:rsid w:val="009702C9"/>
    <w:rsid w:val="00973F64"/>
    <w:rsid w:val="00974F4E"/>
    <w:rsid w:val="0097527A"/>
    <w:rsid w:val="00975A16"/>
    <w:rsid w:val="00977210"/>
    <w:rsid w:val="00977FB7"/>
    <w:rsid w:val="0098060F"/>
    <w:rsid w:val="00980A25"/>
    <w:rsid w:val="00980AA7"/>
    <w:rsid w:val="00983C58"/>
    <w:rsid w:val="009842E6"/>
    <w:rsid w:val="00984371"/>
    <w:rsid w:val="009870A4"/>
    <w:rsid w:val="0099105E"/>
    <w:rsid w:val="00992A17"/>
    <w:rsid w:val="00993835"/>
    <w:rsid w:val="0099389A"/>
    <w:rsid w:val="00993A07"/>
    <w:rsid w:val="0099436C"/>
    <w:rsid w:val="00995284"/>
    <w:rsid w:val="00996463"/>
    <w:rsid w:val="00997BC2"/>
    <w:rsid w:val="009A0469"/>
    <w:rsid w:val="009A1364"/>
    <w:rsid w:val="009A2607"/>
    <w:rsid w:val="009A28CE"/>
    <w:rsid w:val="009A2BB0"/>
    <w:rsid w:val="009A4836"/>
    <w:rsid w:val="009A5B3F"/>
    <w:rsid w:val="009A5F41"/>
    <w:rsid w:val="009A7A86"/>
    <w:rsid w:val="009B0B62"/>
    <w:rsid w:val="009B2C5E"/>
    <w:rsid w:val="009B3214"/>
    <w:rsid w:val="009B3987"/>
    <w:rsid w:val="009B3C71"/>
    <w:rsid w:val="009B47D8"/>
    <w:rsid w:val="009B4F7F"/>
    <w:rsid w:val="009B6CAD"/>
    <w:rsid w:val="009C01A8"/>
    <w:rsid w:val="009C035B"/>
    <w:rsid w:val="009C0EDA"/>
    <w:rsid w:val="009C135D"/>
    <w:rsid w:val="009C13AB"/>
    <w:rsid w:val="009C1BCF"/>
    <w:rsid w:val="009C407D"/>
    <w:rsid w:val="009C421A"/>
    <w:rsid w:val="009C5A46"/>
    <w:rsid w:val="009D0983"/>
    <w:rsid w:val="009D1C62"/>
    <w:rsid w:val="009D2DE1"/>
    <w:rsid w:val="009D559A"/>
    <w:rsid w:val="009D5C14"/>
    <w:rsid w:val="009E00E3"/>
    <w:rsid w:val="009E3A43"/>
    <w:rsid w:val="009E4AD0"/>
    <w:rsid w:val="009E62FC"/>
    <w:rsid w:val="009E7985"/>
    <w:rsid w:val="009E7FE1"/>
    <w:rsid w:val="009F08A4"/>
    <w:rsid w:val="009F2676"/>
    <w:rsid w:val="009F2F08"/>
    <w:rsid w:val="009F31D0"/>
    <w:rsid w:val="009F3A04"/>
    <w:rsid w:val="009F43A0"/>
    <w:rsid w:val="009F469E"/>
    <w:rsid w:val="009F477A"/>
    <w:rsid w:val="009F5EE4"/>
    <w:rsid w:val="009F73AD"/>
    <w:rsid w:val="009F74D5"/>
    <w:rsid w:val="00A0005C"/>
    <w:rsid w:val="00A02F27"/>
    <w:rsid w:val="00A04EF8"/>
    <w:rsid w:val="00A055E9"/>
    <w:rsid w:val="00A0604B"/>
    <w:rsid w:val="00A077F8"/>
    <w:rsid w:val="00A10379"/>
    <w:rsid w:val="00A10B6D"/>
    <w:rsid w:val="00A12DEE"/>
    <w:rsid w:val="00A13CA8"/>
    <w:rsid w:val="00A13D7D"/>
    <w:rsid w:val="00A14F91"/>
    <w:rsid w:val="00A17180"/>
    <w:rsid w:val="00A20A19"/>
    <w:rsid w:val="00A20E5A"/>
    <w:rsid w:val="00A21E2E"/>
    <w:rsid w:val="00A22093"/>
    <w:rsid w:val="00A236C6"/>
    <w:rsid w:val="00A24097"/>
    <w:rsid w:val="00A24807"/>
    <w:rsid w:val="00A255EB"/>
    <w:rsid w:val="00A27139"/>
    <w:rsid w:val="00A309F1"/>
    <w:rsid w:val="00A32622"/>
    <w:rsid w:val="00A33061"/>
    <w:rsid w:val="00A33561"/>
    <w:rsid w:val="00A33BF3"/>
    <w:rsid w:val="00A33FF6"/>
    <w:rsid w:val="00A3443B"/>
    <w:rsid w:val="00A35C07"/>
    <w:rsid w:val="00A37FAE"/>
    <w:rsid w:val="00A4046B"/>
    <w:rsid w:val="00A408EE"/>
    <w:rsid w:val="00A44A6B"/>
    <w:rsid w:val="00A455B4"/>
    <w:rsid w:val="00A45B9E"/>
    <w:rsid w:val="00A46C9D"/>
    <w:rsid w:val="00A47043"/>
    <w:rsid w:val="00A508BA"/>
    <w:rsid w:val="00A52FEA"/>
    <w:rsid w:val="00A563CD"/>
    <w:rsid w:val="00A60A71"/>
    <w:rsid w:val="00A63592"/>
    <w:rsid w:val="00A644EB"/>
    <w:rsid w:val="00A65105"/>
    <w:rsid w:val="00A67B9E"/>
    <w:rsid w:val="00A70619"/>
    <w:rsid w:val="00A70998"/>
    <w:rsid w:val="00A718B3"/>
    <w:rsid w:val="00A71900"/>
    <w:rsid w:val="00A73505"/>
    <w:rsid w:val="00A741DC"/>
    <w:rsid w:val="00A74343"/>
    <w:rsid w:val="00A7466F"/>
    <w:rsid w:val="00A74762"/>
    <w:rsid w:val="00A75536"/>
    <w:rsid w:val="00A756A4"/>
    <w:rsid w:val="00A76599"/>
    <w:rsid w:val="00A76DF9"/>
    <w:rsid w:val="00A77709"/>
    <w:rsid w:val="00A80680"/>
    <w:rsid w:val="00A810B2"/>
    <w:rsid w:val="00A8162F"/>
    <w:rsid w:val="00A85A96"/>
    <w:rsid w:val="00A85C2E"/>
    <w:rsid w:val="00A86781"/>
    <w:rsid w:val="00A87379"/>
    <w:rsid w:val="00A90E88"/>
    <w:rsid w:val="00A918CC"/>
    <w:rsid w:val="00A91A81"/>
    <w:rsid w:val="00A91D21"/>
    <w:rsid w:val="00A923BE"/>
    <w:rsid w:val="00A92E23"/>
    <w:rsid w:val="00A92F78"/>
    <w:rsid w:val="00A94114"/>
    <w:rsid w:val="00A9533E"/>
    <w:rsid w:val="00A973F4"/>
    <w:rsid w:val="00A97C4F"/>
    <w:rsid w:val="00AA002C"/>
    <w:rsid w:val="00AA0574"/>
    <w:rsid w:val="00AA0F44"/>
    <w:rsid w:val="00AA1C32"/>
    <w:rsid w:val="00AA25FC"/>
    <w:rsid w:val="00AA395B"/>
    <w:rsid w:val="00AA3C9A"/>
    <w:rsid w:val="00AA3FF3"/>
    <w:rsid w:val="00AA4968"/>
    <w:rsid w:val="00AA4AFD"/>
    <w:rsid w:val="00AA5C75"/>
    <w:rsid w:val="00AA6704"/>
    <w:rsid w:val="00AA7DB5"/>
    <w:rsid w:val="00AB0108"/>
    <w:rsid w:val="00AB02A9"/>
    <w:rsid w:val="00AB097F"/>
    <w:rsid w:val="00AB22E7"/>
    <w:rsid w:val="00AB328B"/>
    <w:rsid w:val="00AB3831"/>
    <w:rsid w:val="00AB3E07"/>
    <w:rsid w:val="00AB45DF"/>
    <w:rsid w:val="00AB7BBC"/>
    <w:rsid w:val="00AB7DB0"/>
    <w:rsid w:val="00AC1902"/>
    <w:rsid w:val="00AC3CD5"/>
    <w:rsid w:val="00AC3DC8"/>
    <w:rsid w:val="00AC5B4A"/>
    <w:rsid w:val="00AC64E2"/>
    <w:rsid w:val="00AC6D0D"/>
    <w:rsid w:val="00AC7809"/>
    <w:rsid w:val="00AD1A42"/>
    <w:rsid w:val="00AD3153"/>
    <w:rsid w:val="00AD333B"/>
    <w:rsid w:val="00AD521D"/>
    <w:rsid w:val="00AD54D4"/>
    <w:rsid w:val="00AD5DE4"/>
    <w:rsid w:val="00AD798A"/>
    <w:rsid w:val="00AD7B9E"/>
    <w:rsid w:val="00AE0B11"/>
    <w:rsid w:val="00AE1E85"/>
    <w:rsid w:val="00AE2B29"/>
    <w:rsid w:val="00AE3A69"/>
    <w:rsid w:val="00AE3EBA"/>
    <w:rsid w:val="00AE4340"/>
    <w:rsid w:val="00AE4978"/>
    <w:rsid w:val="00AE5478"/>
    <w:rsid w:val="00AE5B35"/>
    <w:rsid w:val="00AE5B51"/>
    <w:rsid w:val="00AE6521"/>
    <w:rsid w:val="00AE6C14"/>
    <w:rsid w:val="00AF03C7"/>
    <w:rsid w:val="00AF0D90"/>
    <w:rsid w:val="00AF1983"/>
    <w:rsid w:val="00AF1998"/>
    <w:rsid w:val="00AF2A2E"/>
    <w:rsid w:val="00AF5A4A"/>
    <w:rsid w:val="00AF5F34"/>
    <w:rsid w:val="00AF60A6"/>
    <w:rsid w:val="00AF7F42"/>
    <w:rsid w:val="00B0061E"/>
    <w:rsid w:val="00B01186"/>
    <w:rsid w:val="00B01F34"/>
    <w:rsid w:val="00B0291B"/>
    <w:rsid w:val="00B046B6"/>
    <w:rsid w:val="00B05133"/>
    <w:rsid w:val="00B059C6"/>
    <w:rsid w:val="00B06CCE"/>
    <w:rsid w:val="00B078EF"/>
    <w:rsid w:val="00B1099B"/>
    <w:rsid w:val="00B10B1E"/>
    <w:rsid w:val="00B10D04"/>
    <w:rsid w:val="00B122AE"/>
    <w:rsid w:val="00B13B8E"/>
    <w:rsid w:val="00B13ED6"/>
    <w:rsid w:val="00B15D57"/>
    <w:rsid w:val="00B16021"/>
    <w:rsid w:val="00B162E1"/>
    <w:rsid w:val="00B166ED"/>
    <w:rsid w:val="00B16CC5"/>
    <w:rsid w:val="00B17A18"/>
    <w:rsid w:val="00B17F7E"/>
    <w:rsid w:val="00B2025D"/>
    <w:rsid w:val="00B2051C"/>
    <w:rsid w:val="00B211CB"/>
    <w:rsid w:val="00B225F0"/>
    <w:rsid w:val="00B2318E"/>
    <w:rsid w:val="00B2362C"/>
    <w:rsid w:val="00B242FA"/>
    <w:rsid w:val="00B25B37"/>
    <w:rsid w:val="00B27A4E"/>
    <w:rsid w:val="00B27B62"/>
    <w:rsid w:val="00B305D4"/>
    <w:rsid w:val="00B32CC4"/>
    <w:rsid w:val="00B33A4E"/>
    <w:rsid w:val="00B34225"/>
    <w:rsid w:val="00B342EA"/>
    <w:rsid w:val="00B347C4"/>
    <w:rsid w:val="00B3560E"/>
    <w:rsid w:val="00B37879"/>
    <w:rsid w:val="00B429D2"/>
    <w:rsid w:val="00B42F3D"/>
    <w:rsid w:val="00B43022"/>
    <w:rsid w:val="00B436EE"/>
    <w:rsid w:val="00B476C1"/>
    <w:rsid w:val="00B479C2"/>
    <w:rsid w:val="00B50938"/>
    <w:rsid w:val="00B50DD2"/>
    <w:rsid w:val="00B51381"/>
    <w:rsid w:val="00B52016"/>
    <w:rsid w:val="00B539D1"/>
    <w:rsid w:val="00B54A57"/>
    <w:rsid w:val="00B54BD2"/>
    <w:rsid w:val="00B55A91"/>
    <w:rsid w:val="00B56432"/>
    <w:rsid w:val="00B57D3D"/>
    <w:rsid w:val="00B60AAA"/>
    <w:rsid w:val="00B6131D"/>
    <w:rsid w:val="00B61769"/>
    <w:rsid w:val="00B62835"/>
    <w:rsid w:val="00B63BCC"/>
    <w:rsid w:val="00B64FB8"/>
    <w:rsid w:val="00B65B47"/>
    <w:rsid w:val="00B66134"/>
    <w:rsid w:val="00B677C0"/>
    <w:rsid w:val="00B70F26"/>
    <w:rsid w:val="00B73818"/>
    <w:rsid w:val="00B74B72"/>
    <w:rsid w:val="00B76245"/>
    <w:rsid w:val="00B76934"/>
    <w:rsid w:val="00B7705E"/>
    <w:rsid w:val="00B80016"/>
    <w:rsid w:val="00B83975"/>
    <w:rsid w:val="00B85566"/>
    <w:rsid w:val="00B868CC"/>
    <w:rsid w:val="00B877F5"/>
    <w:rsid w:val="00B92170"/>
    <w:rsid w:val="00B9261C"/>
    <w:rsid w:val="00B95690"/>
    <w:rsid w:val="00B95C8D"/>
    <w:rsid w:val="00B9640F"/>
    <w:rsid w:val="00B96C75"/>
    <w:rsid w:val="00BA0EBD"/>
    <w:rsid w:val="00BA2E8D"/>
    <w:rsid w:val="00BA350E"/>
    <w:rsid w:val="00BA3F68"/>
    <w:rsid w:val="00BA40ED"/>
    <w:rsid w:val="00BA4C75"/>
    <w:rsid w:val="00BA5CB5"/>
    <w:rsid w:val="00BA64B0"/>
    <w:rsid w:val="00BA6EE8"/>
    <w:rsid w:val="00BA7F84"/>
    <w:rsid w:val="00BB0293"/>
    <w:rsid w:val="00BB0FA7"/>
    <w:rsid w:val="00BB1F6A"/>
    <w:rsid w:val="00BB4BE6"/>
    <w:rsid w:val="00BB5167"/>
    <w:rsid w:val="00BB5414"/>
    <w:rsid w:val="00BB584B"/>
    <w:rsid w:val="00BB6273"/>
    <w:rsid w:val="00BB64EC"/>
    <w:rsid w:val="00BB7CA3"/>
    <w:rsid w:val="00BC0493"/>
    <w:rsid w:val="00BC0542"/>
    <w:rsid w:val="00BC116C"/>
    <w:rsid w:val="00BC14B2"/>
    <w:rsid w:val="00BC17A9"/>
    <w:rsid w:val="00BC23BF"/>
    <w:rsid w:val="00BC241C"/>
    <w:rsid w:val="00BC44B3"/>
    <w:rsid w:val="00BC7B9A"/>
    <w:rsid w:val="00BD0212"/>
    <w:rsid w:val="00BD0252"/>
    <w:rsid w:val="00BD2AF7"/>
    <w:rsid w:val="00BD2CD1"/>
    <w:rsid w:val="00BD4C56"/>
    <w:rsid w:val="00BD4D64"/>
    <w:rsid w:val="00BD5943"/>
    <w:rsid w:val="00BD69F5"/>
    <w:rsid w:val="00BD6EF5"/>
    <w:rsid w:val="00BD6FA8"/>
    <w:rsid w:val="00BE0508"/>
    <w:rsid w:val="00BE1413"/>
    <w:rsid w:val="00BE1865"/>
    <w:rsid w:val="00BE371D"/>
    <w:rsid w:val="00BE3D9A"/>
    <w:rsid w:val="00BE6241"/>
    <w:rsid w:val="00BE64B8"/>
    <w:rsid w:val="00BF05F1"/>
    <w:rsid w:val="00BF1158"/>
    <w:rsid w:val="00BF47AB"/>
    <w:rsid w:val="00BF52DC"/>
    <w:rsid w:val="00BF582C"/>
    <w:rsid w:val="00BF5D01"/>
    <w:rsid w:val="00BF648B"/>
    <w:rsid w:val="00BF6BD5"/>
    <w:rsid w:val="00BF6F23"/>
    <w:rsid w:val="00C0070A"/>
    <w:rsid w:val="00C024C4"/>
    <w:rsid w:val="00C06614"/>
    <w:rsid w:val="00C078DC"/>
    <w:rsid w:val="00C07F3B"/>
    <w:rsid w:val="00C11B81"/>
    <w:rsid w:val="00C12F34"/>
    <w:rsid w:val="00C130BC"/>
    <w:rsid w:val="00C131D9"/>
    <w:rsid w:val="00C13B1E"/>
    <w:rsid w:val="00C15A50"/>
    <w:rsid w:val="00C15D57"/>
    <w:rsid w:val="00C23A83"/>
    <w:rsid w:val="00C25589"/>
    <w:rsid w:val="00C25DE2"/>
    <w:rsid w:val="00C26B8E"/>
    <w:rsid w:val="00C2778A"/>
    <w:rsid w:val="00C31C3D"/>
    <w:rsid w:val="00C31D75"/>
    <w:rsid w:val="00C341B5"/>
    <w:rsid w:val="00C3441A"/>
    <w:rsid w:val="00C34B0E"/>
    <w:rsid w:val="00C34F36"/>
    <w:rsid w:val="00C3541F"/>
    <w:rsid w:val="00C35A15"/>
    <w:rsid w:val="00C35DA2"/>
    <w:rsid w:val="00C36BD9"/>
    <w:rsid w:val="00C373A3"/>
    <w:rsid w:val="00C3745C"/>
    <w:rsid w:val="00C43A56"/>
    <w:rsid w:val="00C4534C"/>
    <w:rsid w:val="00C458F8"/>
    <w:rsid w:val="00C459F4"/>
    <w:rsid w:val="00C4683A"/>
    <w:rsid w:val="00C47EF1"/>
    <w:rsid w:val="00C47F5A"/>
    <w:rsid w:val="00C510E8"/>
    <w:rsid w:val="00C518BD"/>
    <w:rsid w:val="00C51CAD"/>
    <w:rsid w:val="00C521D9"/>
    <w:rsid w:val="00C528EF"/>
    <w:rsid w:val="00C52EC7"/>
    <w:rsid w:val="00C5307F"/>
    <w:rsid w:val="00C568AE"/>
    <w:rsid w:val="00C57536"/>
    <w:rsid w:val="00C578F8"/>
    <w:rsid w:val="00C60A73"/>
    <w:rsid w:val="00C60BF8"/>
    <w:rsid w:val="00C60E14"/>
    <w:rsid w:val="00C611C1"/>
    <w:rsid w:val="00C64F96"/>
    <w:rsid w:val="00C6554E"/>
    <w:rsid w:val="00C66704"/>
    <w:rsid w:val="00C673A2"/>
    <w:rsid w:val="00C70A6E"/>
    <w:rsid w:val="00C7200E"/>
    <w:rsid w:val="00C72A62"/>
    <w:rsid w:val="00C73077"/>
    <w:rsid w:val="00C73B27"/>
    <w:rsid w:val="00C7465B"/>
    <w:rsid w:val="00C74B78"/>
    <w:rsid w:val="00C7557F"/>
    <w:rsid w:val="00C756A5"/>
    <w:rsid w:val="00C75ABD"/>
    <w:rsid w:val="00C77973"/>
    <w:rsid w:val="00C8052F"/>
    <w:rsid w:val="00C81BE0"/>
    <w:rsid w:val="00C82094"/>
    <w:rsid w:val="00C82F5D"/>
    <w:rsid w:val="00C837A8"/>
    <w:rsid w:val="00C845F9"/>
    <w:rsid w:val="00C84C68"/>
    <w:rsid w:val="00C86F5E"/>
    <w:rsid w:val="00C90260"/>
    <w:rsid w:val="00C9113A"/>
    <w:rsid w:val="00C91A00"/>
    <w:rsid w:val="00C9231F"/>
    <w:rsid w:val="00C92350"/>
    <w:rsid w:val="00C92A08"/>
    <w:rsid w:val="00C93DF4"/>
    <w:rsid w:val="00C947AD"/>
    <w:rsid w:val="00C94FB8"/>
    <w:rsid w:val="00CA0A8A"/>
    <w:rsid w:val="00CA1E81"/>
    <w:rsid w:val="00CA2423"/>
    <w:rsid w:val="00CA2606"/>
    <w:rsid w:val="00CA2712"/>
    <w:rsid w:val="00CA30D9"/>
    <w:rsid w:val="00CA3456"/>
    <w:rsid w:val="00CA3904"/>
    <w:rsid w:val="00CA4075"/>
    <w:rsid w:val="00CA6508"/>
    <w:rsid w:val="00CA6A38"/>
    <w:rsid w:val="00CA6CC8"/>
    <w:rsid w:val="00CB03B0"/>
    <w:rsid w:val="00CB082B"/>
    <w:rsid w:val="00CB1008"/>
    <w:rsid w:val="00CB1677"/>
    <w:rsid w:val="00CB36FB"/>
    <w:rsid w:val="00CB3968"/>
    <w:rsid w:val="00CB5647"/>
    <w:rsid w:val="00CB5DED"/>
    <w:rsid w:val="00CB7C43"/>
    <w:rsid w:val="00CC1705"/>
    <w:rsid w:val="00CC35BC"/>
    <w:rsid w:val="00CC3F39"/>
    <w:rsid w:val="00CC5ABD"/>
    <w:rsid w:val="00CC6621"/>
    <w:rsid w:val="00CD12D8"/>
    <w:rsid w:val="00CD2ED3"/>
    <w:rsid w:val="00CD565E"/>
    <w:rsid w:val="00CE030A"/>
    <w:rsid w:val="00CE2543"/>
    <w:rsid w:val="00CE2AEF"/>
    <w:rsid w:val="00CE3BC0"/>
    <w:rsid w:val="00CE4F39"/>
    <w:rsid w:val="00CE7E76"/>
    <w:rsid w:val="00CF0907"/>
    <w:rsid w:val="00CF1D90"/>
    <w:rsid w:val="00CF2CC8"/>
    <w:rsid w:val="00CF3701"/>
    <w:rsid w:val="00CF46C6"/>
    <w:rsid w:val="00CF571F"/>
    <w:rsid w:val="00CF5C04"/>
    <w:rsid w:val="00CF6C33"/>
    <w:rsid w:val="00CF7228"/>
    <w:rsid w:val="00CF748F"/>
    <w:rsid w:val="00CF7504"/>
    <w:rsid w:val="00D0034D"/>
    <w:rsid w:val="00D0287C"/>
    <w:rsid w:val="00D036FE"/>
    <w:rsid w:val="00D04A58"/>
    <w:rsid w:val="00D065BE"/>
    <w:rsid w:val="00D06D81"/>
    <w:rsid w:val="00D077CD"/>
    <w:rsid w:val="00D07D83"/>
    <w:rsid w:val="00D07E40"/>
    <w:rsid w:val="00D1024B"/>
    <w:rsid w:val="00D10502"/>
    <w:rsid w:val="00D1231A"/>
    <w:rsid w:val="00D123B7"/>
    <w:rsid w:val="00D1286D"/>
    <w:rsid w:val="00D14268"/>
    <w:rsid w:val="00D15621"/>
    <w:rsid w:val="00D17D11"/>
    <w:rsid w:val="00D22D9C"/>
    <w:rsid w:val="00D2437B"/>
    <w:rsid w:val="00D2466D"/>
    <w:rsid w:val="00D25D22"/>
    <w:rsid w:val="00D31830"/>
    <w:rsid w:val="00D40863"/>
    <w:rsid w:val="00D41DB7"/>
    <w:rsid w:val="00D42E25"/>
    <w:rsid w:val="00D43BBE"/>
    <w:rsid w:val="00D45FD8"/>
    <w:rsid w:val="00D460AE"/>
    <w:rsid w:val="00D462AD"/>
    <w:rsid w:val="00D46BEE"/>
    <w:rsid w:val="00D47B56"/>
    <w:rsid w:val="00D50792"/>
    <w:rsid w:val="00D5118F"/>
    <w:rsid w:val="00D51408"/>
    <w:rsid w:val="00D5244E"/>
    <w:rsid w:val="00D529D8"/>
    <w:rsid w:val="00D52DBC"/>
    <w:rsid w:val="00D60737"/>
    <w:rsid w:val="00D610C0"/>
    <w:rsid w:val="00D61A22"/>
    <w:rsid w:val="00D63103"/>
    <w:rsid w:val="00D653C2"/>
    <w:rsid w:val="00D65AB0"/>
    <w:rsid w:val="00D66147"/>
    <w:rsid w:val="00D6658C"/>
    <w:rsid w:val="00D66E76"/>
    <w:rsid w:val="00D67B8B"/>
    <w:rsid w:val="00D73717"/>
    <w:rsid w:val="00D80461"/>
    <w:rsid w:val="00D819E3"/>
    <w:rsid w:val="00D81B3B"/>
    <w:rsid w:val="00D83C17"/>
    <w:rsid w:val="00D840CF"/>
    <w:rsid w:val="00D841B8"/>
    <w:rsid w:val="00D84236"/>
    <w:rsid w:val="00D86754"/>
    <w:rsid w:val="00D86985"/>
    <w:rsid w:val="00D879F9"/>
    <w:rsid w:val="00D87CDF"/>
    <w:rsid w:val="00D90916"/>
    <w:rsid w:val="00D90A62"/>
    <w:rsid w:val="00D91E5B"/>
    <w:rsid w:val="00D96941"/>
    <w:rsid w:val="00D96D9B"/>
    <w:rsid w:val="00D9749B"/>
    <w:rsid w:val="00D97B09"/>
    <w:rsid w:val="00DA3893"/>
    <w:rsid w:val="00DA4017"/>
    <w:rsid w:val="00DA4281"/>
    <w:rsid w:val="00DA4CE7"/>
    <w:rsid w:val="00DA5B9B"/>
    <w:rsid w:val="00DA738F"/>
    <w:rsid w:val="00DA746E"/>
    <w:rsid w:val="00DB078F"/>
    <w:rsid w:val="00DB4740"/>
    <w:rsid w:val="00DB5276"/>
    <w:rsid w:val="00DB55BD"/>
    <w:rsid w:val="00DB7236"/>
    <w:rsid w:val="00DC0333"/>
    <w:rsid w:val="00DC16E2"/>
    <w:rsid w:val="00DC3BCB"/>
    <w:rsid w:val="00DC61A3"/>
    <w:rsid w:val="00DD0BB2"/>
    <w:rsid w:val="00DD1909"/>
    <w:rsid w:val="00DD3A90"/>
    <w:rsid w:val="00DD3DE8"/>
    <w:rsid w:val="00DD4E6B"/>
    <w:rsid w:val="00DD7C6C"/>
    <w:rsid w:val="00DD7F2A"/>
    <w:rsid w:val="00DE0FD6"/>
    <w:rsid w:val="00DE174C"/>
    <w:rsid w:val="00DE3425"/>
    <w:rsid w:val="00DE38EC"/>
    <w:rsid w:val="00DE50C0"/>
    <w:rsid w:val="00DE5647"/>
    <w:rsid w:val="00DE69A6"/>
    <w:rsid w:val="00DE6F8C"/>
    <w:rsid w:val="00DE7DDC"/>
    <w:rsid w:val="00DF012F"/>
    <w:rsid w:val="00DF0AC1"/>
    <w:rsid w:val="00DF42D5"/>
    <w:rsid w:val="00DF4FA5"/>
    <w:rsid w:val="00DF5E5F"/>
    <w:rsid w:val="00DF6BD3"/>
    <w:rsid w:val="00DF7FC2"/>
    <w:rsid w:val="00E02679"/>
    <w:rsid w:val="00E03001"/>
    <w:rsid w:val="00E0384E"/>
    <w:rsid w:val="00E052B0"/>
    <w:rsid w:val="00E05ECB"/>
    <w:rsid w:val="00E075F9"/>
    <w:rsid w:val="00E11B89"/>
    <w:rsid w:val="00E11C26"/>
    <w:rsid w:val="00E11E78"/>
    <w:rsid w:val="00E128B5"/>
    <w:rsid w:val="00E142CB"/>
    <w:rsid w:val="00E1503B"/>
    <w:rsid w:val="00E15B31"/>
    <w:rsid w:val="00E2036B"/>
    <w:rsid w:val="00E20E30"/>
    <w:rsid w:val="00E20EE1"/>
    <w:rsid w:val="00E241C0"/>
    <w:rsid w:val="00E278AF"/>
    <w:rsid w:val="00E30388"/>
    <w:rsid w:val="00E3065C"/>
    <w:rsid w:val="00E33BFB"/>
    <w:rsid w:val="00E33F3D"/>
    <w:rsid w:val="00E34861"/>
    <w:rsid w:val="00E351C2"/>
    <w:rsid w:val="00E35260"/>
    <w:rsid w:val="00E41D4E"/>
    <w:rsid w:val="00E43E21"/>
    <w:rsid w:val="00E440AA"/>
    <w:rsid w:val="00E4560F"/>
    <w:rsid w:val="00E46178"/>
    <w:rsid w:val="00E50287"/>
    <w:rsid w:val="00E5168C"/>
    <w:rsid w:val="00E520CB"/>
    <w:rsid w:val="00E53760"/>
    <w:rsid w:val="00E53C6A"/>
    <w:rsid w:val="00E54250"/>
    <w:rsid w:val="00E55274"/>
    <w:rsid w:val="00E55521"/>
    <w:rsid w:val="00E569A8"/>
    <w:rsid w:val="00E57BD4"/>
    <w:rsid w:val="00E602BB"/>
    <w:rsid w:val="00E62BC3"/>
    <w:rsid w:val="00E632E5"/>
    <w:rsid w:val="00E66095"/>
    <w:rsid w:val="00E665F7"/>
    <w:rsid w:val="00E66DDB"/>
    <w:rsid w:val="00E712DD"/>
    <w:rsid w:val="00E72082"/>
    <w:rsid w:val="00E723C9"/>
    <w:rsid w:val="00E72B8D"/>
    <w:rsid w:val="00E75A54"/>
    <w:rsid w:val="00E7672F"/>
    <w:rsid w:val="00E76F49"/>
    <w:rsid w:val="00E77FCA"/>
    <w:rsid w:val="00E8011C"/>
    <w:rsid w:val="00E80AA7"/>
    <w:rsid w:val="00E833AE"/>
    <w:rsid w:val="00E834FA"/>
    <w:rsid w:val="00E83C2F"/>
    <w:rsid w:val="00E83F3B"/>
    <w:rsid w:val="00E83F47"/>
    <w:rsid w:val="00E87A8D"/>
    <w:rsid w:val="00E91021"/>
    <w:rsid w:val="00E91A58"/>
    <w:rsid w:val="00E92A68"/>
    <w:rsid w:val="00E93132"/>
    <w:rsid w:val="00E93248"/>
    <w:rsid w:val="00E94172"/>
    <w:rsid w:val="00E9433D"/>
    <w:rsid w:val="00E95353"/>
    <w:rsid w:val="00E954C4"/>
    <w:rsid w:val="00E96D7C"/>
    <w:rsid w:val="00EA01BC"/>
    <w:rsid w:val="00EA02C5"/>
    <w:rsid w:val="00EA1982"/>
    <w:rsid w:val="00EA1C3B"/>
    <w:rsid w:val="00EA1F5F"/>
    <w:rsid w:val="00EA2589"/>
    <w:rsid w:val="00EA2ABC"/>
    <w:rsid w:val="00EA2DD7"/>
    <w:rsid w:val="00EA3176"/>
    <w:rsid w:val="00EA3D85"/>
    <w:rsid w:val="00EA4171"/>
    <w:rsid w:val="00EA4E10"/>
    <w:rsid w:val="00EA5259"/>
    <w:rsid w:val="00EA5C60"/>
    <w:rsid w:val="00EB0D06"/>
    <w:rsid w:val="00EB1839"/>
    <w:rsid w:val="00EB184F"/>
    <w:rsid w:val="00EB282A"/>
    <w:rsid w:val="00EB43F3"/>
    <w:rsid w:val="00EB4466"/>
    <w:rsid w:val="00EB7E64"/>
    <w:rsid w:val="00EC0F59"/>
    <w:rsid w:val="00EC1A0A"/>
    <w:rsid w:val="00EC3B33"/>
    <w:rsid w:val="00EC67CA"/>
    <w:rsid w:val="00ED0067"/>
    <w:rsid w:val="00ED0997"/>
    <w:rsid w:val="00ED1C49"/>
    <w:rsid w:val="00ED2F1B"/>
    <w:rsid w:val="00ED528A"/>
    <w:rsid w:val="00ED72D1"/>
    <w:rsid w:val="00EE0747"/>
    <w:rsid w:val="00EE0B9A"/>
    <w:rsid w:val="00EE184F"/>
    <w:rsid w:val="00EE1882"/>
    <w:rsid w:val="00EE1E88"/>
    <w:rsid w:val="00EE22AC"/>
    <w:rsid w:val="00EE3034"/>
    <w:rsid w:val="00EE4558"/>
    <w:rsid w:val="00EE7243"/>
    <w:rsid w:val="00EF1FDC"/>
    <w:rsid w:val="00EF2E4B"/>
    <w:rsid w:val="00EF31A5"/>
    <w:rsid w:val="00EF39CB"/>
    <w:rsid w:val="00EF3B39"/>
    <w:rsid w:val="00EF4AFA"/>
    <w:rsid w:val="00EF4CF0"/>
    <w:rsid w:val="00EF599D"/>
    <w:rsid w:val="00EF5C38"/>
    <w:rsid w:val="00EF5E3D"/>
    <w:rsid w:val="00EF67DB"/>
    <w:rsid w:val="00EF772D"/>
    <w:rsid w:val="00F03D1C"/>
    <w:rsid w:val="00F0645A"/>
    <w:rsid w:val="00F078AE"/>
    <w:rsid w:val="00F10200"/>
    <w:rsid w:val="00F10625"/>
    <w:rsid w:val="00F107CE"/>
    <w:rsid w:val="00F10B84"/>
    <w:rsid w:val="00F11FFB"/>
    <w:rsid w:val="00F123CA"/>
    <w:rsid w:val="00F12CD0"/>
    <w:rsid w:val="00F134FE"/>
    <w:rsid w:val="00F13960"/>
    <w:rsid w:val="00F14E51"/>
    <w:rsid w:val="00F16BFC"/>
    <w:rsid w:val="00F1782B"/>
    <w:rsid w:val="00F17E3B"/>
    <w:rsid w:val="00F21372"/>
    <w:rsid w:val="00F26591"/>
    <w:rsid w:val="00F265FB"/>
    <w:rsid w:val="00F2680B"/>
    <w:rsid w:val="00F26A9A"/>
    <w:rsid w:val="00F273A6"/>
    <w:rsid w:val="00F27D64"/>
    <w:rsid w:val="00F31D11"/>
    <w:rsid w:val="00F31E52"/>
    <w:rsid w:val="00F32D2A"/>
    <w:rsid w:val="00F346B6"/>
    <w:rsid w:val="00F3551D"/>
    <w:rsid w:val="00F369AF"/>
    <w:rsid w:val="00F37656"/>
    <w:rsid w:val="00F409A4"/>
    <w:rsid w:val="00F425D4"/>
    <w:rsid w:val="00F4319B"/>
    <w:rsid w:val="00F441FF"/>
    <w:rsid w:val="00F45CD1"/>
    <w:rsid w:val="00F470BB"/>
    <w:rsid w:val="00F51083"/>
    <w:rsid w:val="00F52C39"/>
    <w:rsid w:val="00F556F9"/>
    <w:rsid w:val="00F56FF5"/>
    <w:rsid w:val="00F608A5"/>
    <w:rsid w:val="00F61A9F"/>
    <w:rsid w:val="00F624C1"/>
    <w:rsid w:val="00F62D0C"/>
    <w:rsid w:val="00F63386"/>
    <w:rsid w:val="00F63C51"/>
    <w:rsid w:val="00F6619B"/>
    <w:rsid w:val="00F668F4"/>
    <w:rsid w:val="00F70CBA"/>
    <w:rsid w:val="00F71CDB"/>
    <w:rsid w:val="00F75A95"/>
    <w:rsid w:val="00F7766E"/>
    <w:rsid w:val="00F77CE7"/>
    <w:rsid w:val="00F80220"/>
    <w:rsid w:val="00F807DE"/>
    <w:rsid w:val="00F80FB7"/>
    <w:rsid w:val="00F821F9"/>
    <w:rsid w:val="00F82523"/>
    <w:rsid w:val="00F8339C"/>
    <w:rsid w:val="00F86150"/>
    <w:rsid w:val="00F868D6"/>
    <w:rsid w:val="00F86EE8"/>
    <w:rsid w:val="00F87C07"/>
    <w:rsid w:val="00F919D1"/>
    <w:rsid w:val="00F91D57"/>
    <w:rsid w:val="00F92F16"/>
    <w:rsid w:val="00F94965"/>
    <w:rsid w:val="00F94F90"/>
    <w:rsid w:val="00F95120"/>
    <w:rsid w:val="00F967F0"/>
    <w:rsid w:val="00FA1C28"/>
    <w:rsid w:val="00FA3555"/>
    <w:rsid w:val="00FA5345"/>
    <w:rsid w:val="00FA5B73"/>
    <w:rsid w:val="00FA5E1F"/>
    <w:rsid w:val="00FA62A6"/>
    <w:rsid w:val="00FA6F8F"/>
    <w:rsid w:val="00FA73AB"/>
    <w:rsid w:val="00FB01EC"/>
    <w:rsid w:val="00FB134D"/>
    <w:rsid w:val="00FB3165"/>
    <w:rsid w:val="00FB347F"/>
    <w:rsid w:val="00FB36DD"/>
    <w:rsid w:val="00FB3F82"/>
    <w:rsid w:val="00FC2463"/>
    <w:rsid w:val="00FC2C23"/>
    <w:rsid w:val="00FC444D"/>
    <w:rsid w:val="00FD1829"/>
    <w:rsid w:val="00FD1E53"/>
    <w:rsid w:val="00FD298A"/>
    <w:rsid w:val="00FD2D44"/>
    <w:rsid w:val="00FD3A7C"/>
    <w:rsid w:val="00FD4551"/>
    <w:rsid w:val="00FD5795"/>
    <w:rsid w:val="00FE1267"/>
    <w:rsid w:val="00FE3FA2"/>
    <w:rsid w:val="00FE417E"/>
    <w:rsid w:val="00FE5645"/>
    <w:rsid w:val="00FE6952"/>
    <w:rsid w:val="00FE7793"/>
    <w:rsid w:val="00FF04C6"/>
    <w:rsid w:val="00FF1AA1"/>
    <w:rsid w:val="00FF3D0D"/>
    <w:rsid w:val="00FF58F3"/>
    <w:rsid w:val="01CF1530"/>
    <w:rsid w:val="022673D3"/>
    <w:rsid w:val="02EE6A68"/>
    <w:rsid w:val="045A2BFE"/>
    <w:rsid w:val="0498595F"/>
    <w:rsid w:val="049D79D0"/>
    <w:rsid w:val="04BD2C0D"/>
    <w:rsid w:val="0597699D"/>
    <w:rsid w:val="08C048E1"/>
    <w:rsid w:val="091268D2"/>
    <w:rsid w:val="09322AD0"/>
    <w:rsid w:val="093C74AB"/>
    <w:rsid w:val="09914976"/>
    <w:rsid w:val="0992531D"/>
    <w:rsid w:val="0A3960E0"/>
    <w:rsid w:val="0A781198"/>
    <w:rsid w:val="0C1E1544"/>
    <w:rsid w:val="11EA67D1"/>
    <w:rsid w:val="121B0591"/>
    <w:rsid w:val="127D1368"/>
    <w:rsid w:val="13E46DFB"/>
    <w:rsid w:val="14BA6584"/>
    <w:rsid w:val="17481711"/>
    <w:rsid w:val="175A76BC"/>
    <w:rsid w:val="17C14A55"/>
    <w:rsid w:val="187A4B62"/>
    <w:rsid w:val="1917128D"/>
    <w:rsid w:val="19452739"/>
    <w:rsid w:val="19497C1E"/>
    <w:rsid w:val="19C10A24"/>
    <w:rsid w:val="1A767307"/>
    <w:rsid w:val="1ADF5ECE"/>
    <w:rsid w:val="1C1A2FC8"/>
    <w:rsid w:val="1DEF28E6"/>
    <w:rsid w:val="1E380731"/>
    <w:rsid w:val="1E954DC3"/>
    <w:rsid w:val="1FE26C7D"/>
    <w:rsid w:val="20DD6837"/>
    <w:rsid w:val="21C05039"/>
    <w:rsid w:val="2339293D"/>
    <w:rsid w:val="23DD710D"/>
    <w:rsid w:val="249059E1"/>
    <w:rsid w:val="252A6603"/>
    <w:rsid w:val="257D2ECD"/>
    <w:rsid w:val="25951D62"/>
    <w:rsid w:val="261431EF"/>
    <w:rsid w:val="265030DA"/>
    <w:rsid w:val="273D1DFC"/>
    <w:rsid w:val="27FD20A3"/>
    <w:rsid w:val="285C14C0"/>
    <w:rsid w:val="28F172DB"/>
    <w:rsid w:val="29077BE0"/>
    <w:rsid w:val="292F0982"/>
    <w:rsid w:val="2AC320A3"/>
    <w:rsid w:val="2D4A7B39"/>
    <w:rsid w:val="30982F46"/>
    <w:rsid w:val="3186310A"/>
    <w:rsid w:val="33A336C6"/>
    <w:rsid w:val="33E24718"/>
    <w:rsid w:val="341C4447"/>
    <w:rsid w:val="35270F3A"/>
    <w:rsid w:val="353477C2"/>
    <w:rsid w:val="353A54D4"/>
    <w:rsid w:val="357853FC"/>
    <w:rsid w:val="36024A57"/>
    <w:rsid w:val="364D2448"/>
    <w:rsid w:val="37AA3863"/>
    <w:rsid w:val="39287DA4"/>
    <w:rsid w:val="39331DC9"/>
    <w:rsid w:val="39C2073E"/>
    <w:rsid w:val="39EE21C7"/>
    <w:rsid w:val="3B754AC1"/>
    <w:rsid w:val="3BD0408B"/>
    <w:rsid w:val="3C2D6924"/>
    <w:rsid w:val="3C5753BF"/>
    <w:rsid w:val="3C822977"/>
    <w:rsid w:val="3D734107"/>
    <w:rsid w:val="3D971C09"/>
    <w:rsid w:val="3DCE13C9"/>
    <w:rsid w:val="410F4ECA"/>
    <w:rsid w:val="412B495C"/>
    <w:rsid w:val="42C83582"/>
    <w:rsid w:val="42D9331A"/>
    <w:rsid w:val="440F256D"/>
    <w:rsid w:val="44107882"/>
    <w:rsid w:val="44DB2306"/>
    <w:rsid w:val="47735562"/>
    <w:rsid w:val="483D231C"/>
    <w:rsid w:val="48FA4C65"/>
    <w:rsid w:val="49D57C8E"/>
    <w:rsid w:val="49EF28EC"/>
    <w:rsid w:val="4A9E6473"/>
    <w:rsid w:val="4AB55E9D"/>
    <w:rsid w:val="4B2A2E77"/>
    <w:rsid w:val="4E4A67F3"/>
    <w:rsid w:val="520A007D"/>
    <w:rsid w:val="52A86F2C"/>
    <w:rsid w:val="53912714"/>
    <w:rsid w:val="54845EAB"/>
    <w:rsid w:val="56907F66"/>
    <w:rsid w:val="57BD6FD6"/>
    <w:rsid w:val="5A737E20"/>
    <w:rsid w:val="5C90184F"/>
    <w:rsid w:val="5CE40B61"/>
    <w:rsid w:val="5CE62B2B"/>
    <w:rsid w:val="5E033F7E"/>
    <w:rsid w:val="600149FD"/>
    <w:rsid w:val="60200102"/>
    <w:rsid w:val="60322FDF"/>
    <w:rsid w:val="609453F7"/>
    <w:rsid w:val="60B7403D"/>
    <w:rsid w:val="60BA67A8"/>
    <w:rsid w:val="615D0EE2"/>
    <w:rsid w:val="61913C09"/>
    <w:rsid w:val="61B82CEB"/>
    <w:rsid w:val="61E64BC5"/>
    <w:rsid w:val="62AE01FD"/>
    <w:rsid w:val="63870498"/>
    <w:rsid w:val="64D939FD"/>
    <w:rsid w:val="651A2071"/>
    <w:rsid w:val="67377D3B"/>
    <w:rsid w:val="67C25F42"/>
    <w:rsid w:val="68C21ED0"/>
    <w:rsid w:val="68D26322"/>
    <w:rsid w:val="6BC56001"/>
    <w:rsid w:val="6C79668F"/>
    <w:rsid w:val="6DA938A7"/>
    <w:rsid w:val="6EAC08EE"/>
    <w:rsid w:val="6EDA5F07"/>
    <w:rsid w:val="6EF01673"/>
    <w:rsid w:val="702B58C0"/>
    <w:rsid w:val="70D02392"/>
    <w:rsid w:val="70EA478A"/>
    <w:rsid w:val="71A813A3"/>
    <w:rsid w:val="72F678FD"/>
    <w:rsid w:val="734537C5"/>
    <w:rsid w:val="74174E5B"/>
    <w:rsid w:val="74DA7892"/>
    <w:rsid w:val="76940635"/>
    <w:rsid w:val="76CA4E22"/>
    <w:rsid w:val="76F21902"/>
    <w:rsid w:val="77051441"/>
    <w:rsid w:val="775A4AB5"/>
    <w:rsid w:val="777431F1"/>
    <w:rsid w:val="77B04009"/>
    <w:rsid w:val="781E2C0D"/>
    <w:rsid w:val="7925624C"/>
    <w:rsid w:val="7A477914"/>
    <w:rsid w:val="7A7E27CE"/>
    <w:rsid w:val="7AB65C87"/>
    <w:rsid w:val="7C0D6C09"/>
    <w:rsid w:val="7CFA5489"/>
    <w:rsid w:val="7E595AB3"/>
    <w:rsid w:val="7EEB73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99"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38"/>
    <w:qFormat/>
    <w:uiPriority w:val="99"/>
    <w:pPr>
      <w:keepNext/>
      <w:jc w:val="center"/>
      <w:outlineLvl w:val="0"/>
    </w:pPr>
    <w:rPr>
      <w:b/>
      <w:bCs/>
      <w:kern w:val="44"/>
      <w:sz w:val="44"/>
      <w:szCs w:val="44"/>
    </w:rPr>
  </w:style>
  <w:style w:type="paragraph" w:styleId="6">
    <w:name w:val="heading 2"/>
    <w:basedOn w:val="1"/>
    <w:next w:val="1"/>
    <w:link w:val="46"/>
    <w:qFormat/>
    <w:uiPriority w:val="99"/>
    <w:pPr>
      <w:keepNext/>
      <w:jc w:val="center"/>
      <w:outlineLvl w:val="1"/>
    </w:pPr>
    <w:rPr>
      <w:rFonts w:ascii="Cambria" w:hAnsi="Cambria"/>
      <w:b/>
      <w:bCs/>
      <w:kern w:val="0"/>
      <w:sz w:val="32"/>
      <w:szCs w:val="32"/>
    </w:rPr>
  </w:style>
  <w:style w:type="paragraph" w:styleId="7">
    <w:name w:val="heading 3"/>
    <w:basedOn w:val="1"/>
    <w:next w:val="1"/>
    <w:link w:val="54"/>
    <w:qFormat/>
    <w:uiPriority w:val="99"/>
    <w:pPr>
      <w:keepNext/>
      <w:jc w:val="center"/>
      <w:outlineLvl w:val="2"/>
    </w:pPr>
    <w:rPr>
      <w:b/>
      <w:bCs/>
      <w:kern w:val="0"/>
      <w:sz w:val="32"/>
      <w:szCs w:val="32"/>
    </w:rPr>
  </w:style>
  <w:style w:type="paragraph" w:styleId="8">
    <w:name w:val="heading 4"/>
    <w:basedOn w:val="1"/>
    <w:next w:val="1"/>
    <w:link w:val="50"/>
    <w:qFormat/>
    <w:uiPriority w:val="99"/>
    <w:pPr>
      <w:keepNext/>
      <w:jc w:val="center"/>
      <w:outlineLvl w:val="3"/>
    </w:pPr>
    <w:rPr>
      <w:rFonts w:ascii="Cambria" w:hAnsi="Cambria"/>
      <w:b/>
      <w:bCs/>
      <w:kern w:val="0"/>
      <w:sz w:val="28"/>
      <w:szCs w:val="28"/>
    </w:rPr>
  </w:style>
  <w:style w:type="paragraph" w:styleId="9">
    <w:name w:val="heading 5"/>
    <w:basedOn w:val="1"/>
    <w:next w:val="1"/>
    <w:link w:val="42"/>
    <w:qFormat/>
    <w:uiPriority w:val="99"/>
    <w:pPr>
      <w:keepNext/>
      <w:tabs>
        <w:tab w:val="left" w:pos="360"/>
      </w:tabs>
      <w:ind w:left="360" w:hanging="360"/>
      <w:outlineLvl w:val="4"/>
    </w:pPr>
    <w:rPr>
      <w:rFonts w:ascii="楷体_GB2312" w:eastAsia="楷体_GB2312"/>
      <w:bCs/>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4"/>
    <w:unhideWhenUsed/>
    <w:qFormat/>
    <w:uiPriority w:val="99"/>
    <w:pPr>
      <w:ind w:firstLine="420" w:firstLineChars="200"/>
    </w:pPr>
  </w:style>
  <w:style w:type="paragraph" w:styleId="3">
    <w:name w:val="Body Text Indent"/>
    <w:basedOn w:val="1"/>
    <w:next w:val="4"/>
    <w:link w:val="45"/>
    <w:qFormat/>
    <w:uiPriority w:val="99"/>
    <w:pPr>
      <w:ind w:firstLine="576"/>
    </w:pPr>
    <w:rPr>
      <w:kern w:val="0"/>
      <w:sz w:val="20"/>
    </w:rPr>
  </w:style>
  <w:style w:type="paragraph" w:styleId="4">
    <w:name w:val="envelope return"/>
    <w:basedOn w:val="1"/>
    <w:unhideWhenUsed/>
    <w:qFormat/>
    <w:uiPriority w:val="99"/>
    <w:pPr>
      <w:snapToGrid w:val="0"/>
    </w:pPr>
    <w:rPr>
      <w:rFonts w:hint="eastAsia" w:ascii="Arial" w:hAnsi="Arial"/>
      <w:sz w:val="24"/>
    </w:rPr>
  </w:style>
  <w:style w:type="paragraph" w:styleId="10">
    <w:name w:val="Normal Indent"/>
    <w:basedOn w:val="1"/>
    <w:qFormat/>
    <w:uiPriority w:val="0"/>
    <w:pPr>
      <w:ind w:firstLine="420"/>
    </w:pPr>
  </w:style>
  <w:style w:type="paragraph" w:styleId="11">
    <w:name w:val="Document Map"/>
    <w:basedOn w:val="1"/>
    <w:link w:val="32"/>
    <w:semiHidden/>
    <w:qFormat/>
    <w:uiPriority w:val="99"/>
    <w:pPr>
      <w:shd w:val="clear" w:color="auto" w:fill="000080"/>
    </w:pPr>
    <w:rPr>
      <w:kern w:val="0"/>
      <w:sz w:val="2"/>
    </w:rPr>
  </w:style>
  <w:style w:type="paragraph" w:styleId="12">
    <w:name w:val="annotation text"/>
    <w:basedOn w:val="1"/>
    <w:link w:val="37"/>
    <w:qFormat/>
    <w:uiPriority w:val="0"/>
    <w:pPr>
      <w:spacing w:line="440" w:lineRule="exact"/>
      <w:ind w:firstLine="200" w:firstLineChars="200"/>
      <w:jc w:val="left"/>
    </w:pPr>
    <w:rPr>
      <w:rFonts w:ascii="Calibri" w:hAnsi="Calibri"/>
      <w:sz w:val="24"/>
      <w:szCs w:val="22"/>
    </w:rPr>
  </w:style>
  <w:style w:type="paragraph" w:styleId="13">
    <w:name w:val="Body Text"/>
    <w:basedOn w:val="1"/>
    <w:link w:val="34"/>
    <w:qFormat/>
    <w:uiPriority w:val="99"/>
    <w:rPr>
      <w:kern w:val="0"/>
      <w:sz w:val="20"/>
    </w:rPr>
  </w:style>
  <w:style w:type="paragraph" w:styleId="14">
    <w:name w:val="Date"/>
    <w:basedOn w:val="1"/>
    <w:next w:val="1"/>
    <w:link w:val="53"/>
    <w:qFormat/>
    <w:uiPriority w:val="99"/>
    <w:rPr>
      <w:kern w:val="0"/>
      <w:sz w:val="20"/>
    </w:rPr>
  </w:style>
  <w:style w:type="paragraph" w:styleId="15">
    <w:name w:val="Body Text Indent 2"/>
    <w:basedOn w:val="1"/>
    <w:link w:val="55"/>
    <w:qFormat/>
    <w:uiPriority w:val="99"/>
    <w:pPr>
      <w:ind w:left="900"/>
    </w:pPr>
    <w:rPr>
      <w:kern w:val="0"/>
      <w:sz w:val="20"/>
    </w:rPr>
  </w:style>
  <w:style w:type="paragraph" w:styleId="16">
    <w:name w:val="Balloon Text"/>
    <w:basedOn w:val="1"/>
    <w:link w:val="40"/>
    <w:unhideWhenUsed/>
    <w:qFormat/>
    <w:uiPriority w:val="0"/>
    <w:rPr>
      <w:sz w:val="18"/>
      <w:szCs w:val="18"/>
    </w:rPr>
  </w:style>
  <w:style w:type="paragraph" w:styleId="17">
    <w:name w:val="footer"/>
    <w:basedOn w:val="1"/>
    <w:link w:val="49"/>
    <w:qFormat/>
    <w:uiPriority w:val="99"/>
    <w:pPr>
      <w:tabs>
        <w:tab w:val="center" w:pos="4153"/>
        <w:tab w:val="right" w:pos="8306"/>
      </w:tabs>
      <w:snapToGrid w:val="0"/>
      <w:jc w:val="left"/>
    </w:pPr>
    <w:rPr>
      <w:kern w:val="0"/>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Body Text Indent 3"/>
    <w:basedOn w:val="1"/>
    <w:link w:val="39"/>
    <w:qFormat/>
    <w:uiPriority w:val="99"/>
    <w:pPr>
      <w:ind w:left="359" w:leftChars="171" w:firstLine="359" w:firstLineChars="171"/>
    </w:pPr>
    <w:rPr>
      <w:kern w:val="0"/>
      <w:sz w:val="16"/>
      <w:szCs w:val="16"/>
    </w:rPr>
  </w:style>
  <w:style w:type="paragraph" w:styleId="20">
    <w:name w:val="Body Text 2"/>
    <w:basedOn w:val="1"/>
    <w:link w:val="36"/>
    <w:qFormat/>
    <w:uiPriority w:val="99"/>
    <w:pPr>
      <w:spacing w:after="120" w:line="480" w:lineRule="auto"/>
    </w:pPr>
    <w:rPr>
      <w:kern w:val="0"/>
      <w:sz w:val="20"/>
    </w:rPr>
  </w:style>
  <w:style w:type="paragraph" w:styleId="2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2">
    <w:name w:val="annotation subject"/>
    <w:basedOn w:val="12"/>
    <w:next w:val="12"/>
    <w:link w:val="52"/>
    <w:qFormat/>
    <w:uiPriority w:val="0"/>
    <w:pPr>
      <w:spacing w:line="240" w:lineRule="auto"/>
      <w:ind w:firstLine="0" w:firstLineChars="0"/>
    </w:pPr>
    <w:rPr>
      <w:b/>
      <w:bCs/>
      <w:sz w:val="21"/>
    </w:rPr>
  </w:style>
  <w:style w:type="table" w:styleId="24">
    <w:name w:val="Table Grid"/>
    <w:basedOn w:val="23"/>
    <w:qFormat/>
    <w:locked/>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22"/>
    <w:rPr>
      <w:rFonts w:cs="Times New Roman"/>
      <w:b/>
      <w:bCs/>
    </w:rPr>
  </w:style>
  <w:style w:type="character" w:styleId="27">
    <w:name w:val="page number"/>
    <w:qFormat/>
    <w:uiPriority w:val="0"/>
    <w:rPr>
      <w:rFonts w:cs="Times New Roman"/>
    </w:rPr>
  </w:style>
  <w:style w:type="character" w:styleId="28">
    <w:name w:val="FollowedHyperlink"/>
    <w:qFormat/>
    <w:uiPriority w:val="0"/>
    <w:rPr>
      <w:rFonts w:cs="Times New Roman"/>
      <w:color w:val="auto"/>
      <w:u w:val="none"/>
    </w:rPr>
  </w:style>
  <w:style w:type="character" w:styleId="29">
    <w:name w:val="HTML Typewriter"/>
    <w:qFormat/>
    <w:uiPriority w:val="99"/>
    <w:rPr>
      <w:rFonts w:ascii="宋体" w:hAnsi="宋体" w:eastAsia="宋体" w:cs="宋体"/>
      <w:sz w:val="24"/>
      <w:szCs w:val="24"/>
    </w:rPr>
  </w:style>
  <w:style w:type="character" w:styleId="30">
    <w:name w:val="Hyperlink"/>
    <w:qFormat/>
    <w:uiPriority w:val="99"/>
    <w:rPr>
      <w:rFonts w:cs="Times New Roman"/>
      <w:color w:val="auto"/>
      <w:u w:val="none"/>
    </w:rPr>
  </w:style>
  <w:style w:type="character" w:styleId="31">
    <w:name w:val="annotation reference"/>
    <w:qFormat/>
    <w:uiPriority w:val="0"/>
    <w:rPr>
      <w:sz w:val="21"/>
    </w:rPr>
  </w:style>
  <w:style w:type="character" w:customStyle="1" w:styleId="32">
    <w:name w:val="文档结构图 Char"/>
    <w:link w:val="11"/>
    <w:semiHidden/>
    <w:qFormat/>
    <w:locked/>
    <w:uiPriority w:val="99"/>
    <w:rPr>
      <w:rFonts w:cs="Times New Roman"/>
      <w:sz w:val="2"/>
    </w:rPr>
  </w:style>
  <w:style w:type="character" w:customStyle="1" w:styleId="33">
    <w:name w:val="case31"/>
    <w:qFormat/>
    <w:uiPriority w:val="0"/>
    <w:rPr>
      <w:rFonts w:cs="Times New Roman"/>
      <w:spacing w:val="390"/>
      <w:sz w:val="21"/>
      <w:szCs w:val="21"/>
    </w:rPr>
  </w:style>
  <w:style w:type="character" w:customStyle="1" w:styleId="34">
    <w:name w:val="正文文本 Char1"/>
    <w:link w:val="13"/>
    <w:qFormat/>
    <w:locked/>
    <w:uiPriority w:val="99"/>
    <w:rPr>
      <w:rFonts w:cs="Times New Roman"/>
      <w:sz w:val="20"/>
      <w:szCs w:val="20"/>
    </w:rPr>
  </w:style>
  <w:style w:type="character" w:customStyle="1" w:styleId="35">
    <w:name w:val="列出段落 Char1"/>
    <w:qFormat/>
    <w:locked/>
    <w:uiPriority w:val="0"/>
  </w:style>
  <w:style w:type="character" w:customStyle="1" w:styleId="36">
    <w:name w:val="正文文本 2 Char1"/>
    <w:link w:val="20"/>
    <w:semiHidden/>
    <w:qFormat/>
    <w:locked/>
    <w:uiPriority w:val="99"/>
    <w:rPr>
      <w:rFonts w:cs="Times New Roman"/>
      <w:sz w:val="20"/>
      <w:szCs w:val="20"/>
    </w:rPr>
  </w:style>
  <w:style w:type="character" w:customStyle="1" w:styleId="37">
    <w:name w:val="批注文字 Char"/>
    <w:link w:val="12"/>
    <w:qFormat/>
    <w:uiPriority w:val="0"/>
    <w:rPr>
      <w:rFonts w:ascii="Calibri" w:hAnsi="Calibri"/>
      <w:kern w:val="2"/>
      <w:sz w:val="24"/>
      <w:szCs w:val="22"/>
    </w:rPr>
  </w:style>
  <w:style w:type="character" w:customStyle="1" w:styleId="38">
    <w:name w:val="标题 1 Char"/>
    <w:link w:val="5"/>
    <w:qFormat/>
    <w:locked/>
    <w:uiPriority w:val="99"/>
    <w:rPr>
      <w:rFonts w:cs="Times New Roman"/>
      <w:b/>
      <w:bCs/>
      <w:kern w:val="44"/>
      <w:sz w:val="44"/>
      <w:szCs w:val="44"/>
    </w:rPr>
  </w:style>
  <w:style w:type="character" w:customStyle="1" w:styleId="39">
    <w:name w:val="正文文本缩进 3 Char"/>
    <w:link w:val="19"/>
    <w:semiHidden/>
    <w:qFormat/>
    <w:locked/>
    <w:uiPriority w:val="99"/>
    <w:rPr>
      <w:rFonts w:cs="Times New Roman"/>
      <w:sz w:val="16"/>
      <w:szCs w:val="16"/>
    </w:rPr>
  </w:style>
  <w:style w:type="character" w:customStyle="1" w:styleId="40">
    <w:name w:val="批注框文本 Char"/>
    <w:link w:val="16"/>
    <w:qFormat/>
    <w:uiPriority w:val="0"/>
    <w:rPr>
      <w:kern w:val="2"/>
      <w:sz w:val="18"/>
      <w:szCs w:val="18"/>
    </w:rPr>
  </w:style>
  <w:style w:type="character" w:customStyle="1" w:styleId="41">
    <w:name w:val="页眉 Char1"/>
    <w:link w:val="18"/>
    <w:semiHidden/>
    <w:qFormat/>
    <w:locked/>
    <w:uiPriority w:val="99"/>
    <w:rPr>
      <w:rFonts w:cs="Times New Roman"/>
      <w:sz w:val="18"/>
      <w:szCs w:val="18"/>
    </w:rPr>
  </w:style>
  <w:style w:type="character" w:customStyle="1" w:styleId="42">
    <w:name w:val="标题 5 Char"/>
    <w:link w:val="9"/>
    <w:qFormat/>
    <w:locked/>
    <w:uiPriority w:val="99"/>
    <w:rPr>
      <w:rFonts w:ascii="楷体_GB2312" w:eastAsia="楷体_GB2312"/>
      <w:bCs/>
      <w:kern w:val="2"/>
      <w:sz w:val="28"/>
    </w:rPr>
  </w:style>
  <w:style w:type="character" w:customStyle="1" w:styleId="43">
    <w:name w:val="列出段落 Char"/>
    <w:link w:val="44"/>
    <w:qFormat/>
    <w:locked/>
    <w:uiPriority w:val="99"/>
    <w:rPr>
      <w:kern w:val="2"/>
      <w:sz w:val="21"/>
    </w:rPr>
  </w:style>
  <w:style w:type="paragraph" w:customStyle="1" w:styleId="44">
    <w:name w:val="列出段落3"/>
    <w:basedOn w:val="1"/>
    <w:link w:val="43"/>
    <w:qFormat/>
    <w:uiPriority w:val="99"/>
    <w:pPr>
      <w:ind w:firstLine="420" w:firstLineChars="200"/>
    </w:pPr>
  </w:style>
  <w:style w:type="character" w:customStyle="1" w:styleId="45">
    <w:name w:val="正文文本缩进 Char"/>
    <w:link w:val="3"/>
    <w:semiHidden/>
    <w:qFormat/>
    <w:locked/>
    <w:uiPriority w:val="99"/>
    <w:rPr>
      <w:rFonts w:cs="Times New Roman"/>
      <w:sz w:val="20"/>
      <w:szCs w:val="20"/>
    </w:rPr>
  </w:style>
  <w:style w:type="character" w:customStyle="1" w:styleId="46">
    <w:name w:val="标题 2 Char"/>
    <w:link w:val="6"/>
    <w:semiHidden/>
    <w:qFormat/>
    <w:locked/>
    <w:uiPriority w:val="99"/>
    <w:rPr>
      <w:rFonts w:ascii="Cambria" w:hAnsi="Cambria" w:eastAsia="宋体" w:cs="Times New Roman"/>
      <w:b/>
      <w:bCs/>
      <w:sz w:val="32"/>
      <w:szCs w:val="32"/>
    </w:rPr>
  </w:style>
  <w:style w:type="character" w:customStyle="1" w:styleId="47">
    <w:name w:val="apple-converted-space"/>
    <w:basedOn w:val="25"/>
    <w:qFormat/>
    <w:uiPriority w:val="0"/>
  </w:style>
  <w:style w:type="character" w:customStyle="1" w:styleId="48">
    <w:name w:val="grame"/>
    <w:basedOn w:val="25"/>
    <w:qFormat/>
    <w:uiPriority w:val="0"/>
  </w:style>
  <w:style w:type="character" w:customStyle="1" w:styleId="49">
    <w:name w:val="页脚 Char"/>
    <w:link w:val="17"/>
    <w:semiHidden/>
    <w:qFormat/>
    <w:locked/>
    <w:uiPriority w:val="99"/>
    <w:rPr>
      <w:rFonts w:cs="Times New Roman"/>
      <w:sz w:val="18"/>
      <w:szCs w:val="18"/>
    </w:rPr>
  </w:style>
  <w:style w:type="character" w:customStyle="1" w:styleId="50">
    <w:name w:val="标题 4 Char"/>
    <w:link w:val="8"/>
    <w:semiHidden/>
    <w:qFormat/>
    <w:locked/>
    <w:uiPriority w:val="99"/>
    <w:rPr>
      <w:rFonts w:ascii="Cambria" w:hAnsi="Cambria" w:eastAsia="宋体" w:cs="Times New Roman"/>
      <w:b/>
      <w:bCs/>
      <w:sz w:val="28"/>
      <w:szCs w:val="28"/>
    </w:rPr>
  </w:style>
  <w:style w:type="character" w:customStyle="1" w:styleId="51">
    <w:name w:val="mini-outputtext1"/>
    <w:qFormat/>
    <w:uiPriority w:val="0"/>
  </w:style>
  <w:style w:type="character" w:customStyle="1" w:styleId="52">
    <w:name w:val="批注主题 Char"/>
    <w:link w:val="22"/>
    <w:qFormat/>
    <w:uiPriority w:val="0"/>
    <w:rPr>
      <w:rFonts w:ascii="Calibri" w:hAnsi="Calibri"/>
      <w:b/>
      <w:bCs/>
      <w:kern w:val="2"/>
      <w:sz w:val="21"/>
      <w:szCs w:val="22"/>
    </w:rPr>
  </w:style>
  <w:style w:type="character" w:customStyle="1" w:styleId="53">
    <w:name w:val="日期 Char"/>
    <w:link w:val="14"/>
    <w:qFormat/>
    <w:locked/>
    <w:uiPriority w:val="99"/>
    <w:rPr>
      <w:rFonts w:cs="Times New Roman"/>
      <w:sz w:val="20"/>
      <w:szCs w:val="20"/>
    </w:rPr>
  </w:style>
  <w:style w:type="character" w:customStyle="1" w:styleId="54">
    <w:name w:val="标题 3 Char"/>
    <w:link w:val="7"/>
    <w:semiHidden/>
    <w:qFormat/>
    <w:locked/>
    <w:uiPriority w:val="99"/>
    <w:rPr>
      <w:rFonts w:cs="Times New Roman"/>
      <w:b/>
      <w:bCs/>
      <w:sz w:val="32"/>
      <w:szCs w:val="32"/>
    </w:rPr>
  </w:style>
  <w:style w:type="character" w:customStyle="1" w:styleId="55">
    <w:name w:val="正文文本缩进 2 Char"/>
    <w:link w:val="15"/>
    <w:semiHidden/>
    <w:qFormat/>
    <w:locked/>
    <w:uiPriority w:val="99"/>
    <w:rPr>
      <w:rFonts w:cs="Times New Roman"/>
      <w:sz w:val="20"/>
      <w:szCs w:val="20"/>
    </w:rPr>
  </w:style>
  <w:style w:type="character" w:customStyle="1" w:styleId="56">
    <w:name w:val="List Paragraph Char"/>
    <w:link w:val="57"/>
    <w:qFormat/>
    <w:locked/>
    <w:uiPriority w:val="0"/>
    <w:rPr>
      <w:rFonts w:ascii="Calibri" w:hAnsi="Calibri" w:eastAsia="宋体"/>
      <w:lang w:bidi="ar-SA"/>
    </w:rPr>
  </w:style>
  <w:style w:type="paragraph" w:customStyle="1" w:styleId="57">
    <w:name w:val="列出段落2"/>
    <w:basedOn w:val="1"/>
    <w:link w:val="56"/>
    <w:qFormat/>
    <w:uiPriority w:val="0"/>
    <w:pPr>
      <w:ind w:firstLine="420" w:firstLineChars="200"/>
    </w:pPr>
    <w:rPr>
      <w:rFonts w:ascii="Calibri" w:hAnsi="Calibri"/>
      <w:kern w:val="0"/>
      <w:sz w:val="20"/>
    </w:rPr>
  </w:style>
  <w:style w:type="character" w:customStyle="1" w:styleId="58">
    <w:name w:val="正文首行缩进两字 Char"/>
    <w:link w:val="59"/>
    <w:qFormat/>
    <w:uiPriority w:val="0"/>
    <w:rPr>
      <w:sz w:val="24"/>
      <w:szCs w:val="24"/>
      <w:lang w:val="en-US" w:eastAsia="zh-CN" w:bidi="ar-SA"/>
    </w:rPr>
  </w:style>
  <w:style w:type="paragraph" w:customStyle="1" w:styleId="59">
    <w:name w:val="正文首行缩进两字"/>
    <w:link w:val="58"/>
    <w:qFormat/>
    <w:uiPriority w:val="0"/>
    <w:pPr>
      <w:spacing w:afterLines="50" w:line="300" w:lineRule="auto"/>
      <w:ind w:left="240" w:leftChars="100" w:right="240" w:rightChars="100" w:firstLine="480" w:firstLineChars="200"/>
    </w:pPr>
    <w:rPr>
      <w:rFonts w:ascii="Times New Roman" w:hAnsi="Times New Roman" w:eastAsia="宋体" w:cs="Times New Roman"/>
      <w:sz w:val="24"/>
      <w:szCs w:val="24"/>
      <w:lang w:val="en-US" w:eastAsia="zh-CN" w:bidi="ar-SA"/>
    </w:rPr>
  </w:style>
  <w:style w:type="paragraph" w:customStyle="1" w:styleId="60">
    <w:name w:val="xl4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6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b/>
      <w:bCs/>
      <w:kern w:val="0"/>
      <w:sz w:val="24"/>
      <w:szCs w:val="24"/>
    </w:rPr>
  </w:style>
  <w:style w:type="paragraph" w:customStyle="1" w:styleId="62">
    <w:name w:val="Char Char Char Char"/>
    <w:basedOn w:val="11"/>
    <w:qFormat/>
    <w:uiPriority w:val="0"/>
    <w:pPr>
      <w:adjustRightInd w:val="0"/>
      <w:snapToGrid w:val="0"/>
      <w:spacing w:line="360" w:lineRule="auto"/>
    </w:pPr>
    <w:rPr>
      <w:rFonts w:ascii="Tahoma" w:hAnsi="Tahoma"/>
      <w:sz w:val="24"/>
      <w:szCs w:val="24"/>
    </w:rPr>
  </w:style>
  <w:style w:type="paragraph" w:customStyle="1" w:styleId="63">
    <w:name w:val="xl53"/>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64">
    <w:name w:val="font9"/>
    <w:basedOn w:val="1"/>
    <w:qFormat/>
    <w:uiPriority w:val="0"/>
    <w:pPr>
      <w:widowControl/>
      <w:spacing w:before="100" w:beforeAutospacing="1" w:after="100" w:afterAutospacing="1"/>
      <w:jc w:val="left"/>
    </w:pPr>
    <w:rPr>
      <w:b/>
      <w:bCs/>
      <w:kern w:val="0"/>
      <w:sz w:val="20"/>
    </w:rPr>
  </w:style>
  <w:style w:type="paragraph" w:customStyle="1" w:styleId="6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6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rPr>
  </w:style>
  <w:style w:type="paragraph" w:customStyle="1" w:styleId="67">
    <w:name w:val="xl4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68">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6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70">
    <w:name w:val="Char Char1 Char Char Char Char"/>
    <w:basedOn w:val="11"/>
    <w:qFormat/>
    <w:uiPriority w:val="0"/>
    <w:pPr>
      <w:adjustRightInd w:val="0"/>
      <w:spacing w:line="436" w:lineRule="exact"/>
      <w:ind w:left="357"/>
      <w:jc w:val="left"/>
      <w:outlineLvl w:val="3"/>
    </w:pPr>
    <w:rPr>
      <w:rFonts w:ascii="Tahoma" w:hAnsi="Tahoma"/>
      <w:b/>
      <w:sz w:val="24"/>
      <w:szCs w:val="24"/>
    </w:rPr>
  </w:style>
  <w:style w:type="paragraph" w:customStyle="1" w:styleId="71">
    <w:name w:val="xl60"/>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7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74">
    <w:name w:val="默认段落字体 Para Char"/>
    <w:basedOn w:val="1"/>
    <w:qFormat/>
    <w:uiPriority w:val="0"/>
    <w:pPr>
      <w:tabs>
        <w:tab w:val="left" w:pos="552"/>
      </w:tabs>
      <w:ind w:left="552" w:hanging="420"/>
    </w:pPr>
    <w:rPr>
      <w:sz w:val="24"/>
      <w:szCs w:val="24"/>
    </w:rPr>
  </w:style>
  <w:style w:type="paragraph" w:customStyle="1" w:styleId="7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7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i/>
      <w:iCs/>
      <w:kern w:val="0"/>
      <w:sz w:val="20"/>
    </w:rPr>
  </w:style>
  <w:style w:type="paragraph" w:customStyle="1" w:styleId="77">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7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79">
    <w:name w:val="font12"/>
    <w:basedOn w:val="1"/>
    <w:qFormat/>
    <w:uiPriority w:val="0"/>
    <w:pPr>
      <w:widowControl/>
      <w:spacing w:before="100" w:beforeAutospacing="1" w:after="100" w:afterAutospacing="1"/>
      <w:jc w:val="left"/>
    </w:pPr>
    <w:rPr>
      <w:rFonts w:ascii="宋体" w:hAnsi="宋体"/>
      <w:kern w:val="0"/>
      <w:sz w:val="36"/>
      <w:szCs w:val="36"/>
    </w:rPr>
  </w:style>
  <w:style w:type="paragraph" w:customStyle="1" w:styleId="80">
    <w:name w:val="列出段落1"/>
    <w:basedOn w:val="1"/>
    <w:qFormat/>
    <w:uiPriority w:val="0"/>
    <w:pPr>
      <w:ind w:firstLine="420" w:firstLineChars="200"/>
    </w:p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82">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83">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84">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8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86">
    <w:name w:val="font8"/>
    <w:basedOn w:val="1"/>
    <w:qFormat/>
    <w:uiPriority w:val="0"/>
    <w:pPr>
      <w:widowControl/>
      <w:spacing w:before="100" w:beforeAutospacing="1" w:after="100" w:afterAutospacing="1"/>
      <w:jc w:val="left"/>
    </w:pPr>
    <w:rPr>
      <w:rFonts w:ascii="宋体" w:hAnsi="宋体"/>
      <w:b/>
      <w:bCs/>
      <w:i/>
      <w:iCs/>
      <w:kern w:val="0"/>
      <w:sz w:val="20"/>
    </w:rPr>
  </w:style>
  <w:style w:type="paragraph" w:customStyle="1" w:styleId="8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8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8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i/>
      <w:iCs/>
      <w:kern w:val="0"/>
      <w:sz w:val="20"/>
    </w:rPr>
  </w:style>
  <w:style w:type="paragraph" w:customStyle="1" w:styleId="90">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92">
    <w:name w:val="font11"/>
    <w:basedOn w:val="1"/>
    <w:qFormat/>
    <w:uiPriority w:val="0"/>
    <w:pPr>
      <w:widowControl/>
      <w:spacing w:before="100" w:beforeAutospacing="1" w:after="100" w:afterAutospacing="1"/>
      <w:jc w:val="left"/>
    </w:pPr>
    <w:rPr>
      <w:b/>
      <w:bCs/>
      <w:kern w:val="0"/>
      <w:sz w:val="18"/>
      <w:szCs w:val="18"/>
    </w:rPr>
  </w:style>
  <w:style w:type="paragraph" w:customStyle="1" w:styleId="9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94">
    <w:name w:val="xl55"/>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95">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96">
    <w:name w:val="xl62"/>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97">
    <w:name w:val="普通文字"/>
    <w:basedOn w:val="1"/>
    <w:next w:val="1"/>
    <w:qFormat/>
    <w:uiPriority w:val="0"/>
    <w:rPr>
      <w:rFonts w:ascii="宋体"/>
      <w:kern w:val="0"/>
      <w:sz w:val="24"/>
      <w:u w:color="000000"/>
    </w:rPr>
  </w:style>
  <w:style w:type="paragraph" w:customStyle="1" w:styleId="98">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99">
    <w:name w:val="xl58"/>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100">
    <w:name w:val="font6"/>
    <w:basedOn w:val="1"/>
    <w:qFormat/>
    <w:uiPriority w:val="0"/>
    <w:pPr>
      <w:widowControl/>
      <w:spacing w:before="100" w:beforeAutospacing="1" w:after="100" w:afterAutospacing="1"/>
      <w:jc w:val="left"/>
    </w:pPr>
    <w:rPr>
      <w:rFonts w:ascii="宋体" w:hAnsi="宋体"/>
      <w:b/>
      <w:bCs/>
      <w:kern w:val="0"/>
      <w:sz w:val="20"/>
    </w:rPr>
  </w:style>
  <w:style w:type="paragraph" w:customStyle="1" w:styleId="101">
    <w:name w:val="xl52"/>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102">
    <w:name w:val="font7"/>
    <w:basedOn w:val="1"/>
    <w:qFormat/>
    <w:uiPriority w:val="0"/>
    <w:pPr>
      <w:widowControl/>
      <w:spacing w:before="100" w:beforeAutospacing="1" w:after="100" w:afterAutospacing="1"/>
      <w:jc w:val="left"/>
    </w:pPr>
    <w:rPr>
      <w:b/>
      <w:bCs/>
      <w:i/>
      <w:iCs/>
      <w:kern w:val="0"/>
      <w:sz w:val="20"/>
    </w:rPr>
  </w:style>
  <w:style w:type="paragraph" w:customStyle="1" w:styleId="103">
    <w:name w:val="xl54"/>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104">
    <w:name w:val="列出段落21"/>
    <w:basedOn w:val="1"/>
    <w:qFormat/>
    <w:uiPriority w:val="0"/>
    <w:pPr>
      <w:ind w:firstLine="420" w:firstLineChars="200"/>
    </w:pPr>
    <w:rPr>
      <w:rFonts w:ascii="Calibri" w:hAnsi="Calibri"/>
      <w:kern w:val="0"/>
      <w:sz w:val="20"/>
    </w:rPr>
  </w:style>
  <w:style w:type="paragraph" w:customStyle="1" w:styleId="10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06">
    <w:name w:val="font13"/>
    <w:basedOn w:val="1"/>
    <w:qFormat/>
    <w:uiPriority w:val="0"/>
    <w:pPr>
      <w:widowControl/>
      <w:spacing w:before="100" w:beforeAutospacing="1" w:after="100" w:afterAutospacing="1"/>
      <w:jc w:val="left"/>
    </w:pPr>
    <w:rPr>
      <w:i/>
      <w:iCs/>
      <w:kern w:val="0"/>
      <w:sz w:val="36"/>
      <w:szCs w:val="36"/>
    </w:rPr>
  </w:style>
  <w:style w:type="paragraph" w:customStyle="1" w:styleId="107">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108">
    <w:name w:val="xl51"/>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109">
    <w:name w:val="样式 段前: 0.5 行 段后: 0.5 行"/>
    <w:basedOn w:val="1"/>
    <w:qFormat/>
    <w:uiPriority w:val="0"/>
    <w:pPr>
      <w:spacing w:before="100" w:beforeAutospacing="1" w:after="100" w:afterAutospacing="1"/>
      <w:ind w:firstLine="200" w:firstLineChars="200"/>
    </w:pPr>
    <w:rPr>
      <w:rFonts w:cs="宋体"/>
    </w:rPr>
  </w:style>
  <w:style w:type="paragraph" w:customStyle="1" w:styleId="110">
    <w:name w:val="xl56"/>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111">
    <w:name w:val="font14"/>
    <w:basedOn w:val="1"/>
    <w:qFormat/>
    <w:uiPriority w:val="0"/>
    <w:pPr>
      <w:widowControl/>
      <w:spacing w:before="100" w:beforeAutospacing="1" w:after="100" w:afterAutospacing="1"/>
      <w:jc w:val="left"/>
    </w:pPr>
    <w:rPr>
      <w:kern w:val="0"/>
      <w:sz w:val="36"/>
      <w:szCs w:val="36"/>
    </w:rPr>
  </w:style>
  <w:style w:type="paragraph" w:customStyle="1" w:styleId="112">
    <w:name w:val="xl61"/>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11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i/>
      <w:iCs/>
      <w:kern w:val="0"/>
      <w:sz w:val="20"/>
    </w:rPr>
  </w:style>
  <w:style w:type="paragraph" w:customStyle="1" w:styleId="11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15">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11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17">
    <w:name w:val="font10"/>
    <w:basedOn w:val="1"/>
    <w:qFormat/>
    <w:uiPriority w:val="0"/>
    <w:pPr>
      <w:widowControl/>
      <w:spacing w:before="100" w:beforeAutospacing="1" w:after="100" w:afterAutospacing="1"/>
      <w:jc w:val="left"/>
    </w:pPr>
    <w:rPr>
      <w:rFonts w:ascii="楷体_GB2312" w:hAnsi="宋体" w:eastAsia="楷体_GB2312"/>
      <w:b/>
      <w:bCs/>
      <w:kern w:val="0"/>
      <w:sz w:val="18"/>
      <w:szCs w:val="18"/>
    </w:rPr>
  </w:style>
  <w:style w:type="paragraph" w:styleId="118">
    <w:name w:val="List Paragraph"/>
    <w:basedOn w:val="1"/>
    <w:qFormat/>
    <w:uiPriority w:val="99"/>
    <w:pPr>
      <w:ind w:firstLine="420" w:firstLineChars="200"/>
    </w:pPr>
  </w:style>
  <w:style w:type="character" w:customStyle="1" w:styleId="119">
    <w:name w:val="*正文 Char"/>
    <w:link w:val="120"/>
    <w:qFormat/>
    <w:uiPriority w:val="0"/>
    <w:rPr>
      <w:rFonts w:ascii="宋体" w:hAnsi="宋体"/>
      <w:kern w:val="2"/>
      <w:sz w:val="22"/>
      <w:szCs w:val="24"/>
    </w:rPr>
  </w:style>
  <w:style w:type="paragraph" w:customStyle="1" w:styleId="120">
    <w:name w:val="*正文"/>
    <w:basedOn w:val="1"/>
    <w:link w:val="119"/>
    <w:qFormat/>
    <w:uiPriority w:val="0"/>
    <w:pPr>
      <w:spacing w:line="360" w:lineRule="auto"/>
      <w:ind w:firstLine="200" w:firstLineChars="200"/>
    </w:pPr>
    <w:rPr>
      <w:rFonts w:ascii="宋体" w:hAnsi="宋体"/>
      <w:sz w:val="22"/>
      <w:szCs w:val="24"/>
    </w:rPr>
  </w:style>
  <w:style w:type="paragraph" w:customStyle="1" w:styleId="121">
    <w:name w:val="1"/>
    <w:basedOn w:val="3"/>
    <w:next w:val="2"/>
    <w:unhideWhenUsed/>
    <w:qFormat/>
    <w:uiPriority w:val="99"/>
    <w:pPr>
      <w:ind w:firstLine="420" w:firstLineChars="200"/>
    </w:pPr>
  </w:style>
  <w:style w:type="character" w:customStyle="1" w:styleId="122">
    <w:name w:val="页眉 Char"/>
    <w:qFormat/>
    <w:locked/>
    <w:uiPriority w:val="99"/>
    <w:rPr>
      <w:rFonts w:cs="Times New Roman"/>
      <w:sz w:val="18"/>
      <w:szCs w:val="18"/>
    </w:rPr>
  </w:style>
  <w:style w:type="character" w:customStyle="1" w:styleId="123">
    <w:name w:val="正文文本 2 Char"/>
    <w:qFormat/>
    <w:locked/>
    <w:uiPriority w:val="99"/>
    <w:rPr>
      <w:rFonts w:cs="Times New Roman"/>
      <w:sz w:val="20"/>
      <w:szCs w:val="20"/>
    </w:rPr>
  </w:style>
  <w:style w:type="character" w:customStyle="1" w:styleId="124">
    <w:name w:val="正文首行缩进 2 Char"/>
    <w:basedOn w:val="25"/>
    <w:link w:val="2"/>
    <w:qFormat/>
    <w:uiPriority w:val="99"/>
  </w:style>
  <w:style w:type="character" w:customStyle="1" w:styleId="125">
    <w:name w:val="正文文本 Char"/>
    <w:qFormat/>
    <w:locked/>
    <w:uiPriority w:val="99"/>
    <w:rPr>
      <w:rFonts w:cs="Times New Roman"/>
      <w:sz w:val="20"/>
      <w:szCs w:val="20"/>
    </w:rPr>
  </w:style>
  <w:style w:type="table" w:customStyle="1" w:styleId="126">
    <w:name w:val="Table Normal"/>
    <w:basedOn w:val="23"/>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character" w:customStyle="1" w:styleId="127">
    <w:name w:val="font151"/>
    <w:basedOn w:val="25"/>
    <w:qFormat/>
    <w:uiPriority w:val="0"/>
    <w:rPr>
      <w:rFonts w:ascii="Calibri" w:hAnsi="Calibri" w:cs="Calibri"/>
      <w:color w:val="000000"/>
      <w:sz w:val="18"/>
      <w:szCs w:val="18"/>
      <w:u w:val="none"/>
    </w:rPr>
  </w:style>
  <w:style w:type="character" w:customStyle="1" w:styleId="128">
    <w:name w:val="font191"/>
    <w:basedOn w:val="25"/>
    <w:qFormat/>
    <w:uiPriority w:val="0"/>
    <w:rPr>
      <w:rFonts w:ascii="Arial" w:hAnsi="Arial" w:cs="Arial"/>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5.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5" Type="http://schemas.openxmlformats.org/officeDocument/2006/relationships/fontTable" Target="fontTable.xml"/><Relationship Id="rId154" Type="http://schemas.openxmlformats.org/officeDocument/2006/relationships/customXml" Target="../customXml/item2.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1.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dministrator\Application%20Data\Microsoft\Templates\&#36992;&#35831;&#25307;&#26631;&#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textRotate="1"/>
    <customShpInfo spid="_x0000_s2052"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AA12C6-31BB-498E-B5B2-1C2C1D548C15}">
  <ds:schemaRefs/>
</ds:datastoreItem>
</file>

<file path=docProps/app.xml><?xml version="1.0" encoding="utf-8"?>
<Properties xmlns="http://schemas.openxmlformats.org/officeDocument/2006/extended-properties" xmlns:vt="http://schemas.openxmlformats.org/officeDocument/2006/docPropsVTypes">
  <Template>邀请招标书</Template>
  <Company>LenovoCop</Company>
  <Pages>69</Pages>
  <Words>49882</Words>
  <Characters>56911</Characters>
  <Lines>279</Lines>
  <Paragraphs>78</Paragraphs>
  <TotalTime>26</TotalTime>
  <ScaleCrop>false</ScaleCrop>
  <LinksUpToDate>false</LinksUpToDate>
  <CharactersWithSpaces>65959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2020-12-03T07:51:00Z</dcterms:created>
  <dc:creator>zjt</dc:creator>
  <cp:lastModifiedBy>Administrator</cp:lastModifiedBy>
  <cp:lastPrinted>2020-01-21T01:20:00Z</cp:lastPrinted>
  <dcterms:modified xsi:type="dcterms:W3CDTF">2022-03-31T04:29:56Z</dcterms:modified>
  <dc:title>投标邀请函</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A2C3D04D3E864DFBACAF13E3F9A37AA4</vt:lpwstr>
  </property>
</Properties>
</file>